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308E" w14:textId="24358F86" w:rsidR="004F0C1D" w:rsidRPr="00206F1B" w:rsidRDefault="008F5084" w:rsidP="008817C1">
      <w:pPr>
        <w:jc w:val="center"/>
        <w:rPr>
          <w:b/>
          <w:bCs/>
          <w:sz w:val="28"/>
          <w:szCs w:val="28"/>
        </w:rPr>
      </w:pPr>
      <w:r w:rsidRPr="00206F1B">
        <w:rPr>
          <w:b/>
          <w:bCs/>
          <w:sz w:val="28"/>
          <w:szCs w:val="28"/>
        </w:rPr>
        <w:t>Opportunities for Transition to Clean Household Energy in [COUNTRY]</w:t>
      </w:r>
    </w:p>
    <w:p w14:paraId="7340367C" w14:textId="7852780B" w:rsidR="008F5084" w:rsidRPr="00206F1B" w:rsidRDefault="008F5084" w:rsidP="008817C1">
      <w:pPr>
        <w:jc w:val="center"/>
        <w:rPr>
          <w:b/>
          <w:bCs/>
          <w:i/>
          <w:iCs/>
        </w:rPr>
      </w:pPr>
      <w:r w:rsidRPr="00206F1B">
        <w:rPr>
          <w:b/>
          <w:bCs/>
          <w:i/>
          <w:iCs/>
        </w:rPr>
        <w:t xml:space="preserve">Application of the </w:t>
      </w:r>
      <w:r w:rsidR="001D659C" w:rsidRPr="00206F1B">
        <w:rPr>
          <w:b/>
          <w:bCs/>
          <w:i/>
          <w:iCs/>
        </w:rPr>
        <w:t xml:space="preserve">WHO </w:t>
      </w:r>
      <w:r w:rsidRPr="00206F1B">
        <w:rPr>
          <w:b/>
          <w:bCs/>
          <w:i/>
          <w:iCs/>
        </w:rPr>
        <w:t>Household Energy Assessment Rapid Tool (HEART)</w:t>
      </w:r>
      <w:r w:rsidR="00824C99" w:rsidRPr="00206F1B">
        <w:rPr>
          <w:b/>
          <w:bCs/>
          <w:i/>
          <w:iCs/>
        </w:rPr>
        <w:t xml:space="preserve"> for Situational Assessment and Stakeholder Mapping</w:t>
      </w:r>
    </w:p>
    <w:p w14:paraId="11B163D2" w14:textId="317F9568" w:rsidR="001D659C" w:rsidRPr="00206F1B" w:rsidRDefault="00BE2121" w:rsidP="008817C1">
      <w:pPr>
        <w:jc w:val="center"/>
        <w:rPr>
          <w:b/>
          <w:bCs/>
          <w:sz w:val="28"/>
          <w:szCs w:val="28"/>
        </w:rPr>
      </w:pPr>
      <w:r w:rsidRPr="00206F1B">
        <w:rPr>
          <w:b/>
          <w:bCs/>
          <w:sz w:val="28"/>
          <w:szCs w:val="28"/>
        </w:rPr>
        <w:t>POLICY BRIEF</w:t>
      </w:r>
      <w:r w:rsidR="00CF0155" w:rsidRPr="00206F1B">
        <w:rPr>
          <w:b/>
          <w:bCs/>
          <w:sz w:val="28"/>
          <w:szCs w:val="28"/>
        </w:rPr>
        <w:t xml:space="preserve"> </w:t>
      </w:r>
    </w:p>
    <w:p w14:paraId="59D5AB15" w14:textId="0399C23C" w:rsidR="00112EF7" w:rsidRDefault="00112EF7" w:rsidP="00060B74">
      <w:pPr>
        <w:spacing w:after="0"/>
      </w:pPr>
      <w:r>
        <w:t>This</w:t>
      </w:r>
      <w:r w:rsidR="00E57F8A">
        <w:t xml:space="preserve"> document contains suggestions for content to be included in a</w:t>
      </w:r>
      <w:r w:rsidR="007C51CC">
        <w:t xml:space="preserve"> </w:t>
      </w:r>
      <w:r w:rsidR="00372FB6">
        <w:t>two to four</w:t>
      </w:r>
      <w:r w:rsidR="007C51CC">
        <w:t xml:space="preserve"> page</w:t>
      </w:r>
      <w:r>
        <w:t xml:space="preserve"> policy brief covering the main messages </w:t>
      </w:r>
      <w:r w:rsidR="001374A5">
        <w:t>developed in a</w:t>
      </w:r>
      <w:r w:rsidR="007C51CC">
        <w:t xml:space="preserve"> national report </w:t>
      </w:r>
      <w:r w:rsidR="00CF0155">
        <w:t>developed using the WHO HEART template</w:t>
      </w:r>
      <w:r w:rsidR="00CF0155">
        <w:rPr>
          <w:rStyle w:val="Funotenzeichen"/>
        </w:rPr>
        <w:footnoteReference w:id="2"/>
      </w:r>
      <w:r w:rsidR="00CF0155">
        <w:t xml:space="preserve"> </w:t>
      </w:r>
      <w:r w:rsidR="007C51CC">
        <w:t xml:space="preserve">on </w:t>
      </w:r>
      <w:r w:rsidR="007C51CC" w:rsidRPr="008817C1">
        <w:rPr>
          <w:i/>
          <w:iCs/>
        </w:rPr>
        <w:t>household energy u</w:t>
      </w:r>
      <w:r w:rsidR="00117D73" w:rsidRPr="008817C1">
        <w:rPr>
          <w:i/>
          <w:iCs/>
        </w:rPr>
        <w:t>se</w:t>
      </w:r>
      <w:r w:rsidR="005D1B36">
        <w:rPr>
          <w:i/>
          <w:iCs/>
        </w:rPr>
        <w:t xml:space="preserve"> and associated health impacts</w:t>
      </w:r>
      <w:r w:rsidR="00797CA3">
        <w:rPr>
          <w:i/>
          <w:iCs/>
        </w:rPr>
        <w:t>,</w:t>
      </w:r>
      <w:r w:rsidR="00117D73">
        <w:t xml:space="preserve"> </w:t>
      </w:r>
      <w:r w:rsidR="00B72222">
        <w:rPr>
          <w:i/>
          <w:iCs/>
        </w:rPr>
        <w:t xml:space="preserve">key </w:t>
      </w:r>
      <w:r w:rsidR="00117D73" w:rsidRPr="008817C1">
        <w:rPr>
          <w:i/>
          <w:iCs/>
        </w:rPr>
        <w:t>stakeholders</w:t>
      </w:r>
      <w:r w:rsidR="00CF6A48">
        <w:t>,</w:t>
      </w:r>
      <w:r w:rsidR="00B72222">
        <w:t xml:space="preserve"> </w:t>
      </w:r>
      <w:r w:rsidR="00B72222">
        <w:rPr>
          <w:i/>
          <w:iCs/>
        </w:rPr>
        <w:t xml:space="preserve">and </w:t>
      </w:r>
      <w:r w:rsidR="00CF0155">
        <w:rPr>
          <w:i/>
          <w:iCs/>
        </w:rPr>
        <w:t xml:space="preserve">concrete recommendations to </w:t>
      </w:r>
      <w:r w:rsidR="00B72222">
        <w:rPr>
          <w:i/>
          <w:iCs/>
        </w:rPr>
        <w:t>accelerat</w:t>
      </w:r>
      <w:r w:rsidR="00CF0155">
        <w:rPr>
          <w:i/>
          <w:iCs/>
        </w:rPr>
        <w:t>e</w:t>
      </w:r>
      <w:r w:rsidR="00B72222">
        <w:rPr>
          <w:i/>
          <w:iCs/>
        </w:rPr>
        <w:t xml:space="preserve"> the transition to clean household energy</w:t>
      </w:r>
      <w:r w:rsidR="00CF0155">
        <w:rPr>
          <w:i/>
          <w:iCs/>
        </w:rPr>
        <w:t xml:space="preserve">. </w:t>
      </w:r>
      <w:r w:rsidR="00CF6A48">
        <w:t xml:space="preserve"> </w:t>
      </w:r>
      <w:r w:rsidR="00BF2770">
        <w:t xml:space="preserve">Countries should use this </w:t>
      </w:r>
      <w:r w:rsidR="00117D73">
        <w:t xml:space="preserve">policy brief </w:t>
      </w:r>
      <w:r w:rsidR="00BF2770">
        <w:t>template to develop a summary document highlighting key findings from the HEART</w:t>
      </w:r>
      <w:r w:rsidR="007D46F2">
        <w:t xml:space="preserve"> report, complete with relevant local photos, which can be used </w:t>
      </w:r>
      <w:r w:rsidR="00A853A5">
        <w:t xml:space="preserve">for promoting the key messages and </w:t>
      </w:r>
      <w:r w:rsidR="00B072C9">
        <w:t>pathways forward</w:t>
      </w:r>
      <w:r w:rsidR="00A853A5">
        <w:t xml:space="preserve"> from the report. </w:t>
      </w:r>
    </w:p>
    <w:p w14:paraId="0BF9E3B1" w14:textId="160BF69F" w:rsidR="009A1468" w:rsidRPr="00060B74" w:rsidRDefault="009A1468">
      <w:pPr>
        <w:pBdr>
          <w:bottom w:val="single" w:sz="24" w:space="1" w:color="auto"/>
        </w:pBdr>
        <w:rPr>
          <w:i/>
          <w:iCs/>
        </w:rPr>
      </w:pPr>
    </w:p>
    <w:p w14:paraId="4EDA7967" w14:textId="5B78E19F" w:rsidR="00E404FF" w:rsidRPr="00060B74" w:rsidRDefault="00C10AB6" w:rsidP="00060B74">
      <w:pPr>
        <w:spacing w:after="0"/>
        <w:jc w:val="center"/>
        <w:rPr>
          <w:rFonts w:ascii="Calibri" w:eastAsia="Calibri" w:hAnsi="Calibri" w:cs="Arial"/>
          <w:b/>
          <w:bCs/>
          <w:i/>
          <w:iCs/>
          <w:lang w:val="en-GB"/>
        </w:rPr>
      </w:pPr>
      <w:r w:rsidRPr="00060B74">
        <w:rPr>
          <w:rFonts w:ascii="Calibri" w:eastAsia="Calibri" w:hAnsi="Calibri" w:cs="Arial"/>
          <w:b/>
          <w:bCs/>
          <w:i/>
          <w:iCs/>
          <w:lang w:val="en-GB"/>
        </w:rPr>
        <w:t>[add photos here]</w:t>
      </w:r>
    </w:p>
    <w:p w14:paraId="2C7A1932" w14:textId="77777777" w:rsidR="00D8128B" w:rsidRDefault="00D8128B" w:rsidP="00246DD8">
      <w:pPr>
        <w:spacing w:after="0"/>
        <w:rPr>
          <w:rFonts w:cs="Arial"/>
          <w:b/>
          <w:bCs/>
        </w:rPr>
      </w:pPr>
    </w:p>
    <w:tbl>
      <w:tblPr>
        <w:tblStyle w:val="Tabellenraster"/>
        <w:tblW w:w="0" w:type="auto"/>
        <w:jc w:val="center"/>
        <w:tblLook w:val="04A0" w:firstRow="1" w:lastRow="0" w:firstColumn="1" w:lastColumn="0" w:noHBand="0" w:noVBand="1"/>
      </w:tblPr>
      <w:tblGrid>
        <w:gridCol w:w="4675"/>
        <w:gridCol w:w="1440"/>
      </w:tblGrid>
      <w:tr w:rsidR="00D8128B" w14:paraId="62D6AA12" w14:textId="77777777" w:rsidTr="15330243">
        <w:trPr>
          <w:jc w:val="center"/>
        </w:trPr>
        <w:tc>
          <w:tcPr>
            <w:tcW w:w="4675" w:type="dxa"/>
          </w:tcPr>
          <w:p w14:paraId="0A8A8D93" w14:textId="77777777" w:rsidR="00D8128B" w:rsidRDefault="00D8128B" w:rsidP="00006CBF">
            <w:pPr>
              <w:rPr>
                <w:rFonts w:ascii="Calibri" w:eastAsia="Calibri" w:hAnsi="Calibri" w:cs="Arial"/>
                <w:b/>
                <w:bCs/>
              </w:rPr>
            </w:pPr>
            <w:r>
              <w:rPr>
                <w:rFonts w:ascii="Calibri" w:eastAsia="Calibri" w:hAnsi="Calibri" w:cs="Arial"/>
                <w:b/>
                <w:bCs/>
              </w:rPr>
              <w:t>National household energy and health snapshot</w:t>
            </w:r>
          </w:p>
        </w:tc>
        <w:tc>
          <w:tcPr>
            <w:tcW w:w="1440" w:type="dxa"/>
          </w:tcPr>
          <w:p w14:paraId="0065F78E" w14:textId="77777777" w:rsidR="00D8128B" w:rsidRPr="00702BA1" w:rsidRDefault="00D8128B" w:rsidP="00006CBF">
            <w:pPr>
              <w:rPr>
                <w:rFonts w:ascii="Calibri" w:eastAsia="Calibri" w:hAnsi="Calibri" w:cs="Arial"/>
              </w:rPr>
            </w:pPr>
            <w:r w:rsidRPr="00702BA1">
              <w:rPr>
                <w:rFonts w:ascii="Calibri" w:eastAsia="Calibri" w:hAnsi="Calibri" w:cs="Arial"/>
              </w:rPr>
              <w:t>Statistics</w:t>
            </w:r>
          </w:p>
        </w:tc>
      </w:tr>
      <w:tr w:rsidR="00D8128B" w14:paraId="444110A4" w14:textId="77777777" w:rsidTr="15330243">
        <w:trPr>
          <w:jc w:val="center"/>
        </w:trPr>
        <w:tc>
          <w:tcPr>
            <w:tcW w:w="4675" w:type="dxa"/>
          </w:tcPr>
          <w:p w14:paraId="60476A2D" w14:textId="77777777" w:rsidR="00D8128B" w:rsidRDefault="00D8128B" w:rsidP="00006CBF">
            <w:pPr>
              <w:rPr>
                <w:rFonts w:ascii="Calibri" w:eastAsia="Calibri" w:hAnsi="Calibri" w:cs="Arial"/>
                <w:b/>
                <w:bCs/>
              </w:rPr>
            </w:pPr>
            <w:r w:rsidRPr="00E500AE">
              <w:rPr>
                <w:rFonts w:ascii="Calibri" w:eastAsia="Calibri" w:hAnsi="Calibri" w:cs="Arial"/>
              </w:rPr>
              <w:t>Number of people using polluting fuels and technologies for cooking (i.e., those exposed to household air pollution</w:t>
            </w:r>
            <w:r>
              <w:rPr>
                <w:rFonts w:ascii="Calibri" w:eastAsia="Calibri" w:hAnsi="Calibri" w:cs="Arial"/>
              </w:rPr>
              <w:t>)</w:t>
            </w:r>
          </w:p>
        </w:tc>
        <w:tc>
          <w:tcPr>
            <w:tcW w:w="1440" w:type="dxa"/>
          </w:tcPr>
          <w:p w14:paraId="2EC12F51" w14:textId="77777777" w:rsidR="00D8128B" w:rsidRDefault="00D8128B" w:rsidP="00006CBF">
            <w:pPr>
              <w:rPr>
                <w:rFonts w:ascii="Calibri" w:eastAsia="Calibri" w:hAnsi="Calibri" w:cs="Arial"/>
                <w:b/>
                <w:bCs/>
              </w:rPr>
            </w:pPr>
          </w:p>
        </w:tc>
      </w:tr>
      <w:tr w:rsidR="00D8128B" w14:paraId="28B13DF2" w14:textId="77777777" w:rsidTr="15330243">
        <w:trPr>
          <w:jc w:val="center"/>
        </w:trPr>
        <w:tc>
          <w:tcPr>
            <w:tcW w:w="4675" w:type="dxa"/>
          </w:tcPr>
          <w:p w14:paraId="0F2831BB" w14:textId="77777777" w:rsidR="00D8128B" w:rsidRDefault="00D8128B" w:rsidP="00006CBF">
            <w:pPr>
              <w:rPr>
                <w:rFonts w:ascii="Calibri" w:eastAsia="Calibri" w:hAnsi="Calibri" w:cs="Arial"/>
                <w:b/>
                <w:bCs/>
              </w:rPr>
            </w:pPr>
            <w:r w:rsidRPr="00E500AE">
              <w:rPr>
                <w:rFonts w:ascii="Calibri" w:eastAsia="Calibri" w:hAnsi="Calibri" w:cs="Arial"/>
              </w:rPr>
              <w:t>Annual deaths from household air pollution exposure</w:t>
            </w:r>
          </w:p>
        </w:tc>
        <w:tc>
          <w:tcPr>
            <w:tcW w:w="1440" w:type="dxa"/>
          </w:tcPr>
          <w:p w14:paraId="140897B9" w14:textId="77777777" w:rsidR="00D8128B" w:rsidRDefault="00D8128B" w:rsidP="00006CBF">
            <w:pPr>
              <w:rPr>
                <w:rFonts w:ascii="Calibri" w:eastAsia="Calibri" w:hAnsi="Calibri" w:cs="Arial"/>
                <w:b/>
                <w:bCs/>
              </w:rPr>
            </w:pPr>
          </w:p>
        </w:tc>
      </w:tr>
      <w:tr w:rsidR="00D8128B" w14:paraId="3E209FA9" w14:textId="77777777" w:rsidTr="15330243">
        <w:trPr>
          <w:jc w:val="center"/>
        </w:trPr>
        <w:tc>
          <w:tcPr>
            <w:tcW w:w="4675" w:type="dxa"/>
          </w:tcPr>
          <w:p w14:paraId="32A2270F" w14:textId="77777777" w:rsidR="00D8128B" w:rsidRPr="00702BA1" w:rsidRDefault="00D8128B" w:rsidP="00006CBF">
            <w:pPr>
              <w:rPr>
                <w:rFonts w:ascii="Calibri" w:eastAsia="Calibri" w:hAnsi="Calibri" w:cs="Arial"/>
              </w:rPr>
            </w:pPr>
            <w:r w:rsidRPr="00702BA1">
              <w:rPr>
                <w:rFonts w:ascii="Calibri" w:eastAsia="Calibri" w:hAnsi="Calibri" w:cs="Arial"/>
              </w:rPr>
              <w:t>Percent of population using clean fuels and technologies for cooking</w:t>
            </w:r>
          </w:p>
        </w:tc>
        <w:tc>
          <w:tcPr>
            <w:tcW w:w="1440" w:type="dxa"/>
          </w:tcPr>
          <w:p w14:paraId="11C1427E" w14:textId="77777777" w:rsidR="00D8128B" w:rsidRDefault="00D8128B" w:rsidP="00006CBF">
            <w:pPr>
              <w:rPr>
                <w:rFonts w:ascii="Calibri" w:eastAsia="Calibri" w:hAnsi="Calibri" w:cs="Arial"/>
                <w:b/>
                <w:bCs/>
              </w:rPr>
            </w:pPr>
          </w:p>
        </w:tc>
      </w:tr>
      <w:tr w:rsidR="00D8128B" w14:paraId="60C2A441" w14:textId="77777777" w:rsidTr="15330243">
        <w:trPr>
          <w:jc w:val="center"/>
        </w:trPr>
        <w:tc>
          <w:tcPr>
            <w:tcW w:w="4675" w:type="dxa"/>
          </w:tcPr>
          <w:p w14:paraId="0499DF9A" w14:textId="441D3D3E" w:rsidR="00D8128B" w:rsidRPr="00702BA1" w:rsidRDefault="00D8128B" w:rsidP="00006CBF">
            <w:pPr>
              <w:rPr>
                <w:rFonts w:ascii="Calibri" w:eastAsia="Calibri" w:hAnsi="Calibri" w:cs="Arial"/>
              </w:rPr>
            </w:pPr>
            <w:r w:rsidRPr="15330243">
              <w:rPr>
                <w:rFonts w:ascii="Calibri" w:eastAsia="Calibri" w:hAnsi="Calibri" w:cs="Arial"/>
              </w:rPr>
              <w:t>Percent of population having access to electricity in the household</w:t>
            </w:r>
          </w:p>
        </w:tc>
        <w:tc>
          <w:tcPr>
            <w:tcW w:w="1440" w:type="dxa"/>
          </w:tcPr>
          <w:p w14:paraId="1E23DC2E" w14:textId="77777777" w:rsidR="00D8128B" w:rsidRDefault="00D8128B" w:rsidP="00006CBF">
            <w:pPr>
              <w:rPr>
                <w:rFonts w:ascii="Calibri" w:eastAsia="Calibri" w:hAnsi="Calibri" w:cs="Arial"/>
                <w:b/>
                <w:bCs/>
              </w:rPr>
            </w:pPr>
          </w:p>
        </w:tc>
      </w:tr>
    </w:tbl>
    <w:p w14:paraId="2B163098" w14:textId="77777777" w:rsidR="00D8128B" w:rsidRDefault="00D8128B" w:rsidP="00246DD8">
      <w:pPr>
        <w:spacing w:after="0"/>
        <w:rPr>
          <w:rFonts w:cs="Arial"/>
          <w:b/>
          <w:bCs/>
        </w:rPr>
      </w:pPr>
    </w:p>
    <w:p w14:paraId="7E43C25F" w14:textId="63255AB8" w:rsidR="00246DD8" w:rsidRPr="008B09CE" w:rsidRDefault="00246DD8" w:rsidP="00246DD8">
      <w:pPr>
        <w:spacing w:after="0"/>
        <w:rPr>
          <w:rFonts w:cs="Arial"/>
          <w:b/>
          <w:bCs/>
        </w:rPr>
      </w:pPr>
      <w:r w:rsidRPr="008B09CE">
        <w:rPr>
          <w:rFonts w:cs="Arial"/>
          <w:b/>
          <w:bCs/>
        </w:rPr>
        <w:t xml:space="preserve">Health </w:t>
      </w:r>
      <w:r w:rsidR="00A412BE">
        <w:rPr>
          <w:rFonts w:cs="Arial"/>
          <w:b/>
          <w:bCs/>
        </w:rPr>
        <w:t>i</w:t>
      </w:r>
      <w:r w:rsidRPr="008B09CE">
        <w:rPr>
          <w:rFonts w:cs="Arial"/>
          <w:b/>
          <w:bCs/>
        </w:rPr>
        <w:t>mpacts</w:t>
      </w:r>
      <w:r>
        <w:rPr>
          <w:rFonts w:cs="Arial"/>
          <w:b/>
          <w:bCs/>
        </w:rPr>
        <w:t xml:space="preserve"> from household air pollution</w:t>
      </w:r>
    </w:p>
    <w:p w14:paraId="730CB2E9" w14:textId="3737A6E5" w:rsidR="00F86724" w:rsidRDefault="00246DD8" w:rsidP="00246DD8">
      <w:pPr>
        <w:rPr>
          <w:rFonts w:cs="Arial"/>
          <w:i/>
          <w:iCs/>
          <w:szCs w:val="20"/>
          <w:lang w:val="en"/>
        </w:rPr>
      </w:pPr>
      <w:r w:rsidRPr="009439B0">
        <w:rPr>
          <w:i/>
        </w:rPr>
        <w:t xml:space="preserve">Summarize the burden of disease and </w:t>
      </w:r>
      <w:r w:rsidR="00827523">
        <w:rPr>
          <w:i/>
        </w:rPr>
        <w:t xml:space="preserve">other </w:t>
      </w:r>
      <w:r w:rsidRPr="009439B0">
        <w:rPr>
          <w:i/>
        </w:rPr>
        <w:t xml:space="preserve">health effects of household air pollution in the country. </w:t>
      </w:r>
      <w:r>
        <w:rPr>
          <w:i/>
          <w:iCs/>
        </w:rPr>
        <w:t xml:space="preserve">This information can be presented in a table </w:t>
      </w:r>
      <w:r w:rsidR="00AC3B24">
        <w:rPr>
          <w:i/>
          <w:iCs/>
        </w:rPr>
        <w:t xml:space="preserve">or graph </w:t>
      </w:r>
      <w:r>
        <w:rPr>
          <w:i/>
          <w:iCs/>
        </w:rPr>
        <w:t xml:space="preserve">with </w:t>
      </w:r>
      <w:r w:rsidRPr="008B09CE">
        <w:rPr>
          <w:rFonts w:cs="Arial"/>
          <w:i/>
          <w:iCs/>
          <w:szCs w:val="20"/>
          <w:lang w:val="en"/>
        </w:rPr>
        <w:t xml:space="preserve">the </w:t>
      </w:r>
      <w:r w:rsidR="004C64B5" w:rsidRPr="008B09CE">
        <w:rPr>
          <w:rFonts w:cs="Arial"/>
          <w:i/>
          <w:iCs/>
          <w:szCs w:val="20"/>
          <w:lang w:val="en"/>
        </w:rPr>
        <w:t xml:space="preserve">annual deaths </w:t>
      </w:r>
      <w:r w:rsidR="00635503">
        <w:rPr>
          <w:rFonts w:cs="Arial"/>
          <w:i/>
          <w:iCs/>
          <w:szCs w:val="20"/>
          <w:lang w:val="en"/>
        </w:rPr>
        <w:t xml:space="preserve">and </w:t>
      </w:r>
      <w:r w:rsidRPr="008B09CE">
        <w:rPr>
          <w:rFonts w:cs="Arial"/>
          <w:i/>
          <w:iCs/>
          <w:szCs w:val="20"/>
          <w:lang w:val="en"/>
        </w:rPr>
        <w:t xml:space="preserve">years of life lost due to disability </w:t>
      </w:r>
      <w:r>
        <w:rPr>
          <w:rFonts w:cs="Arial"/>
          <w:i/>
          <w:iCs/>
          <w:szCs w:val="20"/>
          <w:lang w:val="en"/>
        </w:rPr>
        <w:t xml:space="preserve">and premature deaths </w:t>
      </w:r>
      <w:r w:rsidRPr="008B09CE">
        <w:rPr>
          <w:rFonts w:cs="Arial"/>
          <w:i/>
          <w:iCs/>
          <w:szCs w:val="20"/>
          <w:lang w:val="en"/>
        </w:rPr>
        <w:t>(DALYs) by type of disease attributable to household air pollution</w:t>
      </w:r>
      <w:r w:rsidR="00B179E0">
        <w:rPr>
          <w:rStyle w:val="Funotenzeichen"/>
          <w:rFonts w:cs="Arial"/>
          <w:i/>
          <w:iCs/>
          <w:szCs w:val="20"/>
          <w:lang w:val="en"/>
        </w:rPr>
        <w:footnoteReference w:id="3"/>
      </w:r>
      <w:r w:rsidRPr="008B09CE">
        <w:rPr>
          <w:rFonts w:cs="Arial"/>
          <w:i/>
          <w:iCs/>
          <w:szCs w:val="20"/>
          <w:lang w:val="en"/>
        </w:rPr>
        <w:t>.</w:t>
      </w:r>
      <w:r w:rsidR="00FA1823" w:rsidRPr="00FA1823">
        <w:t xml:space="preserve"> </w:t>
      </w:r>
      <w:r w:rsidR="00FA1823" w:rsidRPr="00FA1823">
        <w:rPr>
          <w:rFonts w:cs="Arial"/>
          <w:i/>
          <w:iCs/>
          <w:szCs w:val="20"/>
          <w:lang w:val="en"/>
        </w:rPr>
        <w:t xml:space="preserve">It can also be useful to show </w:t>
      </w:r>
      <w:r w:rsidR="00895DA8">
        <w:rPr>
          <w:rFonts w:cs="Arial"/>
          <w:i/>
          <w:iCs/>
          <w:szCs w:val="20"/>
          <w:lang w:val="en"/>
        </w:rPr>
        <w:t>these figures</w:t>
      </w:r>
      <w:r w:rsidR="00842618">
        <w:rPr>
          <w:rFonts w:cs="Arial"/>
          <w:i/>
          <w:iCs/>
          <w:szCs w:val="20"/>
          <w:lang w:val="en"/>
        </w:rPr>
        <w:t xml:space="preserve"> against </w:t>
      </w:r>
      <w:r w:rsidR="007D7375">
        <w:rPr>
          <w:rFonts w:cs="Arial"/>
          <w:i/>
          <w:iCs/>
          <w:szCs w:val="20"/>
          <w:lang w:val="en"/>
        </w:rPr>
        <w:t>total deaths</w:t>
      </w:r>
      <w:r w:rsidR="00693134">
        <w:rPr>
          <w:rFonts w:cs="Arial"/>
          <w:i/>
          <w:iCs/>
          <w:szCs w:val="20"/>
          <w:lang w:val="en"/>
        </w:rPr>
        <w:t xml:space="preserve"> and DALYs </w:t>
      </w:r>
      <w:r w:rsidR="005B239D">
        <w:rPr>
          <w:rFonts w:cs="Arial"/>
          <w:i/>
          <w:iCs/>
          <w:szCs w:val="20"/>
          <w:lang w:val="en"/>
        </w:rPr>
        <w:t>for each disease</w:t>
      </w:r>
      <w:r w:rsidR="00681F44">
        <w:rPr>
          <w:rStyle w:val="Funotenzeichen"/>
          <w:rFonts w:cs="Arial"/>
          <w:i/>
          <w:iCs/>
          <w:szCs w:val="20"/>
          <w:lang w:val="en"/>
        </w:rPr>
        <w:footnoteReference w:id="4"/>
      </w:r>
      <w:r w:rsidR="008306FB">
        <w:rPr>
          <w:rFonts w:cs="Arial"/>
          <w:i/>
          <w:iCs/>
          <w:szCs w:val="20"/>
          <w:lang w:val="en"/>
        </w:rPr>
        <w:t xml:space="preserve">. </w:t>
      </w:r>
      <w:r w:rsidR="00102042">
        <w:rPr>
          <w:rFonts w:cs="Arial"/>
          <w:i/>
          <w:iCs/>
          <w:szCs w:val="20"/>
          <w:lang w:val="en"/>
        </w:rPr>
        <w:t>All of this d</w:t>
      </w:r>
      <w:r w:rsidR="00693134">
        <w:rPr>
          <w:rFonts w:cs="Arial"/>
          <w:i/>
          <w:iCs/>
          <w:szCs w:val="20"/>
          <w:lang w:val="en"/>
        </w:rPr>
        <w:t xml:space="preserve">ata </w:t>
      </w:r>
      <w:r w:rsidR="00102042">
        <w:rPr>
          <w:rFonts w:cs="Arial"/>
          <w:i/>
          <w:iCs/>
          <w:szCs w:val="20"/>
          <w:lang w:val="en"/>
        </w:rPr>
        <w:t xml:space="preserve">is </w:t>
      </w:r>
      <w:r w:rsidR="00693134">
        <w:rPr>
          <w:rFonts w:cs="Arial"/>
          <w:i/>
          <w:iCs/>
          <w:szCs w:val="20"/>
          <w:lang w:val="en"/>
        </w:rPr>
        <w:t xml:space="preserve">available on the </w:t>
      </w:r>
      <w:r w:rsidR="00102042">
        <w:rPr>
          <w:rFonts w:cs="Arial"/>
          <w:i/>
          <w:iCs/>
          <w:szCs w:val="20"/>
          <w:lang w:val="en"/>
        </w:rPr>
        <w:t xml:space="preserve">WHO Global Health </w:t>
      </w:r>
      <w:r w:rsidR="0038752E" w:rsidRPr="0038752E">
        <w:rPr>
          <w:rFonts w:cs="Arial"/>
          <w:i/>
          <w:iCs/>
          <w:szCs w:val="20"/>
          <w:lang w:val="en"/>
        </w:rPr>
        <w:t>Observatory</w:t>
      </w:r>
      <w:r w:rsidR="0038752E">
        <w:rPr>
          <w:rFonts w:cs="Arial"/>
          <w:i/>
          <w:iCs/>
          <w:szCs w:val="20"/>
          <w:lang w:val="en"/>
        </w:rPr>
        <w:t xml:space="preserve">. </w:t>
      </w:r>
    </w:p>
    <w:p w14:paraId="5112D449" w14:textId="77777777" w:rsidR="00702BA1" w:rsidRDefault="00702BA1" w:rsidP="001140A7">
      <w:pPr>
        <w:rPr>
          <w:i/>
          <w:iCs/>
        </w:rPr>
      </w:pPr>
      <w:r>
        <w:rPr>
          <w:i/>
          <w:iCs/>
        </w:rPr>
        <w:lastRenderedPageBreak/>
        <w:br/>
      </w:r>
    </w:p>
    <w:p w14:paraId="34040654" w14:textId="5A66DF11" w:rsidR="001140A7" w:rsidRPr="00CA19B7" w:rsidRDefault="001140A7" w:rsidP="001140A7">
      <w:pPr>
        <w:rPr>
          <w:i/>
          <w:iCs/>
        </w:rPr>
      </w:pPr>
      <w:r w:rsidRPr="00CA19B7">
        <w:rPr>
          <w:i/>
          <w:iCs/>
        </w:rPr>
        <w:t xml:space="preserve">Example </w:t>
      </w:r>
      <w:r w:rsidR="00171FC1">
        <w:rPr>
          <w:i/>
          <w:iCs/>
        </w:rPr>
        <w:t xml:space="preserve">of </w:t>
      </w:r>
      <w:r w:rsidR="00AE5B5C">
        <w:rPr>
          <w:i/>
          <w:iCs/>
        </w:rPr>
        <w:t xml:space="preserve">number of </w:t>
      </w:r>
      <w:r w:rsidR="00CE330F">
        <w:rPr>
          <w:i/>
          <w:iCs/>
        </w:rPr>
        <w:t xml:space="preserve">total </w:t>
      </w:r>
      <w:r w:rsidR="00A67436">
        <w:rPr>
          <w:i/>
          <w:iCs/>
        </w:rPr>
        <w:t xml:space="preserve">deaths from specific </w:t>
      </w:r>
      <w:r w:rsidR="00CE330F">
        <w:rPr>
          <w:i/>
          <w:iCs/>
        </w:rPr>
        <w:t>diseases</w:t>
      </w:r>
      <w:r w:rsidR="00A67436">
        <w:rPr>
          <w:i/>
          <w:iCs/>
        </w:rPr>
        <w:t xml:space="preserve"> attributable to household air pollution in</w:t>
      </w:r>
      <w:r w:rsidR="00171FC1" w:rsidRPr="00CA19B7">
        <w:rPr>
          <w:i/>
          <w:iCs/>
        </w:rPr>
        <w:t xml:space="preserve"> </w:t>
      </w:r>
      <w:r w:rsidR="00544E1C">
        <w:rPr>
          <w:i/>
          <w:iCs/>
        </w:rPr>
        <w:t>Rwanda</w:t>
      </w:r>
      <w:r w:rsidR="009D472B">
        <w:rPr>
          <w:i/>
          <w:iCs/>
        </w:rPr>
        <w:t xml:space="preserve"> in 2016</w:t>
      </w:r>
      <w:r w:rsidRPr="00CA19B7">
        <w:rPr>
          <w:i/>
          <w:iCs/>
        </w:rPr>
        <w:t>:</w:t>
      </w:r>
      <w:r w:rsidRPr="00CA19B7">
        <w:rPr>
          <w:rFonts w:cs="Arial"/>
          <w:i/>
          <w:iCs/>
          <w:noProof/>
        </w:rPr>
        <w:t xml:space="preserve"> </w:t>
      </w:r>
    </w:p>
    <w:p w14:paraId="59D9D352" w14:textId="45736730" w:rsidR="00CD0FE6" w:rsidRDefault="00CD0FE6" w:rsidP="00702BA1">
      <w:pPr>
        <w:spacing w:after="0"/>
        <w:jc w:val="center"/>
        <w:rPr>
          <w:rFonts w:ascii="Calibri" w:hAnsi="Calibri"/>
          <w:highlight w:val="yellow"/>
        </w:rPr>
      </w:pPr>
      <w:r w:rsidRPr="00702BA1">
        <w:rPr>
          <w:rFonts w:ascii="Calibri" w:hAnsi="Calibri"/>
          <w:noProof/>
        </w:rPr>
        <w:drawing>
          <wp:inline distT="0" distB="0" distL="0" distR="0" wp14:anchorId="31843BFC" wp14:editId="410E7FFF">
            <wp:extent cx="4006800" cy="281221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565"/>
                    <a:stretch/>
                  </pic:blipFill>
                  <pic:spPr bwMode="auto">
                    <a:xfrm>
                      <a:off x="0" y="0"/>
                      <a:ext cx="4006800" cy="2812218"/>
                    </a:xfrm>
                    <a:prstGeom prst="rect">
                      <a:avLst/>
                    </a:prstGeom>
                    <a:noFill/>
                    <a:ln>
                      <a:noFill/>
                    </a:ln>
                    <a:extLst>
                      <a:ext uri="{53640926-AAD7-44D8-BBD7-CCE9431645EC}">
                        <a14:shadowObscured xmlns:a14="http://schemas.microsoft.com/office/drawing/2010/main"/>
                      </a:ext>
                    </a:extLst>
                  </pic:spPr>
                </pic:pic>
              </a:graphicData>
            </a:graphic>
          </wp:inline>
        </w:drawing>
      </w:r>
    </w:p>
    <w:p w14:paraId="3F645571" w14:textId="67B690A2" w:rsidR="003A214D" w:rsidRPr="00702BA1" w:rsidRDefault="003A214D" w:rsidP="00702BA1">
      <w:pPr>
        <w:rPr>
          <w:rFonts w:ascii="Calibri" w:hAnsi="Calibri"/>
          <w:sz w:val="18"/>
          <w:szCs w:val="18"/>
        </w:rPr>
      </w:pPr>
      <w:r w:rsidRPr="00702BA1">
        <w:rPr>
          <w:rFonts w:ascii="Calibri" w:hAnsi="Calibri"/>
          <w:sz w:val="18"/>
          <w:szCs w:val="18"/>
        </w:rPr>
        <w:t>*</w:t>
      </w:r>
      <w:r w:rsidR="00930F80">
        <w:rPr>
          <w:rFonts w:ascii="Calibri" w:hAnsi="Calibri"/>
          <w:sz w:val="18"/>
          <w:szCs w:val="18"/>
        </w:rPr>
        <w:t>Estimat</w:t>
      </w:r>
      <w:r w:rsidR="008306FB">
        <w:rPr>
          <w:rFonts w:ascii="Calibri" w:hAnsi="Calibri"/>
          <w:sz w:val="18"/>
          <w:szCs w:val="18"/>
        </w:rPr>
        <w:t>es</w:t>
      </w:r>
      <w:r w:rsidR="009F4F42">
        <w:rPr>
          <w:rFonts w:ascii="Calibri" w:hAnsi="Calibri"/>
          <w:sz w:val="18"/>
          <w:szCs w:val="18"/>
        </w:rPr>
        <w:t xml:space="preserve"> in</w:t>
      </w:r>
      <w:r w:rsidR="000344D5" w:rsidRPr="00702BA1">
        <w:rPr>
          <w:rFonts w:ascii="Calibri" w:hAnsi="Calibri"/>
          <w:sz w:val="18"/>
          <w:szCs w:val="18"/>
        </w:rPr>
        <w:t xml:space="preserve"> adults of </w:t>
      </w:r>
      <w:r w:rsidR="00C940DD" w:rsidRPr="00702BA1">
        <w:rPr>
          <w:rFonts w:ascii="Calibri" w:hAnsi="Calibri"/>
          <w:sz w:val="18"/>
          <w:szCs w:val="18"/>
        </w:rPr>
        <w:t xml:space="preserve">above 25 years old for all diseases except for lower respiratory infections which included all ages. </w:t>
      </w:r>
    </w:p>
    <w:p w14:paraId="63A94AD3" w14:textId="7044BBE7" w:rsidR="00CD5EE9" w:rsidRDefault="001140A7" w:rsidP="00702BA1">
      <w:pPr>
        <w:jc w:val="center"/>
        <w:rPr>
          <w:rFonts w:ascii="Calibri" w:hAnsi="Calibri"/>
        </w:rPr>
      </w:pPr>
      <w:r w:rsidRPr="00702BA1">
        <w:rPr>
          <w:i/>
          <w:iCs/>
          <w:sz w:val="18"/>
          <w:szCs w:val="18"/>
        </w:rPr>
        <w:t xml:space="preserve">Source: WHO </w:t>
      </w:r>
      <w:r w:rsidR="006A335F">
        <w:rPr>
          <w:i/>
          <w:iCs/>
          <w:sz w:val="18"/>
          <w:szCs w:val="18"/>
        </w:rPr>
        <w:t>Global Health O</w:t>
      </w:r>
      <w:r w:rsidRPr="00702BA1">
        <w:rPr>
          <w:i/>
          <w:iCs/>
          <w:sz w:val="18"/>
          <w:szCs w:val="18"/>
        </w:rPr>
        <w:t>bservatory</w:t>
      </w:r>
      <w:r w:rsidR="005A4DF0">
        <w:rPr>
          <w:i/>
          <w:iCs/>
          <w:sz w:val="18"/>
          <w:szCs w:val="18"/>
        </w:rPr>
        <w:t xml:space="preserve"> </w:t>
      </w:r>
      <w:r w:rsidR="000B5701">
        <w:rPr>
          <w:i/>
          <w:iCs/>
          <w:sz w:val="18"/>
          <w:szCs w:val="18"/>
        </w:rPr>
        <w:t>(</w:t>
      </w:r>
      <w:r w:rsidR="00254AAD">
        <w:rPr>
          <w:i/>
          <w:iCs/>
          <w:sz w:val="18"/>
          <w:szCs w:val="18"/>
        </w:rPr>
        <w:t>I</w:t>
      </w:r>
      <w:r w:rsidR="000B5701">
        <w:rPr>
          <w:i/>
          <w:iCs/>
          <w:sz w:val="18"/>
          <w:szCs w:val="18"/>
        </w:rPr>
        <w:t xml:space="preserve">ndicator: </w:t>
      </w:r>
      <w:r w:rsidR="00F30072">
        <w:rPr>
          <w:i/>
          <w:iCs/>
          <w:sz w:val="18"/>
          <w:szCs w:val="18"/>
        </w:rPr>
        <w:t>h</w:t>
      </w:r>
      <w:r w:rsidR="008A6401">
        <w:rPr>
          <w:i/>
          <w:iCs/>
          <w:sz w:val="18"/>
          <w:szCs w:val="18"/>
        </w:rPr>
        <w:t>ousehold air pollution attributable deaths</w:t>
      </w:r>
      <w:r w:rsidR="000B5701">
        <w:rPr>
          <w:i/>
          <w:iCs/>
          <w:sz w:val="18"/>
          <w:szCs w:val="18"/>
        </w:rPr>
        <w:t xml:space="preserve">) </w:t>
      </w:r>
      <w:r w:rsidR="006324C9">
        <w:rPr>
          <w:i/>
          <w:iCs/>
          <w:sz w:val="18"/>
          <w:szCs w:val="18"/>
        </w:rPr>
        <w:t>and</w:t>
      </w:r>
      <w:r w:rsidR="00B605C6">
        <w:rPr>
          <w:i/>
          <w:iCs/>
          <w:sz w:val="18"/>
          <w:szCs w:val="18"/>
        </w:rPr>
        <w:t xml:space="preserve"> WHO</w:t>
      </w:r>
      <w:r w:rsidR="006324C9">
        <w:rPr>
          <w:i/>
          <w:iCs/>
          <w:sz w:val="18"/>
          <w:szCs w:val="18"/>
        </w:rPr>
        <w:t xml:space="preserve"> </w:t>
      </w:r>
      <w:r w:rsidR="00FA3FE6" w:rsidRPr="00FA3FE6">
        <w:rPr>
          <w:i/>
          <w:iCs/>
          <w:sz w:val="18"/>
          <w:szCs w:val="18"/>
        </w:rPr>
        <w:t xml:space="preserve">Global Health Estimates </w:t>
      </w:r>
      <w:r w:rsidR="00473D89">
        <w:rPr>
          <w:i/>
          <w:iCs/>
          <w:sz w:val="18"/>
          <w:szCs w:val="18"/>
        </w:rPr>
        <w:t xml:space="preserve">in </w:t>
      </w:r>
      <w:r w:rsidR="008601BB">
        <w:rPr>
          <w:i/>
          <w:iCs/>
          <w:sz w:val="18"/>
          <w:szCs w:val="18"/>
        </w:rPr>
        <w:t xml:space="preserve">2016. </w:t>
      </w:r>
    </w:p>
    <w:p w14:paraId="7FC9BF4D" w14:textId="17E97BD1" w:rsidR="000C7B11" w:rsidRPr="008B09CE" w:rsidRDefault="00E703A7" w:rsidP="000C7B11">
      <w:pPr>
        <w:rPr>
          <w:b/>
          <w:bCs/>
        </w:rPr>
      </w:pPr>
      <w:r>
        <w:rPr>
          <w:b/>
          <w:bCs/>
        </w:rPr>
        <w:t xml:space="preserve">Pathways forward </w:t>
      </w:r>
      <w:r w:rsidR="000C7B11">
        <w:rPr>
          <w:b/>
          <w:bCs/>
        </w:rPr>
        <w:t>for expanding clean household energy</w:t>
      </w:r>
    </w:p>
    <w:p w14:paraId="79BCF411" w14:textId="7609EB97" w:rsidR="000C7B11" w:rsidRPr="0018662D" w:rsidRDefault="000C7B11" w:rsidP="000C7B11">
      <w:pPr>
        <w:rPr>
          <w:i/>
          <w:iCs/>
        </w:rPr>
      </w:pPr>
      <w:r w:rsidRPr="0018662D">
        <w:rPr>
          <w:i/>
          <w:iCs/>
          <w:lang w:val="en-GB"/>
        </w:rPr>
        <w:t xml:space="preserve">List the key suggestions for how the country could expand access to and use of clean household energy based on the HEART </w:t>
      </w:r>
      <w:r>
        <w:rPr>
          <w:i/>
          <w:iCs/>
          <w:lang w:val="en-GB"/>
        </w:rPr>
        <w:t xml:space="preserve">report </w:t>
      </w:r>
      <w:r w:rsidRPr="0018662D">
        <w:rPr>
          <w:i/>
          <w:iCs/>
          <w:lang w:val="en-GB"/>
        </w:rPr>
        <w:t>findings</w:t>
      </w:r>
      <w:r>
        <w:rPr>
          <w:i/>
          <w:iCs/>
          <w:lang w:val="en-GB"/>
        </w:rPr>
        <w:t>.</w:t>
      </w:r>
    </w:p>
    <w:p w14:paraId="2A7EFA6B" w14:textId="532F866A" w:rsidR="000C7B11" w:rsidRDefault="000C7B11" w:rsidP="000C7B11">
      <w:pPr>
        <w:rPr>
          <w:b/>
          <w:bCs/>
        </w:rPr>
      </w:pPr>
      <w:r>
        <w:rPr>
          <w:b/>
          <w:bCs/>
        </w:rPr>
        <w:t>Barriers to adoption of clean fuels and technologies</w:t>
      </w:r>
    </w:p>
    <w:p w14:paraId="6459B3F5" w14:textId="290A79B4" w:rsidR="000C7B11" w:rsidRDefault="000C7B11" w:rsidP="000C7B11">
      <w:pPr>
        <w:rPr>
          <w:i/>
          <w:iCs/>
        </w:rPr>
      </w:pPr>
      <w:r>
        <w:rPr>
          <w:i/>
          <w:iCs/>
        </w:rPr>
        <w:t>List</w:t>
      </w:r>
      <w:r w:rsidRPr="00BD11B7">
        <w:rPr>
          <w:i/>
          <w:iCs/>
        </w:rPr>
        <w:t xml:space="preserve"> the </w:t>
      </w:r>
      <w:r>
        <w:rPr>
          <w:i/>
          <w:iCs/>
        </w:rPr>
        <w:t>key</w:t>
      </w:r>
      <w:r w:rsidRPr="00BD11B7">
        <w:rPr>
          <w:i/>
          <w:iCs/>
        </w:rPr>
        <w:t xml:space="preserve"> challenges </w:t>
      </w:r>
      <w:r w:rsidRPr="003E750B">
        <w:rPr>
          <w:i/>
          <w:iCs/>
        </w:rPr>
        <w:t>related to achieving widespread access to and use of clean fuels for household cooking, heating, and lighting</w:t>
      </w:r>
      <w:r w:rsidR="00990343">
        <w:rPr>
          <w:i/>
          <w:iCs/>
        </w:rPr>
        <w:t xml:space="preserve"> from the HEART report</w:t>
      </w:r>
      <w:r w:rsidRPr="00BD11B7">
        <w:rPr>
          <w:i/>
          <w:iCs/>
        </w:rPr>
        <w:t xml:space="preserve">. </w:t>
      </w:r>
    </w:p>
    <w:p w14:paraId="55C65E2C" w14:textId="5691B2F8" w:rsidR="00C10E50" w:rsidRPr="00702BA1" w:rsidRDefault="00C10E50" w:rsidP="00702BA1">
      <w:pPr>
        <w:spacing w:after="0"/>
        <w:rPr>
          <w:rFonts w:ascii="Calibri" w:hAnsi="Calibri"/>
          <w:i/>
          <w:iCs/>
        </w:rPr>
      </w:pPr>
      <w:r w:rsidRPr="00702BA1">
        <w:rPr>
          <w:rFonts w:ascii="Calibri" w:hAnsi="Calibri"/>
          <w:i/>
          <w:iCs/>
        </w:rPr>
        <w:t>The table below can be included to provide an overview of leading barriers to expanding clean household energy use in the country</w:t>
      </w:r>
      <w:r>
        <w:rPr>
          <w:rFonts w:ascii="Calibri" w:hAnsi="Calibri"/>
          <w:i/>
          <w:iCs/>
        </w:rPr>
        <w:t xml:space="preserve">. It can be modified </w:t>
      </w:r>
      <w:r w:rsidR="00B80411">
        <w:rPr>
          <w:rFonts w:ascii="Calibri" w:hAnsi="Calibri"/>
          <w:i/>
          <w:iCs/>
        </w:rPr>
        <w:t xml:space="preserve">if needed to be appropriate to the local context. </w:t>
      </w:r>
    </w:p>
    <w:p w14:paraId="2C7664D5" w14:textId="77777777" w:rsidR="0034031B" w:rsidRDefault="0034031B" w:rsidP="008817C1">
      <w:pPr>
        <w:spacing w:after="0"/>
        <w:ind w:firstLine="720"/>
        <w:rPr>
          <w:rFonts w:ascii="Calibri" w:hAnsi="Calibri"/>
          <w:b/>
          <w:bCs/>
        </w:rPr>
      </w:pPr>
    </w:p>
    <w:tbl>
      <w:tblPr>
        <w:tblStyle w:val="Tabellenraster"/>
        <w:tblW w:w="10069" w:type="dxa"/>
        <w:tblLook w:val="04A0" w:firstRow="1" w:lastRow="0" w:firstColumn="1" w:lastColumn="0" w:noHBand="0" w:noVBand="1"/>
      </w:tblPr>
      <w:tblGrid>
        <w:gridCol w:w="7375"/>
        <w:gridCol w:w="2694"/>
      </w:tblGrid>
      <w:tr w:rsidR="003A0A66" w14:paraId="6A9A06A3" w14:textId="77777777" w:rsidTr="00702BA1">
        <w:tc>
          <w:tcPr>
            <w:tcW w:w="7375" w:type="dxa"/>
          </w:tcPr>
          <w:p w14:paraId="7BA80683" w14:textId="2E8BA6E4" w:rsidR="003A0A66" w:rsidRPr="008817C1" w:rsidRDefault="0062624D" w:rsidP="000C7B11">
            <w:pPr>
              <w:rPr>
                <w:b/>
                <w:bCs/>
              </w:rPr>
            </w:pPr>
            <w:r>
              <w:rPr>
                <w:b/>
                <w:bCs/>
              </w:rPr>
              <w:t xml:space="preserve">Leading </w:t>
            </w:r>
            <w:r w:rsidR="00825832">
              <w:rPr>
                <w:b/>
                <w:bCs/>
              </w:rPr>
              <w:t>b</w:t>
            </w:r>
            <w:r w:rsidR="00825832" w:rsidRPr="008817C1">
              <w:rPr>
                <w:b/>
                <w:bCs/>
              </w:rPr>
              <w:t>arriers</w:t>
            </w:r>
          </w:p>
        </w:tc>
        <w:tc>
          <w:tcPr>
            <w:tcW w:w="2694" w:type="dxa"/>
          </w:tcPr>
          <w:p w14:paraId="780ECB4B" w14:textId="3E8E47A7" w:rsidR="003A0A66" w:rsidRDefault="005C1255" w:rsidP="000C7B11">
            <w:r>
              <w:t xml:space="preserve">Challenge in </w:t>
            </w:r>
            <w:r w:rsidR="009C3500">
              <w:t xml:space="preserve">the </w:t>
            </w:r>
            <w:r w:rsidR="00825832">
              <w:t>country</w:t>
            </w:r>
            <w:r>
              <w:t xml:space="preserve">? </w:t>
            </w:r>
            <m:oMath>
              <m:r>
                <w:rPr>
                  <w:rFonts w:ascii="Cambria Math" w:hAnsi="Cambria Math"/>
                </w:rPr>
                <m:t>√</m:t>
              </m:r>
            </m:oMath>
          </w:p>
        </w:tc>
      </w:tr>
      <w:tr w:rsidR="003C4CFE" w14:paraId="66F10163" w14:textId="77777777" w:rsidTr="00702BA1">
        <w:tc>
          <w:tcPr>
            <w:tcW w:w="7375" w:type="dxa"/>
          </w:tcPr>
          <w:p w14:paraId="19E0B9C1" w14:textId="735FAECD" w:rsidR="003C4CFE" w:rsidRDefault="00B86B6C" w:rsidP="000C7B11">
            <w:r>
              <w:t>Lack of i</w:t>
            </w:r>
            <w:r w:rsidR="003C4CFE">
              <w:t>ntersectoral cooperation on household energy</w:t>
            </w:r>
          </w:p>
        </w:tc>
        <w:tc>
          <w:tcPr>
            <w:tcW w:w="2694" w:type="dxa"/>
          </w:tcPr>
          <w:p w14:paraId="5D42CE4B" w14:textId="77777777" w:rsidR="003C4CFE" w:rsidRDefault="003C4CFE" w:rsidP="000C7B11"/>
        </w:tc>
      </w:tr>
      <w:tr w:rsidR="003A0A66" w14:paraId="5E030750" w14:textId="77777777" w:rsidTr="00702BA1">
        <w:tc>
          <w:tcPr>
            <w:tcW w:w="7375" w:type="dxa"/>
          </w:tcPr>
          <w:p w14:paraId="31FD87F0" w14:textId="38C1E635" w:rsidR="003A0A66" w:rsidRDefault="001A65A7" w:rsidP="000C7B11">
            <w:r>
              <w:t>Una</w:t>
            </w:r>
            <w:r w:rsidR="00353AC4">
              <w:t xml:space="preserve">ffordability of </w:t>
            </w:r>
            <w:r w:rsidR="0062624D" w:rsidRPr="00702BA1">
              <w:rPr>
                <w:i/>
                <w:iCs/>
              </w:rPr>
              <w:t>[X</w:t>
            </w:r>
            <w:r w:rsidR="0071155C" w:rsidRPr="00702BA1">
              <w:rPr>
                <w:i/>
                <w:iCs/>
              </w:rPr>
              <w:t xml:space="preserve"> clean fuel or tech</w:t>
            </w:r>
            <w:r w:rsidR="006E7EA8" w:rsidRPr="00702BA1">
              <w:rPr>
                <w:i/>
                <w:iCs/>
              </w:rPr>
              <w:t>nology</w:t>
            </w:r>
            <w:r w:rsidR="0062624D" w:rsidRPr="00702BA1">
              <w:rPr>
                <w:i/>
                <w:iCs/>
              </w:rPr>
              <w:t>]</w:t>
            </w:r>
            <w:r w:rsidR="00C86BEE">
              <w:rPr>
                <w:i/>
                <w:iCs/>
              </w:rPr>
              <w:t>; can include</w:t>
            </w:r>
            <w:r w:rsidR="000154C0">
              <w:rPr>
                <w:i/>
                <w:iCs/>
              </w:rPr>
              <w:t xml:space="preserve"> </w:t>
            </w:r>
            <w:r w:rsidR="008B28AD">
              <w:rPr>
                <w:i/>
                <w:iCs/>
              </w:rPr>
              <w:t>whether</w:t>
            </w:r>
            <w:r w:rsidR="00C86BEE">
              <w:rPr>
                <w:i/>
                <w:iCs/>
              </w:rPr>
              <w:t xml:space="preserve"> subsidies</w:t>
            </w:r>
            <w:r w:rsidR="008B28AD">
              <w:rPr>
                <w:i/>
                <w:iCs/>
              </w:rPr>
              <w:t xml:space="preserve"> are provided</w:t>
            </w:r>
          </w:p>
        </w:tc>
        <w:tc>
          <w:tcPr>
            <w:tcW w:w="2694" w:type="dxa"/>
          </w:tcPr>
          <w:p w14:paraId="6654CB2A" w14:textId="77777777" w:rsidR="003A0A66" w:rsidRDefault="003A0A66" w:rsidP="000C7B11"/>
        </w:tc>
      </w:tr>
      <w:tr w:rsidR="003A0A66" w14:paraId="29257764" w14:textId="77777777" w:rsidTr="00702BA1">
        <w:tc>
          <w:tcPr>
            <w:tcW w:w="7375" w:type="dxa"/>
          </w:tcPr>
          <w:p w14:paraId="353C67F9" w14:textId="01A9634A" w:rsidR="003A0A66" w:rsidRDefault="001A65A7" w:rsidP="000C7B11">
            <w:r>
              <w:t>Una</w:t>
            </w:r>
            <w:r w:rsidR="00445415">
              <w:t>vailability of clean fuels and technolog</w:t>
            </w:r>
            <w:r w:rsidR="006E7EA8">
              <w:t>y</w:t>
            </w:r>
          </w:p>
        </w:tc>
        <w:tc>
          <w:tcPr>
            <w:tcW w:w="2694" w:type="dxa"/>
          </w:tcPr>
          <w:p w14:paraId="696D821D" w14:textId="77777777" w:rsidR="003A0A66" w:rsidRDefault="003A0A66" w:rsidP="000C7B11"/>
        </w:tc>
      </w:tr>
      <w:tr w:rsidR="003A0A66" w14:paraId="18856749" w14:textId="77777777" w:rsidTr="00702BA1">
        <w:tc>
          <w:tcPr>
            <w:tcW w:w="7375" w:type="dxa"/>
          </w:tcPr>
          <w:p w14:paraId="1D61FD8A" w14:textId="30E279DA" w:rsidR="003A0A66" w:rsidRDefault="001A65A7" w:rsidP="000C7B11">
            <w:r>
              <w:t>Lack of i</w:t>
            </w:r>
            <w:r w:rsidR="00445415">
              <w:t>nfrastructure</w:t>
            </w:r>
            <w:r w:rsidR="00014BA4">
              <w:t xml:space="preserve"> </w:t>
            </w:r>
            <w:r w:rsidR="0005456E">
              <w:t xml:space="preserve">for </w:t>
            </w:r>
            <w:r w:rsidR="001A1742">
              <w:t xml:space="preserve">expanding </w:t>
            </w:r>
            <w:r w:rsidR="001A1742" w:rsidRPr="00702BA1">
              <w:rPr>
                <w:i/>
                <w:iCs/>
              </w:rPr>
              <w:t>[X clean fuel or technology]</w:t>
            </w:r>
          </w:p>
        </w:tc>
        <w:tc>
          <w:tcPr>
            <w:tcW w:w="2694" w:type="dxa"/>
          </w:tcPr>
          <w:p w14:paraId="5348522D" w14:textId="77777777" w:rsidR="003A0A66" w:rsidRDefault="003A0A66" w:rsidP="000C7B11"/>
        </w:tc>
      </w:tr>
      <w:tr w:rsidR="004F53FB" w14:paraId="1FF0D22B" w14:textId="77777777" w:rsidTr="00702BA1">
        <w:tc>
          <w:tcPr>
            <w:tcW w:w="7375" w:type="dxa"/>
          </w:tcPr>
          <w:p w14:paraId="4A064867" w14:textId="24E88DAF" w:rsidR="004F53FB" w:rsidRPr="00702BA1" w:rsidRDefault="001A65A7" w:rsidP="000C7B11">
            <w:pPr>
              <w:rPr>
                <w:i/>
                <w:iCs/>
              </w:rPr>
            </w:pPr>
            <w:r>
              <w:t>Lack of e</w:t>
            </w:r>
            <w:r w:rsidR="004F53FB">
              <w:t xml:space="preserve">nforced technical standards for </w:t>
            </w:r>
            <w:r w:rsidR="00DF7A5C">
              <w:t>[</w:t>
            </w:r>
            <w:r w:rsidR="00DF7A5C">
              <w:rPr>
                <w:i/>
                <w:iCs/>
              </w:rPr>
              <w:t>X clean fuel or technology]</w:t>
            </w:r>
          </w:p>
        </w:tc>
        <w:tc>
          <w:tcPr>
            <w:tcW w:w="2694" w:type="dxa"/>
          </w:tcPr>
          <w:p w14:paraId="6E146843" w14:textId="77777777" w:rsidR="004F53FB" w:rsidRDefault="004F53FB" w:rsidP="000C7B11"/>
        </w:tc>
      </w:tr>
      <w:tr w:rsidR="00F17942" w14:paraId="1C653B1D" w14:textId="77777777" w:rsidTr="00702BA1">
        <w:tc>
          <w:tcPr>
            <w:tcW w:w="7375" w:type="dxa"/>
          </w:tcPr>
          <w:p w14:paraId="49990CF7" w14:textId="08903FD4" w:rsidR="00F17942" w:rsidRPr="00702BA1" w:rsidRDefault="008B28AD" w:rsidP="000C7B11">
            <w:pPr>
              <w:rPr>
                <w:i/>
                <w:iCs/>
              </w:rPr>
            </w:pPr>
            <w:r>
              <w:lastRenderedPageBreak/>
              <w:t>Household p</w:t>
            </w:r>
            <w:r w:rsidR="00036D17">
              <w:t>erceptions</w:t>
            </w:r>
            <w:r w:rsidR="00AA6665">
              <w:t xml:space="preserve"> </w:t>
            </w:r>
            <w:r>
              <w:t>about [</w:t>
            </w:r>
            <w:r>
              <w:rPr>
                <w:i/>
                <w:iCs/>
              </w:rPr>
              <w:t>X clean fuel or technology]</w:t>
            </w:r>
          </w:p>
        </w:tc>
        <w:tc>
          <w:tcPr>
            <w:tcW w:w="2694" w:type="dxa"/>
          </w:tcPr>
          <w:p w14:paraId="0F932E55" w14:textId="77777777" w:rsidR="00F17942" w:rsidRDefault="00F17942" w:rsidP="000C7B11"/>
        </w:tc>
      </w:tr>
      <w:tr w:rsidR="00DD7EFA" w14:paraId="263D8043" w14:textId="77777777" w:rsidTr="00702BA1">
        <w:tc>
          <w:tcPr>
            <w:tcW w:w="7375" w:type="dxa"/>
          </w:tcPr>
          <w:p w14:paraId="05176579" w14:textId="1B0CF00A" w:rsidR="00DD7EFA" w:rsidRDefault="007E6CC4" w:rsidP="000C7B11">
            <w:r>
              <w:t>Safety risk from [X</w:t>
            </w:r>
            <w:r w:rsidR="006072A2">
              <w:t xml:space="preserve"> clean fuel or technology</w:t>
            </w:r>
            <w:r>
              <w:t>]</w:t>
            </w:r>
          </w:p>
        </w:tc>
        <w:tc>
          <w:tcPr>
            <w:tcW w:w="2694" w:type="dxa"/>
          </w:tcPr>
          <w:p w14:paraId="6D9C74E6" w14:textId="77777777" w:rsidR="00DD7EFA" w:rsidRDefault="00DD7EFA" w:rsidP="000C7B11"/>
        </w:tc>
      </w:tr>
    </w:tbl>
    <w:p w14:paraId="6DC02A99" w14:textId="3278DFC9" w:rsidR="000C7B11" w:rsidRDefault="000C7B11" w:rsidP="000C7B11"/>
    <w:p w14:paraId="002F31BD" w14:textId="127B6D7B" w:rsidR="000C7B11" w:rsidRPr="008B09CE" w:rsidRDefault="000C7B11" w:rsidP="000C7B11">
      <w:pPr>
        <w:rPr>
          <w:b/>
          <w:bCs/>
        </w:rPr>
      </w:pPr>
      <w:r>
        <w:rPr>
          <w:b/>
          <w:bCs/>
        </w:rPr>
        <w:t xml:space="preserve">Opportunities for increasing access to clean fuels and technologies </w:t>
      </w:r>
    </w:p>
    <w:p w14:paraId="2D93C068" w14:textId="00D78731" w:rsidR="000C7B11" w:rsidRPr="003E4286" w:rsidRDefault="000C7B11" w:rsidP="15330243">
      <w:pPr>
        <w:rPr>
          <w:i/>
          <w:iCs/>
        </w:rPr>
      </w:pPr>
      <w:r w:rsidRPr="15330243">
        <w:rPr>
          <w:i/>
          <w:iCs/>
        </w:rPr>
        <w:t>List the potential avenues available for achieving widespread access to and use of clean fuels for household cooking, heating, and lighting. Consider policies and programmes already in place</w:t>
      </w:r>
      <w:r w:rsidR="00990343" w:rsidRPr="15330243">
        <w:rPr>
          <w:i/>
          <w:iCs/>
        </w:rPr>
        <w:t xml:space="preserve"> and </w:t>
      </w:r>
      <w:r w:rsidRPr="15330243">
        <w:rPr>
          <w:i/>
          <w:iCs/>
        </w:rPr>
        <w:t xml:space="preserve">the work </w:t>
      </w:r>
      <w:r w:rsidR="005E4720" w:rsidRPr="15330243">
        <w:rPr>
          <w:i/>
          <w:iCs/>
        </w:rPr>
        <w:t xml:space="preserve">that has </w:t>
      </w:r>
      <w:r w:rsidRPr="15330243">
        <w:rPr>
          <w:i/>
          <w:iCs/>
        </w:rPr>
        <w:t>been done by other sectors that could be used to amplify the reach of existing programmes.</w:t>
      </w:r>
    </w:p>
    <w:p w14:paraId="1749FF6D" w14:textId="77777777" w:rsidR="007F60B5" w:rsidRDefault="007F60B5" w:rsidP="000C7B11">
      <w:pPr>
        <w:rPr>
          <w:b/>
          <w:bCs/>
        </w:rPr>
      </w:pPr>
    </w:p>
    <w:p w14:paraId="0C9A4F69" w14:textId="257484A6" w:rsidR="000C7B11" w:rsidRPr="008B09CE" w:rsidRDefault="000C7B11" w:rsidP="000C7B11">
      <w:pPr>
        <w:rPr>
          <w:b/>
          <w:bCs/>
        </w:rPr>
      </w:pPr>
      <w:r>
        <w:rPr>
          <w:b/>
          <w:bCs/>
        </w:rPr>
        <w:t xml:space="preserve">Household </w:t>
      </w:r>
      <w:r w:rsidR="00825832">
        <w:rPr>
          <w:b/>
          <w:bCs/>
        </w:rPr>
        <w:t>energy</w:t>
      </w:r>
      <w:r>
        <w:rPr>
          <w:b/>
          <w:bCs/>
        </w:rPr>
        <w:t>-</w:t>
      </w:r>
      <w:r w:rsidR="00825832">
        <w:rPr>
          <w:b/>
          <w:bCs/>
        </w:rPr>
        <w:t>related s</w:t>
      </w:r>
      <w:r>
        <w:rPr>
          <w:b/>
          <w:bCs/>
        </w:rPr>
        <w:t xml:space="preserve">takeholders and </w:t>
      </w:r>
      <w:r w:rsidR="00825832">
        <w:rPr>
          <w:b/>
          <w:bCs/>
        </w:rPr>
        <w:t>p</w:t>
      </w:r>
      <w:r>
        <w:rPr>
          <w:b/>
          <w:bCs/>
        </w:rPr>
        <w:t xml:space="preserve">olicies </w:t>
      </w:r>
    </w:p>
    <w:p w14:paraId="16E52FBC" w14:textId="0211AD06" w:rsidR="000C7B11" w:rsidRDefault="000C7B11" w:rsidP="000C7B11">
      <w:pPr>
        <w:rPr>
          <w:i/>
          <w:iCs/>
        </w:rPr>
      </w:pPr>
      <w:r>
        <w:rPr>
          <w:i/>
          <w:iCs/>
        </w:rPr>
        <w:t xml:space="preserve">Summarize </w:t>
      </w:r>
      <w:r w:rsidRPr="00762AD7">
        <w:rPr>
          <w:i/>
          <w:iCs/>
        </w:rPr>
        <w:t xml:space="preserve">key stakeholders involved in </w:t>
      </w:r>
      <w:r w:rsidR="00C36E39">
        <w:rPr>
          <w:i/>
          <w:iCs/>
        </w:rPr>
        <w:t xml:space="preserve">promoting clean </w:t>
      </w:r>
      <w:r w:rsidRPr="00762AD7">
        <w:rPr>
          <w:i/>
          <w:iCs/>
        </w:rPr>
        <w:t>household energy in the country</w:t>
      </w:r>
      <w:r>
        <w:rPr>
          <w:i/>
          <w:iCs/>
        </w:rPr>
        <w:t xml:space="preserve">. This can be done in a bulleted list. </w:t>
      </w:r>
    </w:p>
    <w:p w14:paraId="716508CD" w14:textId="77777777" w:rsidR="000C7B11" w:rsidRDefault="000C7B11" w:rsidP="000C7B11">
      <w:pPr>
        <w:rPr>
          <w:i/>
          <w:iCs/>
        </w:rPr>
      </w:pPr>
      <w:r w:rsidRPr="15330243">
        <w:rPr>
          <w:i/>
          <w:iCs/>
        </w:rPr>
        <w:t xml:space="preserve">List main existing programmes or policies that address clean household energy, or could be adapted to incorporate relevant objectives. Include main policies that address energy access, air pollution and environmental health. </w:t>
      </w:r>
    </w:p>
    <w:p w14:paraId="08561344" w14:textId="77777777" w:rsidR="00DD55E2" w:rsidRDefault="00DD55E2" w:rsidP="00D8128B">
      <w:pPr>
        <w:pBdr>
          <w:bottom w:val="single" w:sz="24" w:space="1" w:color="auto"/>
        </w:pBdr>
        <w:rPr>
          <w:rFonts w:ascii="Calibri" w:hAnsi="Calibri"/>
        </w:rPr>
      </w:pPr>
    </w:p>
    <w:p w14:paraId="4DC0DDDD" w14:textId="7B27750D" w:rsidR="002B7E4C" w:rsidRPr="008817C1" w:rsidRDefault="00DF2A6B" w:rsidP="008817C1">
      <w:pPr>
        <w:spacing w:after="0"/>
        <w:rPr>
          <w:rFonts w:cs="Arial"/>
          <w:b/>
          <w:bCs/>
        </w:rPr>
      </w:pPr>
      <w:r w:rsidRPr="008817C1">
        <w:rPr>
          <w:rFonts w:cs="Arial"/>
          <w:b/>
          <w:bCs/>
        </w:rPr>
        <w:t xml:space="preserve">Country </w:t>
      </w:r>
      <w:r w:rsidR="00825832">
        <w:rPr>
          <w:rFonts w:cs="Arial"/>
          <w:b/>
          <w:bCs/>
        </w:rPr>
        <w:t>c</w:t>
      </w:r>
      <w:r w:rsidR="00825832" w:rsidRPr="008817C1">
        <w:rPr>
          <w:rFonts w:cs="Arial"/>
          <w:b/>
          <w:bCs/>
        </w:rPr>
        <w:t>ontext</w:t>
      </w:r>
    </w:p>
    <w:p w14:paraId="02C3AD70" w14:textId="2DB1FEA9" w:rsidR="008E0A70" w:rsidRPr="008817C1" w:rsidRDefault="00BA7E23" w:rsidP="008817C1">
      <w:pPr>
        <w:spacing w:after="0"/>
        <w:rPr>
          <w:rFonts w:cs="Arial"/>
          <w:i/>
          <w:iCs/>
        </w:rPr>
      </w:pPr>
      <w:r w:rsidRPr="008817C1">
        <w:rPr>
          <w:rFonts w:cs="Arial"/>
          <w:i/>
          <w:iCs/>
        </w:rPr>
        <w:t xml:space="preserve">Summarize demographic, </w:t>
      </w:r>
      <w:r w:rsidR="00D509DD">
        <w:rPr>
          <w:rFonts w:cs="Arial"/>
          <w:i/>
          <w:iCs/>
        </w:rPr>
        <w:t>socio-</w:t>
      </w:r>
      <w:r w:rsidRPr="008817C1">
        <w:rPr>
          <w:rFonts w:cs="Arial"/>
          <w:i/>
          <w:iCs/>
        </w:rPr>
        <w:t>economic and other characteristics essential for understanding the household energy situation and its health impacts in the country.</w:t>
      </w:r>
    </w:p>
    <w:p w14:paraId="51E4E122" w14:textId="47CC9DC2" w:rsidR="008E0A70" w:rsidRPr="008817C1" w:rsidRDefault="008E0A70" w:rsidP="008E0A70">
      <w:pPr>
        <w:pStyle w:val="Listenabsatz"/>
        <w:numPr>
          <w:ilvl w:val="0"/>
          <w:numId w:val="6"/>
        </w:numPr>
        <w:rPr>
          <w:rFonts w:cs="Arial"/>
          <w:szCs w:val="22"/>
        </w:rPr>
      </w:pPr>
      <w:r w:rsidRPr="008817C1">
        <w:rPr>
          <w:rFonts w:cs="Arial"/>
          <w:szCs w:val="22"/>
        </w:rPr>
        <w:t>Population</w:t>
      </w:r>
    </w:p>
    <w:p w14:paraId="70A676BC" w14:textId="51EE6ED7" w:rsidR="00DF2A6B" w:rsidRPr="008817C1" w:rsidRDefault="00DF2A6B" w:rsidP="00C00774">
      <w:pPr>
        <w:pStyle w:val="Listenabsatz"/>
        <w:numPr>
          <w:ilvl w:val="0"/>
          <w:numId w:val="6"/>
        </w:numPr>
        <w:rPr>
          <w:rFonts w:cs="Arial"/>
          <w:szCs w:val="22"/>
        </w:rPr>
      </w:pPr>
      <w:r w:rsidRPr="008817C1">
        <w:rPr>
          <w:rFonts w:cs="Arial"/>
          <w:szCs w:val="22"/>
        </w:rPr>
        <w:t>Household size</w:t>
      </w:r>
    </w:p>
    <w:p w14:paraId="1CFFC97A" w14:textId="689E3EAF" w:rsidR="00F3441E" w:rsidRPr="008817C1" w:rsidRDefault="00F3441E" w:rsidP="00C00774">
      <w:pPr>
        <w:pStyle w:val="Listenabsatz"/>
        <w:numPr>
          <w:ilvl w:val="0"/>
          <w:numId w:val="6"/>
        </w:numPr>
        <w:rPr>
          <w:rFonts w:cs="Arial"/>
          <w:szCs w:val="22"/>
        </w:rPr>
      </w:pPr>
      <w:r w:rsidRPr="008817C1">
        <w:rPr>
          <w:rFonts w:cs="Arial"/>
          <w:szCs w:val="22"/>
        </w:rPr>
        <w:t>Poverty rate or other socio-economic indicators</w:t>
      </w:r>
    </w:p>
    <w:p w14:paraId="56FE48D5" w14:textId="77777777" w:rsidR="00863F26" w:rsidRDefault="00863F26" w:rsidP="00684C08">
      <w:pPr>
        <w:spacing w:after="0"/>
        <w:rPr>
          <w:rFonts w:cs="Arial"/>
          <w:b/>
          <w:bCs/>
          <w:noProof/>
        </w:rPr>
      </w:pPr>
    </w:p>
    <w:p w14:paraId="2F23F34C" w14:textId="3784748B" w:rsidR="00F97A4B" w:rsidRPr="008817C1" w:rsidRDefault="00684C08" w:rsidP="008817C1">
      <w:pPr>
        <w:spacing w:after="0"/>
        <w:rPr>
          <w:rFonts w:cs="Arial"/>
          <w:b/>
          <w:bCs/>
          <w:noProof/>
        </w:rPr>
      </w:pPr>
      <w:r w:rsidRPr="008817C1">
        <w:rPr>
          <w:rFonts w:cs="Arial"/>
          <w:b/>
          <w:bCs/>
          <w:noProof/>
        </w:rPr>
        <w:t xml:space="preserve">Household </w:t>
      </w:r>
      <w:r w:rsidR="00825832">
        <w:rPr>
          <w:rFonts w:cs="Arial"/>
          <w:b/>
          <w:bCs/>
          <w:noProof/>
        </w:rPr>
        <w:t>e</w:t>
      </w:r>
      <w:r w:rsidRPr="008817C1">
        <w:rPr>
          <w:rFonts w:cs="Arial"/>
          <w:b/>
          <w:bCs/>
          <w:noProof/>
        </w:rPr>
        <w:t xml:space="preserve">nergy </w:t>
      </w:r>
      <w:r w:rsidR="00825832">
        <w:rPr>
          <w:rFonts w:cs="Arial"/>
          <w:b/>
          <w:bCs/>
          <w:noProof/>
        </w:rPr>
        <w:t>u</w:t>
      </w:r>
      <w:r w:rsidR="00825832" w:rsidRPr="008817C1">
        <w:rPr>
          <w:rFonts w:cs="Arial"/>
          <w:b/>
          <w:bCs/>
          <w:noProof/>
        </w:rPr>
        <w:t xml:space="preserve">se </w:t>
      </w:r>
    </w:p>
    <w:p w14:paraId="3DB7ECC2" w14:textId="57D33638" w:rsidR="008A294E" w:rsidRDefault="00C67ECF" w:rsidP="15330243">
      <w:pPr>
        <w:rPr>
          <w:rFonts w:cs="Arial"/>
          <w:i/>
          <w:iCs/>
        </w:rPr>
      </w:pPr>
      <w:r w:rsidRPr="15330243">
        <w:rPr>
          <w:rFonts w:cs="Arial"/>
          <w:i/>
          <w:iCs/>
          <w:noProof/>
          <w:lang w:val="en-GB"/>
        </w:rPr>
        <w:t>Describe the extent to which different fuels and technologies are used</w:t>
      </w:r>
      <w:r w:rsidR="00DE04FE" w:rsidRPr="15330243">
        <w:rPr>
          <w:rFonts w:cs="Arial"/>
          <w:i/>
          <w:iCs/>
          <w:noProof/>
          <w:lang w:val="en-GB"/>
        </w:rPr>
        <w:t xml:space="preserve">, including </w:t>
      </w:r>
      <w:r w:rsidR="000B6C0F" w:rsidRPr="15330243">
        <w:rPr>
          <w:rFonts w:cs="Arial"/>
          <w:i/>
          <w:iCs/>
          <w:noProof/>
          <w:lang w:val="en-GB"/>
        </w:rPr>
        <w:t>charts or maps showing the main fuels</w:t>
      </w:r>
      <w:r w:rsidR="00FE41C6" w:rsidRPr="15330243">
        <w:rPr>
          <w:rFonts w:cs="Arial"/>
          <w:i/>
          <w:iCs/>
          <w:noProof/>
          <w:lang w:val="en-GB"/>
        </w:rPr>
        <w:t xml:space="preserve">. </w:t>
      </w:r>
      <w:r w:rsidR="00DE04FE" w:rsidRPr="15330243">
        <w:rPr>
          <w:rFonts w:cs="Arial"/>
          <w:i/>
          <w:iCs/>
          <w:noProof/>
          <w:lang w:val="en-GB"/>
        </w:rPr>
        <w:t xml:space="preserve">Include a subsection for </w:t>
      </w:r>
      <w:r w:rsidR="00DE04FE" w:rsidRPr="15330243">
        <w:rPr>
          <w:rFonts w:cs="Arial"/>
          <w:b/>
          <w:bCs/>
          <w:i/>
          <w:iCs/>
          <w:noProof/>
          <w:lang w:val="en-GB"/>
        </w:rPr>
        <w:t>cooking, heating</w:t>
      </w:r>
      <w:r w:rsidR="00B46E63" w:rsidRPr="15330243">
        <w:rPr>
          <w:rFonts w:cs="Arial"/>
          <w:b/>
          <w:bCs/>
          <w:i/>
          <w:iCs/>
          <w:noProof/>
          <w:lang w:val="en-GB"/>
        </w:rPr>
        <w:t xml:space="preserve"> </w:t>
      </w:r>
      <w:r w:rsidR="00B46E63" w:rsidRPr="15330243">
        <w:rPr>
          <w:rFonts w:cs="Arial"/>
          <w:i/>
          <w:iCs/>
          <w:noProof/>
          <w:lang w:val="en-GB"/>
        </w:rPr>
        <w:t>(if applicable)</w:t>
      </w:r>
      <w:r w:rsidR="00DE04FE" w:rsidRPr="15330243">
        <w:rPr>
          <w:rFonts w:cs="Arial"/>
          <w:b/>
          <w:bCs/>
          <w:i/>
          <w:iCs/>
          <w:noProof/>
          <w:lang w:val="en-GB"/>
        </w:rPr>
        <w:t>, lighting.</w:t>
      </w:r>
      <w:r w:rsidR="00863F26" w:rsidRPr="15330243">
        <w:rPr>
          <w:rFonts w:cs="Arial"/>
          <w:i/>
          <w:iCs/>
        </w:rPr>
        <w:t xml:space="preserve"> It can also be useful to show the population using clean/polluting fuels by urban and rural areas.</w:t>
      </w:r>
      <w:r w:rsidR="00DE04FE" w:rsidRPr="15330243">
        <w:rPr>
          <w:rFonts w:cs="Arial"/>
          <w:b/>
          <w:bCs/>
          <w:i/>
          <w:iCs/>
          <w:noProof/>
          <w:lang w:val="en-GB"/>
        </w:rPr>
        <w:t xml:space="preserve"> </w:t>
      </w:r>
      <w:r w:rsidR="003C5177" w:rsidRPr="15330243">
        <w:rPr>
          <w:rFonts w:cs="Arial"/>
          <w:i/>
          <w:iCs/>
          <w:noProof/>
          <w:lang w:val="en-GB"/>
        </w:rPr>
        <w:t>In the cooking section, please</w:t>
      </w:r>
      <w:r w:rsidR="00063220" w:rsidRPr="15330243">
        <w:rPr>
          <w:rFonts w:cs="Arial"/>
          <w:i/>
          <w:iCs/>
          <w:noProof/>
          <w:lang w:val="en-GB"/>
        </w:rPr>
        <w:t xml:space="preserve"> describe</w:t>
      </w:r>
      <w:r w:rsidR="000B6C0F" w:rsidRPr="15330243">
        <w:rPr>
          <w:rFonts w:cs="Arial"/>
          <w:i/>
          <w:iCs/>
          <w:noProof/>
          <w:lang w:val="en-GB"/>
        </w:rPr>
        <w:t xml:space="preserve"> common </w:t>
      </w:r>
      <w:r w:rsidR="00317F81" w:rsidRPr="15330243">
        <w:rPr>
          <w:rFonts w:cs="Arial"/>
          <w:i/>
          <w:iCs/>
          <w:noProof/>
          <w:lang w:val="en-GB"/>
        </w:rPr>
        <w:t xml:space="preserve">cooking </w:t>
      </w:r>
      <w:r w:rsidR="000B6C0F" w:rsidRPr="15330243">
        <w:rPr>
          <w:rFonts w:cs="Arial"/>
          <w:i/>
          <w:iCs/>
          <w:noProof/>
          <w:lang w:val="en-GB"/>
        </w:rPr>
        <w:t>practices</w:t>
      </w:r>
      <w:r w:rsidR="003C5177" w:rsidRPr="15330243">
        <w:rPr>
          <w:rFonts w:cs="Arial"/>
          <w:i/>
          <w:iCs/>
          <w:noProof/>
          <w:lang w:val="en-GB"/>
        </w:rPr>
        <w:t xml:space="preserve"> </w:t>
      </w:r>
      <w:r w:rsidR="00A7678B" w:rsidRPr="15330243">
        <w:rPr>
          <w:rFonts w:cs="Arial"/>
          <w:i/>
          <w:iCs/>
          <w:noProof/>
          <w:lang w:val="en-GB"/>
        </w:rPr>
        <w:t xml:space="preserve">as well as key </w:t>
      </w:r>
      <w:r w:rsidR="000B6C0F" w:rsidRPr="15330243">
        <w:rPr>
          <w:rFonts w:cs="Arial"/>
          <w:i/>
          <w:iCs/>
          <w:noProof/>
          <w:lang w:val="en-GB"/>
        </w:rPr>
        <w:t>perceptions</w:t>
      </w:r>
      <w:r w:rsidR="009A7EA2" w:rsidRPr="15330243">
        <w:rPr>
          <w:rFonts w:cs="Arial"/>
          <w:i/>
          <w:iCs/>
          <w:noProof/>
          <w:lang w:val="en-GB"/>
        </w:rPr>
        <w:t xml:space="preserve"> about </w:t>
      </w:r>
      <w:r w:rsidR="00A7678B" w:rsidRPr="15330243">
        <w:rPr>
          <w:rFonts w:cs="Arial"/>
          <w:i/>
          <w:iCs/>
          <w:noProof/>
          <w:lang w:val="en-GB"/>
        </w:rPr>
        <w:t>c</w:t>
      </w:r>
      <w:r w:rsidR="003C5177" w:rsidRPr="15330243">
        <w:rPr>
          <w:rFonts w:cs="Arial"/>
          <w:i/>
          <w:iCs/>
          <w:noProof/>
          <w:lang w:val="en-GB"/>
        </w:rPr>
        <w:t>o</w:t>
      </w:r>
      <w:r w:rsidR="00A7678B" w:rsidRPr="15330243">
        <w:rPr>
          <w:rFonts w:cs="Arial"/>
          <w:i/>
          <w:iCs/>
          <w:noProof/>
          <w:lang w:val="en-GB"/>
        </w:rPr>
        <w:t>oking</w:t>
      </w:r>
      <w:r w:rsidR="003C5177" w:rsidRPr="15330243">
        <w:rPr>
          <w:rFonts w:cs="Arial"/>
          <w:i/>
          <w:iCs/>
          <w:noProof/>
          <w:lang w:val="en-GB"/>
        </w:rPr>
        <w:t xml:space="preserve"> and gender roles. Please </w:t>
      </w:r>
      <w:r w:rsidR="00936A87">
        <w:rPr>
          <w:rFonts w:cs="Arial"/>
          <w:i/>
          <w:iCs/>
          <w:noProof/>
          <w:lang w:val="en-GB"/>
        </w:rPr>
        <w:t>also summarize</w:t>
      </w:r>
      <w:r w:rsidR="00D3292A">
        <w:rPr>
          <w:rFonts w:cs="Arial"/>
          <w:i/>
          <w:iCs/>
          <w:noProof/>
          <w:lang w:val="en-GB"/>
        </w:rPr>
        <w:t xml:space="preserve"> fuel collection practices and any related risks or hazards. </w:t>
      </w:r>
      <w:r w:rsidR="007F3D28" w:rsidRPr="15330243">
        <w:rPr>
          <w:rFonts w:cs="Arial"/>
          <w:i/>
          <w:iCs/>
        </w:rPr>
        <w:t xml:space="preserve">A map can be created </w:t>
      </w:r>
      <w:r w:rsidR="008A294E" w:rsidRPr="15330243">
        <w:rPr>
          <w:rFonts w:cs="Arial"/>
          <w:i/>
          <w:iCs/>
        </w:rPr>
        <w:t>using the Excel application to insert maps from a database</w:t>
      </w:r>
      <w:r w:rsidR="0016234B" w:rsidRPr="15330243">
        <w:rPr>
          <w:rFonts w:cs="Arial"/>
          <w:i/>
          <w:iCs/>
        </w:rPr>
        <w:t xml:space="preserve"> (</w:t>
      </w:r>
      <w:r w:rsidR="00096192" w:rsidRPr="15330243">
        <w:rPr>
          <w:rFonts w:cs="Arial"/>
          <w:i/>
          <w:iCs/>
        </w:rPr>
        <w:t xml:space="preserve">data </w:t>
      </w:r>
      <w:r w:rsidR="0016234B" w:rsidRPr="15330243">
        <w:rPr>
          <w:rFonts w:cs="Arial"/>
          <w:i/>
          <w:iCs/>
        </w:rPr>
        <w:t>often available on the last census or National Household survey)</w:t>
      </w:r>
      <w:r w:rsidR="008A294E" w:rsidRPr="15330243">
        <w:rPr>
          <w:rFonts w:cs="Arial"/>
          <w:i/>
          <w:iCs/>
        </w:rPr>
        <w:t>.</w:t>
      </w:r>
    </w:p>
    <w:p w14:paraId="51121AD7" w14:textId="77777777" w:rsidR="001A1C18" w:rsidRDefault="001A1C18" w:rsidP="008817C1">
      <w:pPr>
        <w:spacing w:after="0"/>
        <w:rPr>
          <w:rFonts w:cs="Arial"/>
          <w:i/>
          <w:iCs/>
        </w:rPr>
      </w:pPr>
    </w:p>
    <w:p w14:paraId="35E55360" w14:textId="77777777" w:rsidR="00180AAA" w:rsidRDefault="00180AAA">
      <w:pPr>
        <w:rPr>
          <w:rFonts w:cs="Arial"/>
          <w:i/>
          <w:iCs/>
        </w:rPr>
      </w:pPr>
      <w:r>
        <w:rPr>
          <w:rFonts w:cs="Arial"/>
          <w:i/>
          <w:iCs/>
        </w:rPr>
        <w:br w:type="page"/>
      </w:r>
    </w:p>
    <w:p w14:paraId="0E575760" w14:textId="60F1C37C" w:rsidR="008A294E" w:rsidRDefault="00473B83" w:rsidP="00702BA1">
      <w:pPr>
        <w:spacing w:after="0"/>
        <w:rPr>
          <w:rFonts w:asciiTheme="majorHAnsi" w:hAnsiTheme="majorHAnsi"/>
          <w:sz w:val="21"/>
          <w:szCs w:val="21"/>
        </w:rPr>
      </w:pPr>
      <w:r>
        <w:rPr>
          <w:rFonts w:cs="Arial"/>
          <w:i/>
          <w:iCs/>
        </w:rPr>
        <w:lastRenderedPageBreak/>
        <w:t>Example of maps showing the d</w:t>
      </w:r>
      <w:r w:rsidRPr="00473B83">
        <w:rPr>
          <w:rFonts w:cs="Arial"/>
          <w:i/>
          <w:iCs/>
        </w:rPr>
        <w:t>istribution of solid fuel users in India</w:t>
      </w:r>
      <w:r w:rsidR="00851465">
        <w:rPr>
          <w:rFonts w:cs="Arial"/>
          <w:i/>
          <w:iCs/>
        </w:rPr>
        <w:t>:</w:t>
      </w:r>
    </w:p>
    <w:p w14:paraId="345F38CD" w14:textId="3685219A" w:rsidR="009F5B70" w:rsidRDefault="009F5B70" w:rsidP="008A294E">
      <w:pPr>
        <w:spacing w:after="0"/>
        <w:jc w:val="center"/>
        <w:rPr>
          <w:rFonts w:asciiTheme="majorHAnsi" w:hAnsiTheme="majorHAnsi"/>
          <w:sz w:val="21"/>
          <w:szCs w:val="21"/>
        </w:rPr>
      </w:pPr>
      <w:r w:rsidRPr="009F5B70">
        <w:rPr>
          <w:rFonts w:asciiTheme="majorHAnsi" w:hAnsiTheme="majorHAnsi"/>
          <w:noProof/>
          <w:sz w:val="21"/>
          <w:szCs w:val="21"/>
        </w:rPr>
        <w:drawing>
          <wp:inline distT="0" distB="0" distL="0" distR="0" wp14:anchorId="2C66E458" wp14:editId="26D7E591">
            <wp:extent cx="6271404" cy="3321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03174" cy="3338796"/>
                    </a:xfrm>
                    <a:prstGeom prst="rect">
                      <a:avLst/>
                    </a:prstGeom>
                  </pic:spPr>
                </pic:pic>
              </a:graphicData>
            </a:graphic>
          </wp:inline>
        </w:drawing>
      </w:r>
    </w:p>
    <w:p w14:paraId="47BFB446" w14:textId="576ED378" w:rsidR="008A294E" w:rsidRPr="00702BA1" w:rsidRDefault="008A294E" w:rsidP="00060B74">
      <w:pPr>
        <w:spacing w:after="0" w:line="360" w:lineRule="auto"/>
        <w:jc w:val="center"/>
        <w:rPr>
          <w:rFonts w:cstheme="minorHAnsi"/>
          <w:i/>
          <w:iCs/>
          <w:sz w:val="20"/>
          <w:szCs w:val="20"/>
        </w:rPr>
      </w:pPr>
      <w:r w:rsidRPr="00702BA1">
        <w:rPr>
          <w:rFonts w:cstheme="minorHAnsi"/>
          <w:i/>
          <w:iCs/>
          <w:sz w:val="20"/>
          <w:szCs w:val="20"/>
        </w:rPr>
        <w:t xml:space="preserve">Source: </w:t>
      </w:r>
      <w:r w:rsidR="00EB4741" w:rsidRPr="00702BA1">
        <w:rPr>
          <w:rFonts w:cstheme="minorHAnsi"/>
          <w:i/>
          <w:iCs/>
          <w:sz w:val="20"/>
          <w:szCs w:val="20"/>
        </w:rPr>
        <w:t xml:space="preserve">HEART </w:t>
      </w:r>
      <w:r w:rsidR="00E52494" w:rsidRPr="00702BA1">
        <w:rPr>
          <w:rFonts w:cstheme="minorHAnsi"/>
          <w:i/>
          <w:iCs/>
          <w:sz w:val="20"/>
          <w:szCs w:val="20"/>
        </w:rPr>
        <w:t>Report in India</w:t>
      </w:r>
      <w:r w:rsidR="004218D7">
        <w:rPr>
          <w:rFonts w:cstheme="minorHAnsi"/>
          <w:i/>
          <w:iCs/>
          <w:sz w:val="20"/>
          <w:szCs w:val="20"/>
        </w:rPr>
        <w:t xml:space="preserve">, </w:t>
      </w:r>
      <w:r w:rsidR="004218D7" w:rsidRPr="004218D7">
        <w:rPr>
          <w:rFonts w:cstheme="minorHAnsi"/>
          <w:i/>
          <w:iCs/>
          <w:sz w:val="20"/>
          <w:szCs w:val="20"/>
        </w:rPr>
        <w:t>2018</w:t>
      </w:r>
    </w:p>
    <w:p w14:paraId="3CE8DDD5" w14:textId="111A5763" w:rsidR="001B3A37" w:rsidRPr="0016234B" w:rsidRDefault="00063220" w:rsidP="00060B74">
      <w:pPr>
        <w:spacing w:after="0" w:line="360" w:lineRule="auto"/>
        <w:rPr>
          <w:rFonts w:cs="Arial"/>
          <w:i/>
          <w:iCs/>
        </w:rPr>
      </w:pPr>
      <w:r w:rsidRPr="1292A69A">
        <w:rPr>
          <w:i/>
          <w:iCs/>
          <w:noProof/>
        </w:rPr>
        <w:t>Example of the</w:t>
      </w:r>
      <w:r w:rsidRPr="1292A69A">
        <w:rPr>
          <w:b/>
          <w:bCs/>
          <w:i/>
          <w:iCs/>
          <w:noProof/>
        </w:rPr>
        <w:t xml:space="preserve"> </w:t>
      </w:r>
      <w:r w:rsidR="008A294E" w:rsidRPr="1292A69A">
        <w:rPr>
          <w:rFonts w:cs="Arial"/>
          <w:i/>
          <w:iCs/>
        </w:rPr>
        <w:t>energy mix use</w:t>
      </w:r>
      <w:r w:rsidR="002D549C" w:rsidRPr="1292A69A">
        <w:rPr>
          <w:rFonts w:cs="Arial"/>
          <w:i/>
          <w:iCs/>
        </w:rPr>
        <w:t>d</w:t>
      </w:r>
      <w:r w:rsidR="008A294E" w:rsidRPr="1292A69A">
        <w:rPr>
          <w:rFonts w:cs="Arial"/>
          <w:i/>
          <w:iCs/>
        </w:rPr>
        <w:t xml:space="preserve"> for cooking </w:t>
      </w:r>
      <w:r w:rsidR="004859E5" w:rsidRPr="1292A69A">
        <w:rPr>
          <w:rFonts w:cs="Arial"/>
          <w:i/>
          <w:iCs/>
        </w:rPr>
        <w:t xml:space="preserve">in </w:t>
      </w:r>
      <w:r w:rsidR="008A294E" w:rsidRPr="1292A69A">
        <w:rPr>
          <w:rFonts w:cs="Arial"/>
          <w:i/>
          <w:iCs/>
        </w:rPr>
        <w:t>Honduras</w:t>
      </w:r>
      <w:r w:rsidR="00851465">
        <w:rPr>
          <w:rFonts w:cs="Arial"/>
          <w:i/>
          <w:iCs/>
        </w:rPr>
        <w:t>:</w:t>
      </w:r>
      <w:r w:rsidR="008A294E" w:rsidRPr="1292A69A">
        <w:rPr>
          <w:rFonts w:cs="Arial"/>
          <w:i/>
          <w:iCs/>
        </w:rPr>
        <w:t xml:space="preserve"> </w:t>
      </w:r>
    </w:p>
    <w:p w14:paraId="315A7E16" w14:textId="77A3DB32" w:rsidR="008A294E" w:rsidRPr="008A294E" w:rsidRDefault="008A294E" w:rsidP="008A294E">
      <w:pPr>
        <w:jc w:val="center"/>
        <w:rPr>
          <w:rFonts w:cs="Arial"/>
          <w:b/>
          <w:bCs/>
        </w:rPr>
      </w:pPr>
      <w:r>
        <w:rPr>
          <w:noProof/>
        </w:rPr>
        <w:drawing>
          <wp:inline distT="0" distB="0" distL="0" distR="0" wp14:anchorId="641CF8C2" wp14:editId="2A88CF38">
            <wp:extent cx="3180080" cy="1371600"/>
            <wp:effectExtent l="0" t="0" r="127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92FBED" w14:textId="75E78A5B" w:rsidR="00AE656F" w:rsidRPr="00702BA1" w:rsidRDefault="00E52494">
      <w:pPr>
        <w:jc w:val="center"/>
        <w:rPr>
          <w:i/>
          <w:iCs/>
        </w:rPr>
      </w:pPr>
      <w:r w:rsidRPr="00702BA1">
        <w:rPr>
          <w:i/>
          <w:iCs/>
        </w:rPr>
        <w:t xml:space="preserve">Source: </w:t>
      </w:r>
      <w:r w:rsidR="00145479" w:rsidRPr="00702BA1">
        <w:rPr>
          <w:i/>
          <w:iCs/>
        </w:rPr>
        <w:t xml:space="preserve">WHO </w:t>
      </w:r>
      <w:r w:rsidR="00007209" w:rsidRPr="00702BA1">
        <w:rPr>
          <w:i/>
          <w:iCs/>
        </w:rPr>
        <w:t>Global Health Observatory</w:t>
      </w:r>
      <w:r w:rsidR="00A74AD9" w:rsidRPr="00702BA1">
        <w:rPr>
          <w:i/>
          <w:iCs/>
        </w:rPr>
        <w:t>, 2016</w:t>
      </w:r>
      <w:r w:rsidR="00007209" w:rsidRPr="00702BA1">
        <w:rPr>
          <w:i/>
          <w:iCs/>
        </w:rPr>
        <w:t xml:space="preserve"> </w:t>
      </w:r>
    </w:p>
    <w:p w14:paraId="4AC28775" w14:textId="61670FE0" w:rsidR="009A1468" w:rsidRPr="008B09CE" w:rsidRDefault="009A1468" w:rsidP="009A1468">
      <w:pPr>
        <w:spacing w:after="0"/>
        <w:rPr>
          <w:rFonts w:ascii="Calibri" w:eastAsia="Calibri" w:hAnsi="Calibri" w:cs="Arial"/>
          <w:i/>
          <w:iCs/>
          <w:lang w:val="en-GB"/>
        </w:rPr>
      </w:pPr>
      <w:r w:rsidRPr="008B09CE">
        <w:rPr>
          <w:rFonts w:ascii="Calibri" w:eastAsia="Calibri" w:hAnsi="Calibri" w:cs="Arial"/>
          <w:b/>
          <w:bCs/>
          <w:lang w:val="en-GB"/>
        </w:rPr>
        <w:t xml:space="preserve">HEART </w:t>
      </w:r>
      <w:r w:rsidR="00825832">
        <w:rPr>
          <w:rFonts w:ascii="Calibri" w:eastAsia="Calibri" w:hAnsi="Calibri" w:cs="Arial"/>
          <w:b/>
          <w:bCs/>
          <w:lang w:val="en-GB"/>
        </w:rPr>
        <w:t>r</w:t>
      </w:r>
      <w:r w:rsidR="00825832" w:rsidRPr="008B09CE">
        <w:rPr>
          <w:rFonts w:ascii="Calibri" w:eastAsia="Calibri" w:hAnsi="Calibri" w:cs="Arial"/>
          <w:b/>
          <w:bCs/>
          <w:lang w:val="en-GB"/>
        </w:rPr>
        <w:t xml:space="preserve">eport </w:t>
      </w:r>
      <w:r w:rsidR="00825832">
        <w:rPr>
          <w:rFonts w:ascii="Calibri" w:eastAsia="Calibri" w:hAnsi="Calibri" w:cs="Arial"/>
          <w:b/>
          <w:bCs/>
          <w:lang w:val="en-GB"/>
        </w:rPr>
        <w:t>d</w:t>
      </w:r>
      <w:r w:rsidR="00825832" w:rsidRPr="008B09CE">
        <w:rPr>
          <w:rFonts w:ascii="Calibri" w:eastAsia="Calibri" w:hAnsi="Calibri" w:cs="Arial"/>
          <w:b/>
          <w:bCs/>
          <w:lang w:val="en-GB"/>
        </w:rPr>
        <w:t>evelopment</w:t>
      </w:r>
    </w:p>
    <w:p w14:paraId="23D38360" w14:textId="59926F9E" w:rsidR="009A1468" w:rsidRPr="009439B0" w:rsidRDefault="009A1468" w:rsidP="009A1468">
      <w:pPr>
        <w:spacing w:after="0"/>
        <w:rPr>
          <w:i/>
        </w:rPr>
      </w:pPr>
      <w:r w:rsidRPr="009439B0">
        <w:rPr>
          <w:i/>
        </w:rPr>
        <w:t>Provide a brief summary of the processes for data collection and report development, including mention</w:t>
      </w:r>
      <w:r w:rsidR="00E6427C">
        <w:rPr>
          <w:i/>
        </w:rPr>
        <w:t>s</w:t>
      </w:r>
      <w:r w:rsidRPr="009439B0">
        <w:rPr>
          <w:i/>
        </w:rPr>
        <w:t xml:space="preserve"> of any workshops or stakeholder meetings. </w:t>
      </w:r>
    </w:p>
    <w:p w14:paraId="0463B49F" w14:textId="77777777" w:rsidR="009A1468" w:rsidRDefault="009A1468" w:rsidP="009A1468">
      <w:pPr>
        <w:rPr>
          <w:rFonts w:ascii="Calibri" w:hAnsi="Calibri"/>
        </w:rPr>
      </w:pPr>
      <w:r w:rsidRPr="009439B0">
        <w:rPr>
          <w:rFonts w:ascii="Calibri" w:hAnsi="Calibri"/>
        </w:rPr>
        <w:t xml:space="preserve">The </w:t>
      </w:r>
      <w:r w:rsidRPr="009439B0">
        <w:rPr>
          <w:rFonts w:ascii="Calibri" w:hAnsi="Calibri"/>
          <w:b/>
        </w:rPr>
        <w:t xml:space="preserve">Household Energy Assessment Rapid Tool (HEART) </w:t>
      </w:r>
      <w:r w:rsidRPr="009439B0">
        <w:rPr>
          <w:rFonts w:ascii="Calibri" w:hAnsi="Calibri"/>
        </w:rPr>
        <w:t>was developed as a guide for conducting rapid situational assessments of a country’s readiness to expand access to clean household energy. The report was developed […]</w:t>
      </w:r>
    </w:p>
    <w:p w14:paraId="33774179" w14:textId="3CBD2162" w:rsidR="003E4286" w:rsidRDefault="00D0323A" w:rsidP="00060B74">
      <w:pPr>
        <w:pStyle w:val="pf0"/>
        <w:spacing w:before="0" w:beforeAutospacing="0" w:after="0" w:afterAutospacing="0"/>
        <w:jc w:val="center"/>
        <w:rPr>
          <w:rStyle w:val="Hyperlink"/>
          <w:rFonts w:asciiTheme="minorHAnsi" w:eastAsiaTheme="minorHAnsi" w:hAnsiTheme="minorHAnsi" w:cstheme="minorHAnsi"/>
          <w:sz w:val="22"/>
          <w:szCs w:val="22"/>
          <w:lang w:val="en-US" w:eastAsia="en-US"/>
        </w:rPr>
      </w:pPr>
      <w:r w:rsidRPr="00D8128B">
        <w:rPr>
          <w:rFonts w:asciiTheme="minorHAnsi" w:hAnsiTheme="minorHAnsi" w:cstheme="minorHAnsi"/>
          <w:b/>
          <w:bCs/>
          <w:sz w:val="22"/>
          <w:szCs w:val="22"/>
        </w:rPr>
        <w:t xml:space="preserve">For more information about the WHO Clean Household </w:t>
      </w:r>
      <w:r w:rsidR="00136C73" w:rsidRPr="00D8128B">
        <w:rPr>
          <w:rFonts w:asciiTheme="minorHAnsi" w:hAnsiTheme="minorHAnsi" w:cstheme="minorHAnsi"/>
          <w:b/>
          <w:bCs/>
          <w:sz w:val="22"/>
          <w:szCs w:val="22"/>
        </w:rPr>
        <w:t>Energy Solutions Toolkit</w:t>
      </w:r>
      <w:r w:rsidR="00A865AA">
        <w:rPr>
          <w:rFonts w:asciiTheme="minorHAnsi" w:hAnsiTheme="minorHAnsi" w:cstheme="minorHAnsi"/>
          <w:b/>
          <w:bCs/>
          <w:sz w:val="22"/>
          <w:szCs w:val="22"/>
        </w:rPr>
        <w:t xml:space="preserve"> and HEART</w:t>
      </w:r>
      <w:r w:rsidR="00136C73" w:rsidRPr="00D8128B">
        <w:rPr>
          <w:rFonts w:asciiTheme="minorHAnsi" w:hAnsiTheme="minorHAnsi" w:cstheme="minorHAnsi"/>
          <w:b/>
          <w:bCs/>
          <w:sz w:val="22"/>
          <w:szCs w:val="22"/>
        </w:rPr>
        <w:t xml:space="preserve">, </w:t>
      </w:r>
      <w:r w:rsidR="00B60B7E">
        <w:rPr>
          <w:rFonts w:asciiTheme="minorHAnsi" w:hAnsiTheme="minorHAnsi" w:cstheme="minorHAnsi"/>
          <w:b/>
          <w:bCs/>
          <w:sz w:val="22"/>
          <w:szCs w:val="22"/>
        </w:rPr>
        <w:br/>
      </w:r>
      <w:r w:rsidR="00136C73" w:rsidRPr="00D8128B">
        <w:rPr>
          <w:rFonts w:asciiTheme="minorHAnsi" w:hAnsiTheme="minorHAnsi" w:cstheme="minorHAnsi"/>
          <w:b/>
          <w:bCs/>
          <w:sz w:val="22"/>
          <w:szCs w:val="22"/>
        </w:rPr>
        <w:t>please visit:</w:t>
      </w:r>
      <w:r w:rsidR="000154C0" w:rsidRPr="00D8128B">
        <w:rPr>
          <w:rFonts w:asciiTheme="minorHAnsi" w:hAnsiTheme="minorHAnsi" w:cstheme="minorHAnsi"/>
          <w:b/>
          <w:bCs/>
          <w:sz w:val="22"/>
          <w:szCs w:val="22"/>
        </w:rPr>
        <w:t xml:space="preserve"> </w:t>
      </w:r>
      <w:r w:rsidR="000154C0" w:rsidRPr="00D8128B">
        <w:rPr>
          <w:rFonts w:asciiTheme="minorHAnsi" w:hAnsiTheme="minorHAnsi" w:cstheme="minorHAnsi"/>
          <w:b/>
          <w:bCs/>
          <w:sz w:val="22"/>
          <w:szCs w:val="22"/>
        </w:rPr>
        <w:br/>
      </w:r>
      <w:hyperlink r:id="rId14" w:history="1">
        <w:r w:rsidR="00056774" w:rsidRPr="00D8128B">
          <w:rPr>
            <w:rStyle w:val="Hyperlink"/>
            <w:rFonts w:asciiTheme="minorHAnsi" w:hAnsiTheme="minorHAnsi" w:cstheme="minorHAnsi"/>
            <w:sz w:val="22"/>
            <w:szCs w:val="22"/>
          </w:rPr>
          <w:t>https://www.who.int/tools/clean-household-energy-solutions-toolkit</w:t>
        </w:r>
      </w:hyperlink>
    </w:p>
    <w:p w14:paraId="64144755" w14:textId="2257DAF0" w:rsidR="00A865AA" w:rsidRPr="00060B74" w:rsidRDefault="00A865AA" w:rsidP="00060B74">
      <w:pPr>
        <w:pStyle w:val="pf0"/>
        <w:spacing w:before="0" w:beforeAutospacing="0" w:after="0" w:afterAutospacing="0"/>
        <w:jc w:val="center"/>
        <w:rPr>
          <w:rFonts w:asciiTheme="minorHAnsi" w:hAnsiTheme="minorHAnsi" w:cstheme="minorHAnsi"/>
          <w:sz w:val="22"/>
          <w:szCs w:val="22"/>
        </w:rPr>
      </w:pPr>
      <w:hyperlink r:id="rId15" w:history="1">
        <w:r w:rsidRPr="00060B74">
          <w:rPr>
            <w:rStyle w:val="Hyperlink"/>
            <w:rFonts w:asciiTheme="minorHAnsi" w:hAnsiTheme="minorHAnsi" w:cstheme="minorHAnsi"/>
            <w:sz w:val="22"/>
            <w:szCs w:val="22"/>
          </w:rPr>
          <w:t>https://www.who.int/tools/household-energy-assessment-rapid-tool-templates</w:t>
        </w:r>
      </w:hyperlink>
      <w:r w:rsidRPr="00060B74">
        <w:rPr>
          <w:rFonts w:asciiTheme="minorHAnsi" w:hAnsiTheme="minorHAnsi" w:cstheme="minorHAnsi"/>
          <w:sz w:val="22"/>
          <w:szCs w:val="22"/>
        </w:rPr>
        <w:t xml:space="preserve"> </w:t>
      </w:r>
    </w:p>
    <w:p w14:paraId="197FABE0" w14:textId="07105D7E" w:rsidR="00A865AA" w:rsidRPr="00060B74" w:rsidRDefault="00A865AA" w:rsidP="00060B74">
      <w:pPr>
        <w:pStyle w:val="pf0"/>
        <w:spacing w:before="0" w:beforeAutospacing="0" w:after="0" w:afterAutospacing="0"/>
        <w:jc w:val="center"/>
        <w:rPr>
          <w:rFonts w:eastAsiaTheme="minorHAnsi"/>
          <w:i/>
        </w:rPr>
      </w:pPr>
      <w:r w:rsidRPr="00060B74">
        <w:rPr>
          <w:rFonts w:asciiTheme="minorHAnsi" w:hAnsiTheme="minorHAnsi" w:cstheme="minorHAnsi"/>
          <w:i/>
          <w:iCs/>
          <w:sz w:val="22"/>
          <w:szCs w:val="22"/>
        </w:rPr>
        <w:t>householdenergy@who.int</w:t>
      </w:r>
    </w:p>
    <w:sectPr w:rsidR="00A865AA" w:rsidRPr="00060B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DF695" w14:textId="77777777" w:rsidR="000D7B33" w:rsidRDefault="000D7B33" w:rsidP="003104ED">
      <w:pPr>
        <w:spacing w:after="0" w:line="240" w:lineRule="auto"/>
      </w:pPr>
      <w:r>
        <w:separator/>
      </w:r>
    </w:p>
  </w:endnote>
  <w:endnote w:type="continuationSeparator" w:id="0">
    <w:p w14:paraId="33CCE7B3" w14:textId="77777777" w:rsidR="000D7B33" w:rsidRDefault="000D7B33" w:rsidP="003104ED">
      <w:pPr>
        <w:spacing w:after="0" w:line="240" w:lineRule="auto"/>
      </w:pPr>
      <w:r>
        <w:continuationSeparator/>
      </w:r>
    </w:p>
  </w:endnote>
  <w:endnote w:type="continuationNotice" w:id="1">
    <w:p w14:paraId="24F10F53" w14:textId="77777777" w:rsidR="000D7B33" w:rsidRDefault="000D7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CB2B" w14:textId="77777777" w:rsidR="000D7B33" w:rsidRDefault="000D7B33" w:rsidP="003104ED">
      <w:pPr>
        <w:spacing w:after="0" w:line="240" w:lineRule="auto"/>
      </w:pPr>
      <w:r>
        <w:separator/>
      </w:r>
    </w:p>
  </w:footnote>
  <w:footnote w:type="continuationSeparator" w:id="0">
    <w:p w14:paraId="6E11F0C3" w14:textId="77777777" w:rsidR="000D7B33" w:rsidRDefault="000D7B33" w:rsidP="003104ED">
      <w:pPr>
        <w:spacing w:after="0" w:line="240" w:lineRule="auto"/>
      </w:pPr>
      <w:r>
        <w:continuationSeparator/>
      </w:r>
    </w:p>
  </w:footnote>
  <w:footnote w:type="continuationNotice" w:id="1">
    <w:p w14:paraId="770129AC" w14:textId="77777777" w:rsidR="000D7B33" w:rsidRDefault="000D7B33">
      <w:pPr>
        <w:spacing w:after="0" w:line="240" w:lineRule="auto"/>
      </w:pPr>
    </w:p>
  </w:footnote>
  <w:footnote w:id="2">
    <w:p w14:paraId="6035785A" w14:textId="77777777" w:rsidR="00CF0155" w:rsidRDefault="00CF0155" w:rsidP="00CF0155">
      <w:pPr>
        <w:pStyle w:val="Funotentext"/>
      </w:pPr>
      <w:r>
        <w:rPr>
          <w:rStyle w:val="Funotenzeichen"/>
        </w:rPr>
        <w:footnoteRef/>
      </w:r>
      <w:r>
        <w:t xml:space="preserve"> WHO Household Energy Assessment Rapid Tool (HEART). Available from: </w:t>
      </w:r>
      <w:hyperlink r:id="rId1" w:history="1">
        <w:r w:rsidRPr="008372A7">
          <w:rPr>
            <w:rStyle w:val="Hyperlink"/>
          </w:rPr>
          <w:t>https://www.who.int/publications/i/item/9789240043091</w:t>
        </w:r>
      </w:hyperlink>
      <w:r>
        <w:t xml:space="preserve">  </w:t>
      </w:r>
    </w:p>
  </w:footnote>
  <w:footnote w:id="3">
    <w:p w14:paraId="17966F8E" w14:textId="124E42F4" w:rsidR="00B179E0" w:rsidRDefault="00B179E0">
      <w:pPr>
        <w:pStyle w:val="Funotentext"/>
      </w:pPr>
      <w:r>
        <w:rPr>
          <w:rStyle w:val="Funotenzeichen"/>
        </w:rPr>
        <w:footnoteRef/>
      </w:r>
      <w:r>
        <w:t xml:space="preserve"> WHO Global Health Observatory indicator “household air pollution </w:t>
      </w:r>
      <w:r w:rsidR="00681F44">
        <w:t xml:space="preserve">attributable deaths”. Available from: </w:t>
      </w:r>
      <w:hyperlink r:id="rId2" w:history="1">
        <w:r w:rsidR="00681F44" w:rsidRPr="00847559">
          <w:rPr>
            <w:rStyle w:val="Hyperlink"/>
          </w:rPr>
          <w:t>https://www.who.int/data/gho/data/indicators/indicator-details/GHO/household-air-pollution-attributable-deaths</w:t>
        </w:r>
      </w:hyperlink>
      <w:r w:rsidR="00681F44">
        <w:t xml:space="preserve"> </w:t>
      </w:r>
    </w:p>
  </w:footnote>
  <w:footnote w:id="4">
    <w:p w14:paraId="59E5505F" w14:textId="12E272B5" w:rsidR="00681F44" w:rsidRDefault="00681F44">
      <w:pPr>
        <w:pStyle w:val="Funotentext"/>
      </w:pPr>
      <w:r>
        <w:rPr>
          <w:rStyle w:val="Funotenzeichen"/>
        </w:rPr>
        <w:footnoteRef/>
      </w:r>
      <w:r>
        <w:t xml:space="preserve"> WHO Global Health Observatory </w:t>
      </w:r>
      <w:r w:rsidR="006A2815">
        <w:t xml:space="preserve">Global Health Estimates, Leading causes of death. Available from: </w:t>
      </w:r>
      <w:hyperlink r:id="rId3" w:history="1">
        <w:r w:rsidR="006A2815" w:rsidRPr="00847559">
          <w:rPr>
            <w:rStyle w:val="Hyperlink"/>
          </w:rPr>
          <w:t>https://www.who.int/data/gho/data/themes/mortality-and-global-health-estimates/ghe-leading-causes-of-death</w:t>
        </w:r>
      </w:hyperlink>
      <w:r w:rsidR="006A281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D63B6"/>
    <w:multiLevelType w:val="hybridMultilevel"/>
    <w:tmpl w:val="F9FC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71BAB"/>
    <w:multiLevelType w:val="hybridMultilevel"/>
    <w:tmpl w:val="29FA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001BD2"/>
    <w:multiLevelType w:val="multilevel"/>
    <w:tmpl w:val="85D81A5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4E531C7F"/>
    <w:multiLevelType w:val="hybridMultilevel"/>
    <w:tmpl w:val="EE56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D419D"/>
    <w:multiLevelType w:val="hybridMultilevel"/>
    <w:tmpl w:val="EBC6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302525"/>
    <w:multiLevelType w:val="hybridMultilevel"/>
    <w:tmpl w:val="80E8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066EF2"/>
    <w:multiLevelType w:val="hybridMultilevel"/>
    <w:tmpl w:val="0E5673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4533502">
    <w:abstractNumId w:val="2"/>
  </w:num>
  <w:num w:numId="2" w16cid:durableId="2168178">
    <w:abstractNumId w:val="6"/>
  </w:num>
  <w:num w:numId="3" w16cid:durableId="577594861">
    <w:abstractNumId w:val="0"/>
  </w:num>
  <w:num w:numId="4" w16cid:durableId="1272589873">
    <w:abstractNumId w:val="1"/>
  </w:num>
  <w:num w:numId="5" w16cid:durableId="1549101512">
    <w:abstractNumId w:val="5"/>
  </w:num>
  <w:num w:numId="6" w16cid:durableId="48266320">
    <w:abstractNumId w:val="4"/>
  </w:num>
  <w:num w:numId="7" w16cid:durableId="1580408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srCwMDU2NDY3NTRR0lEKTi0uzszPAykwrgUA7XacriwAAAA="/>
  </w:docVars>
  <w:rsids>
    <w:rsidRoot w:val="00AB5760"/>
    <w:rsid w:val="00002536"/>
    <w:rsid w:val="00007209"/>
    <w:rsid w:val="0001149F"/>
    <w:rsid w:val="00012881"/>
    <w:rsid w:val="00014BA4"/>
    <w:rsid w:val="000154C0"/>
    <w:rsid w:val="00023F4D"/>
    <w:rsid w:val="000274AD"/>
    <w:rsid w:val="000344D5"/>
    <w:rsid w:val="00036D17"/>
    <w:rsid w:val="00050AE9"/>
    <w:rsid w:val="0005456E"/>
    <w:rsid w:val="00056774"/>
    <w:rsid w:val="00057866"/>
    <w:rsid w:val="00060B74"/>
    <w:rsid w:val="00063220"/>
    <w:rsid w:val="0007473A"/>
    <w:rsid w:val="00096192"/>
    <w:rsid w:val="000B2F47"/>
    <w:rsid w:val="000B33E3"/>
    <w:rsid w:val="000B3EB8"/>
    <w:rsid w:val="000B5701"/>
    <w:rsid w:val="000B6C0F"/>
    <w:rsid w:val="000C047B"/>
    <w:rsid w:val="000C6265"/>
    <w:rsid w:val="000C6570"/>
    <w:rsid w:val="000C7B11"/>
    <w:rsid w:val="000D314A"/>
    <w:rsid w:val="000D76A1"/>
    <w:rsid w:val="000D7B33"/>
    <w:rsid w:val="00102042"/>
    <w:rsid w:val="00112786"/>
    <w:rsid w:val="00112EF7"/>
    <w:rsid w:val="001140A7"/>
    <w:rsid w:val="00116D80"/>
    <w:rsid w:val="00117971"/>
    <w:rsid w:val="00117D73"/>
    <w:rsid w:val="001200A3"/>
    <w:rsid w:val="00121BB3"/>
    <w:rsid w:val="001238EC"/>
    <w:rsid w:val="001272AE"/>
    <w:rsid w:val="00131954"/>
    <w:rsid w:val="00135426"/>
    <w:rsid w:val="00136C73"/>
    <w:rsid w:val="001374A5"/>
    <w:rsid w:val="00145479"/>
    <w:rsid w:val="00157AA1"/>
    <w:rsid w:val="0016234B"/>
    <w:rsid w:val="001647E1"/>
    <w:rsid w:val="00166F5D"/>
    <w:rsid w:val="00171FC1"/>
    <w:rsid w:val="00180AAA"/>
    <w:rsid w:val="00181CFA"/>
    <w:rsid w:val="00183ED9"/>
    <w:rsid w:val="00187BF4"/>
    <w:rsid w:val="001927F8"/>
    <w:rsid w:val="00192F52"/>
    <w:rsid w:val="001A109C"/>
    <w:rsid w:val="001A1742"/>
    <w:rsid w:val="001A1C18"/>
    <w:rsid w:val="001A65A7"/>
    <w:rsid w:val="001B0028"/>
    <w:rsid w:val="001B3A37"/>
    <w:rsid w:val="001B5DAF"/>
    <w:rsid w:val="001D5412"/>
    <w:rsid w:val="001D659C"/>
    <w:rsid w:val="001E51E2"/>
    <w:rsid w:val="00206F1B"/>
    <w:rsid w:val="002126CC"/>
    <w:rsid w:val="0021766A"/>
    <w:rsid w:val="002250E7"/>
    <w:rsid w:val="00233763"/>
    <w:rsid w:val="00246DD8"/>
    <w:rsid w:val="002472A2"/>
    <w:rsid w:val="00254AAD"/>
    <w:rsid w:val="00262B91"/>
    <w:rsid w:val="00292F26"/>
    <w:rsid w:val="0029304D"/>
    <w:rsid w:val="002A0878"/>
    <w:rsid w:val="002A4943"/>
    <w:rsid w:val="002B7E4C"/>
    <w:rsid w:val="002C4E2E"/>
    <w:rsid w:val="002C7ADD"/>
    <w:rsid w:val="002D5164"/>
    <w:rsid w:val="002D549C"/>
    <w:rsid w:val="002E0513"/>
    <w:rsid w:val="002E7185"/>
    <w:rsid w:val="002F64B2"/>
    <w:rsid w:val="003025A8"/>
    <w:rsid w:val="00305F85"/>
    <w:rsid w:val="003104ED"/>
    <w:rsid w:val="003123B8"/>
    <w:rsid w:val="00317F81"/>
    <w:rsid w:val="0032509C"/>
    <w:rsid w:val="00336F63"/>
    <w:rsid w:val="0034031B"/>
    <w:rsid w:val="00342226"/>
    <w:rsid w:val="00346C63"/>
    <w:rsid w:val="0035387D"/>
    <w:rsid w:val="00353AC4"/>
    <w:rsid w:val="00366F1F"/>
    <w:rsid w:val="00367754"/>
    <w:rsid w:val="0037225A"/>
    <w:rsid w:val="00372E49"/>
    <w:rsid w:val="00372FB6"/>
    <w:rsid w:val="0037514F"/>
    <w:rsid w:val="0038752E"/>
    <w:rsid w:val="003918B7"/>
    <w:rsid w:val="003A0A66"/>
    <w:rsid w:val="003A214D"/>
    <w:rsid w:val="003A4803"/>
    <w:rsid w:val="003B1BB7"/>
    <w:rsid w:val="003C4CFE"/>
    <w:rsid w:val="003C5177"/>
    <w:rsid w:val="003D02AD"/>
    <w:rsid w:val="003D2696"/>
    <w:rsid w:val="003D4CFA"/>
    <w:rsid w:val="003E047B"/>
    <w:rsid w:val="003E1867"/>
    <w:rsid w:val="003E4286"/>
    <w:rsid w:val="003E55D5"/>
    <w:rsid w:val="003E7E7E"/>
    <w:rsid w:val="003F21E6"/>
    <w:rsid w:val="0040103F"/>
    <w:rsid w:val="004024A5"/>
    <w:rsid w:val="00405DF8"/>
    <w:rsid w:val="00406684"/>
    <w:rsid w:val="00410BB7"/>
    <w:rsid w:val="004178B3"/>
    <w:rsid w:val="004218D7"/>
    <w:rsid w:val="00421E17"/>
    <w:rsid w:val="0042730D"/>
    <w:rsid w:val="00436046"/>
    <w:rsid w:val="00441333"/>
    <w:rsid w:val="00445415"/>
    <w:rsid w:val="00445C1E"/>
    <w:rsid w:val="00451121"/>
    <w:rsid w:val="00455388"/>
    <w:rsid w:val="00456D3C"/>
    <w:rsid w:val="004576D7"/>
    <w:rsid w:val="00472A19"/>
    <w:rsid w:val="00473B83"/>
    <w:rsid w:val="00473D89"/>
    <w:rsid w:val="00474169"/>
    <w:rsid w:val="00475E2F"/>
    <w:rsid w:val="004859E5"/>
    <w:rsid w:val="00487F6F"/>
    <w:rsid w:val="004B5D7E"/>
    <w:rsid w:val="004C1D61"/>
    <w:rsid w:val="004C64B5"/>
    <w:rsid w:val="004D707C"/>
    <w:rsid w:val="004E4648"/>
    <w:rsid w:val="004F0C1D"/>
    <w:rsid w:val="004F2388"/>
    <w:rsid w:val="004F53FB"/>
    <w:rsid w:val="004F67F7"/>
    <w:rsid w:val="005033BC"/>
    <w:rsid w:val="005179DF"/>
    <w:rsid w:val="00544E1C"/>
    <w:rsid w:val="005517D1"/>
    <w:rsid w:val="005534CA"/>
    <w:rsid w:val="00573340"/>
    <w:rsid w:val="0057417C"/>
    <w:rsid w:val="00576213"/>
    <w:rsid w:val="00580516"/>
    <w:rsid w:val="00584F5A"/>
    <w:rsid w:val="005A4DF0"/>
    <w:rsid w:val="005A5742"/>
    <w:rsid w:val="005B239D"/>
    <w:rsid w:val="005B29B8"/>
    <w:rsid w:val="005B31E0"/>
    <w:rsid w:val="005B5EA0"/>
    <w:rsid w:val="005B7B27"/>
    <w:rsid w:val="005C0102"/>
    <w:rsid w:val="005C1255"/>
    <w:rsid w:val="005C138C"/>
    <w:rsid w:val="005D1B36"/>
    <w:rsid w:val="005D2BBF"/>
    <w:rsid w:val="005D714D"/>
    <w:rsid w:val="005D7724"/>
    <w:rsid w:val="005E3DDF"/>
    <w:rsid w:val="005E4720"/>
    <w:rsid w:val="005F7A0A"/>
    <w:rsid w:val="006072A2"/>
    <w:rsid w:val="006109B3"/>
    <w:rsid w:val="006240E6"/>
    <w:rsid w:val="00624AFA"/>
    <w:rsid w:val="0062624D"/>
    <w:rsid w:val="006324C9"/>
    <w:rsid w:val="00633CFA"/>
    <w:rsid w:val="00635503"/>
    <w:rsid w:val="00636404"/>
    <w:rsid w:val="00643C3C"/>
    <w:rsid w:val="0065779B"/>
    <w:rsid w:val="00661541"/>
    <w:rsid w:val="00681F44"/>
    <w:rsid w:val="00684C08"/>
    <w:rsid w:val="00693134"/>
    <w:rsid w:val="00694398"/>
    <w:rsid w:val="006A20FE"/>
    <w:rsid w:val="006A2815"/>
    <w:rsid w:val="006A335F"/>
    <w:rsid w:val="006B50D5"/>
    <w:rsid w:val="006D7655"/>
    <w:rsid w:val="006E041F"/>
    <w:rsid w:val="006E7EA8"/>
    <w:rsid w:val="00702BA1"/>
    <w:rsid w:val="0071155C"/>
    <w:rsid w:val="0071574E"/>
    <w:rsid w:val="00720DD0"/>
    <w:rsid w:val="00730517"/>
    <w:rsid w:val="0073225D"/>
    <w:rsid w:val="007352C0"/>
    <w:rsid w:val="007455AB"/>
    <w:rsid w:val="00755A79"/>
    <w:rsid w:val="00764141"/>
    <w:rsid w:val="007706D6"/>
    <w:rsid w:val="00770D61"/>
    <w:rsid w:val="007731FF"/>
    <w:rsid w:val="00781A10"/>
    <w:rsid w:val="0078254C"/>
    <w:rsid w:val="0078776D"/>
    <w:rsid w:val="00791627"/>
    <w:rsid w:val="0079631C"/>
    <w:rsid w:val="00797CA3"/>
    <w:rsid w:val="007A1BC0"/>
    <w:rsid w:val="007A219E"/>
    <w:rsid w:val="007B2E1D"/>
    <w:rsid w:val="007B368E"/>
    <w:rsid w:val="007B6BCF"/>
    <w:rsid w:val="007C51CC"/>
    <w:rsid w:val="007D206A"/>
    <w:rsid w:val="007D46F2"/>
    <w:rsid w:val="007D7375"/>
    <w:rsid w:val="007E191D"/>
    <w:rsid w:val="007E630A"/>
    <w:rsid w:val="007E6CC4"/>
    <w:rsid w:val="007F00EC"/>
    <w:rsid w:val="007F3D28"/>
    <w:rsid w:val="007F5718"/>
    <w:rsid w:val="007F60B5"/>
    <w:rsid w:val="0080780E"/>
    <w:rsid w:val="00816D3D"/>
    <w:rsid w:val="00817E1F"/>
    <w:rsid w:val="00824C99"/>
    <w:rsid w:val="00825832"/>
    <w:rsid w:val="00827523"/>
    <w:rsid w:val="008306FB"/>
    <w:rsid w:val="00831E0B"/>
    <w:rsid w:val="0084185E"/>
    <w:rsid w:val="0084233E"/>
    <w:rsid w:val="00842618"/>
    <w:rsid w:val="0084632B"/>
    <w:rsid w:val="00851465"/>
    <w:rsid w:val="00852919"/>
    <w:rsid w:val="00855AF2"/>
    <w:rsid w:val="008601BB"/>
    <w:rsid w:val="00860209"/>
    <w:rsid w:val="00863F26"/>
    <w:rsid w:val="00866A36"/>
    <w:rsid w:val="008673D4"/>
    <w:rsid w:val="008817C1"/>
    <w:rsid w:val="008839BB"/>
    <w:rsid w:val="00884114"/>
    <w:rsid w:val="00885B53"/>
    <w:rsid w:val="00885E4D"/>
    <w:rsid w:val="00895DA8"/>
    <w:rsid w:val="008A294E"/>
    <w:rsid w:val="008A581C"/>
    <w:rsid w:val="008A6401"/>
    <w:rsid w:val="008A645F"/>
    <w:rsid w:val="008B28AD"/>
    <w:rsid w:val="008B466F"/>
    <w:rsid w:val="008C2C87"/>
    <w:rsid w:val="008D3B4A"/>
    <w:rsid w:val="008E007E"/>
    <w:rsid w:val="008E0A70"/>
    <w:rsid w:val="008E25BA"/>
    <w:rsid w:val="008E408E"/>
    <w:rsid w:val="008F5084"/>
    <w:rsid w:val="008F5AAD"/>
    <w:rsid w:val="008F6EF2"/>
    <w:rsid w:val="008F709C"/>
    <w:rsid w:val="00902A81"/>
    <w:rsid w:val="00905606"/>
    <w:rsid w:val="00922F99"/>
    <w:rsid w:val="00926223"/>
    <w:rsid w:val="00930F80"/>
    <w:rsid w:val="00936A87"/>
    <w:rsid w:val="0093719A"/>
    <w:rsid w:val="009406A6"/>
    <w:rsid w:val="009439B0"/>
    <w:rsid w:val="0095775A"/>
    <w:rsid w:val="009677BA"/>
    <w:rsid w:val="009703F1"/>
    <w:rsid w:val="009765BD"/>
    <w:rsid w:val="00984E62"/>
    <w:rsid w:val="00984FEE"/>
    <w:rsid w:val="00990343"/>
    <w:rsid w:val="00994FBA"/>
    <w:rsid w:val="009A0ED5"/>
    <w:rsid w:val="009A1468"/>
    <w:rsid w:val="009A7EA2"/>
    <w:rsid w:val="009B18DD"/>
    <w:rsid w:val="009B66BC"/>
    <w:rsid w:val="009B6B11"/>
    <w:rsid w:val="009C2D86"/>
    <w:rsid w:val="009C3500"/>
    <w:rsid w:val="009C433A"/>
    <w:rsid w:val="009D140B"/>
    <w:rsid w:val="009D3AC9"/>
    <w:rsid w:val="009D472B"/>
    <w:rsid w:val="009F4F42"/>
    <w:rsid w:val="009F5B70"/>
    <w:rsid w:val="009F5C85"/>
    <w:rsid w:val="00A06C6F"/>
    <w:rsid w:val="00A07A27"/>
    <w:rsid w:val="00A07B08"/>
    <w:rsid w:val="00A33C98"/>
    <w:rsid w:val="00A412BE"/>
    <w:rsid w:val="00A5467C"/>
    <w:rsid w:val="00A559EC"/>
    <w:rsid w:val="00A55A38"/>
    <w:rsid w:val="00A57B8B"/>
    <w:rsid w:val="00A60FB8"/>
    <w:rsid w:val="00A67436"/>
    <w:rsid w:val="00A7219A"/>
    <w:rsid w:val="00A74AD9"/>
    <w:rsid w:val="00A7678B"/>
    <w:rsid w:val="00A84B2E"/>
    <w:rsid w:val="00A853A5"/>
    <w:rsid w:val="00A865AA"/>
    <w:rsid w:val="00A9431E"/>
    <w:rsid w:val="00AA0375"/>
    <w:rsid w:val="00AA5368"/>
    <w:rsid w:val="00AA6665"/>
    <w:rsid w:val="00AB003C"/>
    <w:rsid w:val="00AB5760"/>
    <w:rsid w:val="00AC3B24"/>
    <w:rsid w:val="00AC6504"/>
    <w:rsid w:val="00AE5B5C"/>
    <w:rsid w:val="00AE656F"/>
    <w:rsid w:val="00AF2E4C"/>
    <w:rsid w:val="00AF50BA"/>
    <w:rsid w:val="00B053D1"/>
    <w:rsid w:val="00B072C9"/>
    <w:rsid w:val="00B10F30"/>
    <w:rsid w:val="00B179E0"/>
    <w:rsid w:val="00B20F68"/>
    <w:rsid w:val="00B26261"/>
    <w:rsid w:val="00B37703"/>
    <w:rsid w:val="00B44DC9"/>
    <w:rsid w:val="00B45FBA"/>
    <w:rsid w:val="00B46E63"/>
    <w:rsid w:val="00B51FB2"/>
    <w:rsid w:val="00B53A0E"/>
    <w:rsid w:val="00B56762"/>
    <w:rsid w:val="00B605C6"/>
    <w:rsid w:val="00B60B7E"/>
    <w:rsid w:val="00B72222"/>
    <w:rsid w:val="00B80411"/>
    <w:rsid w:val="00B86B6C"/>
    <w:rsid w:val="00B96927"/>
    <w:rsid w:val="00BA4FD2"/>
    <w:rsid w:val="00BA68C3"/>
    <w:rsid w:val="00BA7E23"/>
    <w:rsid w:val="00BC2AD9"/>
    <w:rsid w:val="00BD11B7"/>
    <w:rsid w:val="00BD7DE9"/>
    <w:rsid w:val="00BE2121"/>
    <w:rsid w:val="00BE6CE5"/>
    <w:rsid w:val="00BF2770"/>
    <w:rsid w:val="00BF5F1B"/>
    <w:rsid w:val="00C00774"/>
    <w:rsid w:val="00C01FA0"/>
    <w:rsid w:val="00C10AB6"/>
    <w:rsid w:val="00C10E50"/>
    <w:rsid w:val="00C1249D"/>
    <w:rsid w:val="00C16120"/>
    <w:rsid w:val="00C2107E"/>
    <w:rsid w:val="00C26B8C"/>
    <w:rsid w:val="00C36E39"/>
    <w:rsid w:val="00C371F6"/>
    <w:rsid w:val="00C504EB"/>
    <w:rsid w:val="00C67ECF"/>
    <w:rsid w:val="00C738FC"/>
    <w:rsid w:val="00C76632"/>
    <w:rsid w:val="00C812FC"/>
    <w:rsid w:val="00C86BEE"/>
    <w:rsid w:val="00C90BD5"/>
    <w:rsid w:val="00C940DD"/>
    <w:rsid w:val="00C941FB"/>
    <w:rsid w:val="00C957F0"/>
    <w:rsid w:val="00CA19B7"/>
    <w:rsid w:val="00CA1F5A"/>
    <w:rsid w:val="00CA491B"/>
    <w:rsid w:val="00CB0606"/>
    <w:rsid w:val="00CB3D85"/>
    <w:rsid w:val="00CB6B21"/>
    <w:rsid w:val="00CC18FF"/>
    <w:rsid w:val="00CC6771"/>
    <w:rsid w:val="00CD0FE6"/>
    <w:rsid w:val="00CD0FED"/>
    <w:rsid w:val="00CD5EE9"/>
    <w:rsid w:val="00CD608C"/>
    <w:rsid w:val="00CD7D1B"/>
    <w:rsid w:val="00CE330F"/>
    <w:rsid w:val="00CF0155"/>
    <w:rsid w:val="00CF0BA8"/>
    <w:rsid w:val="00CF3CD3"/>
    <w:rsid w:val="00CF6A48"/>
    <w:rsid w:val="00CF7737"/>
    <w:rsid w:val="00CF7D3E"/>
    <w:rsid w:val="00D0323A"/>
    <w:rsid w:val="00D14805"/>
    <w:rsid w:val="00D228B6"/>
    <w:rsid w:val="00D23E02"/>
    <w:rsid w:val="00D31FE6"/>
    <w:rsid w:val="00D3292A"/>
    <w:rsid w:val="00D356C9"/>
    <w:rsid w:val="00D36309"/>
    <w:rsid w:val="00D36C65"/>
    <w:rsid w:val="00D41AA3"/>
    <w:rsid w:val="00D47717"/>
    <w:rsid w:val="00D509DD"/>
    <w:rsid w:val="00D651CF"/>
    <w:rsid w:val="00D65900"/>
    <w:rsid w:val="00D65E85"/>
    <w:rsid w:val="00D74E59"/>
    <w:rsid w:val="00D801AA"/>
    <w:rsid w:val="00D8128B"/>
    <w:rsid w:val="00D90793"/>
    <w:rsid w:val="00D911D0"/>
    <w:rsid w:val="00D945FA"/>
    <w:rsid w:val="00D95DCF"/>
    <w:rsid w:val="00D96928"/>
    <w:rsid w:val="00DA4344"/>
    <w:rsid w:val="00DA5BD5"/>
    <w:rsid w:val="00DA649B"/>
    <w:rsid w:val="00DB048F"/>
    <w:rsid w:val="00DB7AE2"/>
    <w:rsid w:val="00DC1075"/>
    <w:rsid w:val="00DC3E4B"/>
    <w:rsid w:val="00DC448F"/>
    <w:rsid w:val="00DD1561"/>
    <w:rsid w:val="00DD1D0E"/>
    <w:rsid w:val="00DD55E2"/>
    <w:rsid w:val="00DD5B26"/>
    <w:rsid w:val="00DD7EFA"/>
    <w:rsid w:val="00DE04FE"/>
    <w:rsid w:val="00DE1EA0"/>
    <w:rsid w:val="00DE6E87"/>
    <w:rsid w:val="00DF1435"/>
    <w:rsid w:val="00DF2A6B"/>
    <w:rsid w:val="00DF6FA4"/>
    <w:rsid w:val="00DF7A5C"/>
    <w:rsid w:val="00E208F5"/>
    <w:rsid w:val="00E21A16"/>
    <w:rsid w:val="00E22733"/>
    <w:rsid w:val="00E27892"/>
    <w:rsid w:val="00E30F37"/>
    <w:rsid w:val="00E36C80"/>
    <w:rsid w:val="00E404FF"/>
    <w:rsid w:val="00E47D2D"/>
    <w:rsid w:val="00E52494"/>
    <w:rsid w:val="00E536F2"/>
    <w:rsid w:val="00E552A4"/>
    <w:rsid w:val="00E57F8A"/>
    <w:rsid w:val="00E6427C"/>
    <w:rsid w:val="00E703A7"/>
    <w:rsid w:val="00E92B43"/>
    <w:rsid w:val="00E9484D"/>
    <w:rsid w:val="00E97302"/>
    <w:rsid w:val="00EA6B7E"/>
    <w:rsid w:val="00EB04F6"/>
    <w:rsid w:val="00EB4224"/>
    <w:rsid w:val="00EB4741"/>
    <w:rsid w:val="00EB7B38"/>
    <w:rsid w:val="00EC755E"/>
    <w:rsid w:val="00ED1021"/>
    <w:rsid w:val="00ED50CF"/>
    <w:rsid w:val="00EE0B44"/>
    <w:rsid w:val="00EE47DA"/>
    <w:rsid w:val="00EF4EEF"/>
    <w:rsid w:val="00EF5AED"/>
    <w:rsid w:val="00F01380"/>
    <w:rsid w:val="00F0338B"/>
    <w:rsid w:val="00F068BF"/>
    <w:rsid w:val="00F110DB"/>
    <w:rsid w:val="00F17363"/>
    <w:rsid w:val="00F17942"/>
    <w:rsid w:val="00F22BF4"/>
    <w:rsid w:val="00F30072"/>
    <w:rsid w:val="00F3254D"/>
    <w:rsid w:val="00F33659"/>
    <w:rsid w:val="00F3441E"/>
    <w:rsid w:val="00F412A9"/>
    <w:rsid w:val="00F635CD"/>
    <w:rsid w:val="00F7079F"/>
    <w:rsid w:val="00F83A59"/>
    <w:rsid w:val="00F86724"/>
    <w:rsid w:val="00F91E90"/>
    <w:rsid w:val="00F97A4B"/>
    <w:rsid w:val="00FA1823"/>
    <w:rsid w:val="00FA3FE6"/>
    <w:rsid w:val="00FB6925"/>
    <w:rsid w:val="00FC22BD"/>
    <w:rsid w:val="00FD13EC"/>
    <w:rsid w:val="00FD2D4F"/>
    <w:rsid w:val="00FE1258"/>
    <w:rsid w:val="00FE41C6"/>
    <w:rsid w:val="00FE53D0"/>
    <w:rsid w:val="011B4021"/>
    <w:rsid w:val="043A3E09"/>
    <w:rsid w:val="08AB0F49"/>
    <w:rsid w:val="096FDB81"/>
    <w:rsid w:val="0997AEFF"/>
    <w:rsid w:val="1292A69A"/>
    <w:rsid w:val="15330243"/>
    <w:rsid w:val="1BA9E3CA"/>
    <w:rsid w:val="1D362043"/>
    <w:rsid w:val="2076AAAA"/>
    <w:rsid w:val="24A1189F"/>
    <w:rsid w:val="25DB5EBE"/>
    <w:rsid w:val="2B99DC00"/>
    <w:rsid w:val="2BC80872"/>
    <w:rsid w:val="2D1DB2F4"/>
    <w:rsid w:val="31B47F55"/>
    <w:rsid w:val="40611B20"/>
    <w:rsid w:val="42DD4FEB"/>
    <w:rsid w:val="4424821D"/>
    <w:rsid w:val="490E2645"/>
    <w:rsid w:val="49336912"/>
    <w:rsid w:val="4B41C55C"/>
    <w:rsid w:val="56932324"/>
    <w:rsid w:val="5BCAA7E0"/>
    <w:rsid w:val="5BF3971B"/>
    <w:rsid w:val="5DDFF496"/>
    <w:rsid w:val="5FF4A9D4"/>
    <w:rsid w:val="6012FC35"/>
    <w:rsid w:val="667AB5D5"/>
    <w:rsid w:val="6BDDD652"/>
    <w:rsid w:val="6F6F9E12"/>
    <w:rsid w:val="70E7C614"/>
    <w:rsid w:val="7719CB5E"/>
    <w:rsid w:val="77D7A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602E"/>
  <w15:chartTrackingRefBased/>
  <w15:docId w15:val="{56C472A0-D500-44D7-8B4E-E1CF3237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104ED"/>
    <w:pPr>
      <w:numPr>
        <w:numId w:val="1"/>
      </w:numPr>
      <w:spacing w:after="160" w:line="259" w:lineRule="auto"/>
      <w:jc w:val="both"/>
      <w:outlineLvl w:val="0"/>
    </w:pPr>
    <w:rPr>
      <w:rFonts w:ascii="Calibri" w:eastAsia="Calibri" w:hAnsi="Calibri" w:cs="Arial"/>
      <w:b/>
      <w:bCs/>
      <w:sz w:val="36"/>
      <w:szCs w:val="24"/>
      <w:lang w:val="en-GB"/>
    </w:rPr>
  </w:style>
  <w:style w:type="paragraph" w:styleId="berschrift2">
    <w:name w:val="heading 2"/>
    <w:basedOn w:val="Standard"/>
    <w:next w:val="Standard"/>
    <w:link w:val="berschrift2Zchn"/>
    <w:uiPriority w:val="9"/>
    <w:unhideWhenUsed/>
    <w:qFormat/>
    <w:rsid w:val="003104ED"/>
    <w:pPr>
      <w:keepNext/>
      <w:keepLines/>
      <w:numPr>
        <w:ilvl w:val="1"/>
        <w:numId w:val="1"/>
      </w:numPr>
      <w:spacing w:before="40" w:after="0" w:line="240" w:lineRule="auto"/>
      <w:jc w:val="both"/>
      <w:outlineLvl w:val="1"/>
    </w:pPr>
    <w:rPr>
      <w:rFonts w:ascii="Calibri" w:eastAsia="Times New Roman" w:hAnsi="Calibri" w:cs="Times New Roman"/>
      <w:b/>
      <w:sz w:val="32"/>
      <w:szCs w:val="26"/>
      <w:lang w:val="en-GB"/>
    </w:rPr>
  </w:style>
  <w:style w:type="paragraph" w:styleId="berschrift3">
    <w:name w:val="heading 3"/>
    <w:basedOn w:val="Standard"/>
    <w:next w:val="Standard"/>
    <w:link w:val="berschrift3Zchn"/>
    <w:uiPriority w:val="9"/>
    <w:unhideWhenUsed/>
    <w:qFormat/>
    <w:rsid w:val="003104ED"/>
    <w:pPr>
      <w:numPr>
        <w:ilvl w:val="2"/>
        <w:numId w:val="1"/>
      </w:numPr>
      <w:spacing w:after="160" w:line="259" w:lineRule="auto"/>
      <w:jc w:val="both"/>
      <w:outlineLvl w:val="2"/>
    </w:pPr>
    <w:rPr>
      <w:rFonts w:ascii="Calibri" w:eastAsia="Calibri" w:hAnsi="Calibri" w:cs="Times New Roman"/>
      <w:sz w:val="28"/>
      <w:szCs w:val="28"/>
      <w:lang w:val="en-GB"/>
    </w:rPr>
  </w:style>
  <w:style w:type="paragraph" w:styleId="berschrift4">
    <w:name w:val="heading 4"/>
    <w:basedOn w:val="Standard"/>
    <w:next w:val="Standard"/>
    <w:link w:val="berschrift4Zchn"/>
    <w:uiPriority w:val="9"/>
    <w:unhideWhenUsed/>
    <w:qFormat/>
    <w:rsid w:val="003104ED"/>
    <w:pPr>
      <w:keepNext/>
      <w:keepLines/>
      <w:numPr>
        <w:ilvl w:val="3"/>
        <w:numId w:val="1"/>
      </w:numPr>
      <w:spacing w:before="40" w:after="0" w:line="259" w:lineRule="auto"/>
      <w:jc w:val="both"/>
      <w:outlineLvl w:val="3"/>
    </w:pPr>
    <w:rPr>
      <w:rFonts w:asciiTheme="majorHAnsi" w:eastAsiaTheme="majorEastAsia" w:hAnsiTheme="majorHAnsi" w:cstheme="majorBidi"/>
      <w:i/>
      <w:iCs/>
      <w:color w:val="365F91" w:themeColor="accent1" w:themeShade="BF"/>
      <w:szCs w:val="24"/>
      <w:lang w:val="en-GB"/>
    </w:rPr>
  </w:style>
  <w:style w:type="paragraph" w:styleId="berschrift5">
    <w:name w:val="heading 5"/>
    <w:basedOn w:val="Standard"/>
    <w:next w:val="Standard"/>
    <w:link w:val="berschrift5Zchn"/>
    <w:uiPriority w:val="9"/>
    <w:semiHidden/>
    <w:unhideWhenUsed/>
    <w:qFormat/>
    <w:rsid w:val="003104ED"/>
    <w:pPr>
      <w:keepNext/>
      <w:keepLines/>
      <w:numPr>
        <w:ilvl w:val="4"/>
        <w:numId w:val="1"/>
      </w:numPr>
      <w:spacing w:before="40" w:after="0" w:line="259" w:lineRule="auto"/>
      <w:jc w:val="both"/>
      <w:outlineLvl w:val="4"/>
    </w:pPr>
    <w:rPr>
      <w:rFonts w:asciiTheme="majorHAnsi" w:eastAsiaTheme="majorEastAsia" w:hAnsiTheme="majorHAnsi" w:cstheme="majorBidi"/>
      <w:color w:val="365F91" w:themeColor="accent1" w:themeShade="BF"/>
      <w:szCs w:val="24"/>
      <w:lang w:val="en-GB"/>
    </w:rPr>
  </w:style>
  <w:style w:type="paragraph" w:styleId="berschrift6">
    <w:name w:val="heading 6"/>
    <w:basedOn w:val="Standard"/>
    <w:next w:val="Standard"/>
    <w:link w:val="berschrift6Zchn"/>
    <w:uiPriority w:val="9"/>
    <w:semiHidden/>
    <w:unhideWhenUsed/>
    <w:qFormat/>
    <w:rsid w:val="003104ED"/>
    <w:pPr>
      <w:keepNext/>
      <w:keepLines/>
      <w:numPr>
        <w:ilvl w:val="5"/>
        <w:numId w:val="1"/>
      </w:numPr>
      <w:spacing w:before="40" w:after="0" w:line="259" w:lineRule="auto"/>
      <w:jc w:val="both"/>
      <w:outlineLvl w:val="5"/>
    </w:pPr>
    <w:rPr>
      <w:rFonts w:asciiTheme="majorHAnsi" w:eastAsiaTheme="majorEastAsia" w:hAnsiTheme="majorHAnsi" w:cstheme="majorBidi"/>
      <w:color w:val="243F60" w:themeColor="accent1" w:themeShade="7F"/>
      <w:szCs w:val="24"/>
      <w:lang w:val="en-GB"/>
    </w:rPr>
  </w:style>
  <w:style w:type="paragraph" w:styleId="berschrift7">
    <w:name w:val="heading 7"/>
    <w:basedOn w:val="Standard"/>
    <w:next w:val="Standard"/>
    <w:link w:val="berschrift7Zchn"/>
    <w:uiPriority w:val="9"/>
    <w:semiHidden/>
    <w:unhideWhenUsed/>
    <w:qFormat/>
    <w:rsid w:val="003104ED"/>
    <w:pPr>
      <w:keepNext/>
      <w:keepLines/>
      <w:numPr>
        <w:ilvl w:val="6"/>
        <w:numId w:val="1"/>
      </w:numPr>
      <w:spacing w:before="40" w:after="0" w:line="259" w:lineRule="auto"/>
      <w:jc w:val="both"/>
      <w:outlineLvl w:val="6"/>
    </w:pPr>
    <w:rPr>
      <w:rFonts w:asciiTheme="majorHAnsi" w:eastAsiaTheme="majorEastAsia" w:hAnsiTheme="majorHAnsi" w:cstheme="majorBidi"/>
      <w:i/>
      <w:iCs/>
      <w:color w:val="243F60" w:themeColor="accent1" w:themeShade="7F"/>
      <w:szCs w:val="24"/>
      <w:lang w:val="en-GB"/>
    </w:rPr>
  </w:style>
  <w:style w:type="paragraph" w:styleId="berschrift8">
    <w:name w:val="heading 8"/>
    <w:basedOn w:val="Standard"/>
    <w:next w:val="Standard"/>
    <w:link w:val="berschrift8Zchn"/>
    <w:uiPriority w:val="9"/>
    <w:semiHidden/>
    <w:unhideWhenUsed/>
    <w:qFormat/>
    <w:rsid w:val="003104ED"/>
    <w:pPr>
      <w:keepNext/>
      <w:keepLines/>
      <w:numPr>
        <w:ilvl w:val="7"/>
        <w:numId w:val="1"/>
      </w:numPr>
      <w:spacing w:before="40" w:after="0" w:line="259" w:lineRule="auto"/>
      <w:jc w:val="both"/>
      <w:outlineLvl w:val="7"/>
    </w:pPr>
    <w:rPr>
      <w:rFonts w:asciiTheme="majorHAnsi" w:eastAsiaTheme="majorEastAsia" w:hAnsiTheme="majorHAnsi" w:cstheme="majorBidi"/>
      <w:color w:val="272727" w:themeColor="text1" w:themeTint="D8"/>
      <w:sz w:val="21"/>
      <w:szCs w:val="21"/>
      <w:lang w:val="en-GB"/>
    </w:rPr>
  </w:style>
  <w:style w:type="paragraph" w:styleId="berschrift9">
    <w:name w:val="heading 9"/>
    <w:basedOn w:val="Standard"/>
    <w:next w:val="Standard"/>
    <w:link w:val="berschrift9Zchn"/>
    <w:uiPriority w:val="9"/>
    <w:semiHidden/>
    <w:unhideWhenUsed/>
    <w:qFormat/>
    <w:rsid w:val="003104ED"/>
    <w:pPr>
      <w:keepNext/>
      <w:keepLines/>
      <w:numPr>
        <w:ilvl w:val="8"/>
        <w:numId w:val="1"/>
      </w:numPr>
      <w:spacing w:before="40" w:after="0" w:line="259" w:lineRule="auto"/>
      <w:jc w:val="both"/>
      <w:outlineLvl w:val="8"/>
    </w:pPr>
    <w:rPr>
      <w:rFonts w:asciiTheme="majorHAnsi" w:eastAsiaTheme="majorEastAsia" w:hAnsiTheme="majorHAnsi" w:cstheme="majorBidi"/>
      <w:i/>
      <w:iCs/>
      <w:color w:val="272727" w:themeColor="text1" w:themeTint="D8"/>
      <w:sz w:val="21"/>
      <w:szCs w:val="2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104ED"/>
    <w:rPr>
      <w:rFonts w:ascii="Calibri" w:eastAsia="Calibri" w:hAnsi="Calibri" w:cs="Arial"/>
      <w:b/>
      <w:bCs/>
      <w:sz w:val="36"/>
      <w:szCs w:val="24"/>
      <w:lang w:val="en-GB"/>
    </w:rPr>
  </w:style>
  <w:style w:type="character" w:customStyle="1" w:styleId="berschrift2Zchn">
    <w:name w:val="Überschrift 2 Zchn"/>
    <w:basedOn w:val="Absatz-Standardschriftart"/>
    <w:link w:val="berschrift2"/>
    <w:uiPriority w:val="9"/>
    <w:rsid w:val="003104ED"/>
    <w:rPr>
      <w:rFonts w:ascii="Calibri" w:eastAsia="Times New Roman" w:hAnsi="Calibri" w:cs="Times New Roman"/>
      <w:b/>
      <w:sz w:val="32"/>
      <w:szCs w:val="26"/>
      <w:lang w:val="en-GB"/>
    </w:rPr>
  </w:style>
  <w:style w:type="character" w:customStyle="1" w:styleId="berschrift3Zchn">
    <w:name w:val="Überschrift 3 Zchn"/>
    <w:basedOn w:val="Absatz-Standardschriftart"/>
    <w:link w:val="berschrift3"/>
    <w:uiPriority w:val="9"/>
    <w:rsid w:val="003104ED"/>
    <w:rPr>
      <w:rFonts w:ascii="Calibri" w:eastAsia="Calibri" w:hAnsi="Calibri" w:cs="Times New Roman"/>
      <w:sz w:val="28"/>
      <w:szCs w:val="28"/>
      <w:lang w:val="en-GB"/>
    </w:rPr>
  </w:style>
  <w:style w:type="character" w:customStyle="1" w:styleId="berschrift4Zchn">
    <w:name w:val="Überschrift 4 Zchn"/>
    <w:basedOn w:val="Absatz-Standardschriftart"/>
    <w:link w:val="berschrift4"/>
    <w:uiPriority w:val="9"/>
    <w:rsid w:val="003104ED"/>
    <w:rPr>
      <w:rFonts w:asciiTheme="majorHAnsi" w:eastAsiaTheme="majorEastAsia" w:hAnsiTheme="majorHAnsi" w:cstheme="majorBidi"/>
      <w:i/>
      <w:iCs/>
      <w:color w:val="365F91" w:themeColor="accent1" w:themeShade="BF"/>
      <w:szCs w:val="24"/>
      <w:lang w:val="en-GB"/>
    </w:rPr>
  </w:style>
  <w:style w:type="character" w:customStyle="1" w:styleId="berschrift5Zchn">
    <w:name w:val="Überschrift 5 Zchn"/>
    <w:basedOn w:val="Absatz-Standardschriftart"/>
    <w:link w:val="berschrift5"/>
    <w:uiPriority w:val="9"/>
    <w:semiHidden/>
    <w:rsid w:val="003104ED"/>
    <w:rPr>
      <w:rFonts w:asciiTheme="majorHAnsi" w:eastAsiaTheme="majorEastAsia" w:hAnsiTheme="majorHAnsi" w:cstheme="majorBidi"/>
      <w:color w:val="365F91" w:themeColor="accent1" w:themeShade="BF"/>
      <w:szCs w:val="24"/>
      <w:lang w:val="en-GB"/>
    </w:rPr>
  </w:style>
  <w:style w:type="character" w:customStyle="1" w:styleId="berschrift6Zchn">
    <w:name w:val="Überschrift 6 Zchn"/>
    <w:basedOn w:val="Absatz-Standardschriftart"/>
    <w:link w:val="berschrift6"/>
    <w:uiPriority w:val="9"/>
    <w:semiHidden/>
    <w:rsid w:val="003104ED"/>
    <w:rPr>
      <w:rFonts w:asciiTheme="majorHAnsi" w:eastAsiaTheme="majorEastAsia" w:hAnsiTheme="majorHAnsi" w:cstheme="majorBidi"/>
      <w:color w:val="243F60" w:themeColor="accent1" w:themeShade="7F"/>
      <w:szCs w:val="24"/>
      <w:lang w:val="en-GB"/>
    </w:rPr>
  </w:style>
  <w:style w:type="character" w:customStyle="1" w:styleId="berschrift7Zchn">
    <w:name w:val="Überschrift 7 Zchn"/>
    <w:basedOn w:val="Absatz-Standardschriftart"/>
    <w:link w:val="berschrift7"/>
    <w:uiPriority w:val="9"/>
    <w:semiHidden/>
    <w:rsid w:val="003104ED"/>
    <w:rPr>
      <w:rFonts w:asciiTheme="majorHAnsi" w:eastAsiaTheme="majorEastAsia" w:hAnsiTheme="majorHAnsi" w:cstheme="majorBidi"/>
      <w:i/>
      <w:iCs/>
      <w:color w:val="243F60" w:themeColor="accent1" w:themeShade="7F"/>
      <w:szCs w:val="24"/>
      <w:lang w:val="en-GB"/>
    </w:rPr>
  </w:style>
  <w:style w:type="character" w:customStyle="1" w:styleId="berschrift8Zchn">
    <w:name w:val="Überschrift 8 Zchn"/>
    <w:basedOn w:val="Absatz-Standardschriftart"/>
    <w:link w:val="berschrift8"/>
    <w:uiPriority w:val="9"/>
    <w:semiHidden/>
    <w:rsid w:val="003104ED"/>
    <w:rPr>
      <w:rFonts w:asciiTheme="majorHAnsi" w:eastAsiaTheme="majorEastAsia" w:hAnsiTheme="majorHAnsi" w:cstheme="majorBidi"/>
      <w:color w:val="272727" w:themeColor="text1" w:themeTint="D8"/>
      <w:sz w:val="21"/>
      <w:szCs w:val="21"/>
      <w:lang w:val="en-GB"/>
    </w:rPr>
  </w:style>
  <w:style w:type="character" w:customStyle="1" w:styleId="berschrift9Zchn">
    <w:name w:val="Überschrift 9 Zchn"/>
    <w:basedOn w:val="Absatz-Standardschriftart"/>
    <w:link w:val="berschrift9"/>
    <w:uiPriority w:val="9"/>
    <w:semiHidden/>
    <w:rsid w:val="003104ED"/>
    <w:rPr>
      <w:rFonts w:asciiTheme="majorHAnsi" w:eastAsiaTheme="majorEastAsia" w:hAnsiTheme="majorHAnsi" w:cstheme="majorBidi"/>
      <w:i/>
      <w:iCs/>
      <w:color w:val="272727" w:themeColor="text1" w:themeTint="D8"/>
      <w:sz w:val="21"/>
      <w:szCs w:val="21"/>
      <w:lang w:val="en-GB"/>
    </w:rPr>
  </w:style>
  <w:style w:type="table" w:styleId="Tabellenraster">
    <w:name w:val="Table Grid"/>
    <w:basedOn w:val="NormaleTabelle"/>
    <w:uiPriority w:val="59"/>
    <w:rsid w:val="003104E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104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104ED"/>
  </w:style>
  <w:style w:type="paragraph" w:styleId="Fuzeile">
    <w:name w:val="footer"/>
    <w:basedOn w:val="Standard"/>
    <w:link w:val="FuzeileZchn"/>
    <w:uiPriority w:val="99"/>
    <w:unhideWhenUsed/>
    <w:rsid w:val="003104ED"/>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104ED"/>
  </w:style>
  <w:style w:type="paragraph" w:styleId="Listenabsatz">
    <w:name w:val="List Paragraph"/>
    <w:basedOn w:val="Standard"/>
    <w:uiPriority w:val="34"/>
    <w:qFormat/>
    <w:rsid w:val="003104ED"/>
    <w:pPr>
      <w:spacing w:after="160" w:line="256" w:lineRule="auto"/>
      <w:ind w:left="720"/>
      <w:contextualSpacing/>
      <w:jc w:val="both"/>
    </w:pPr>
    <w:rPr>
      <w:rFonts w:ascii="Calibri" w:eastAsia="Calibri" w:hAnsi="Calibri" w:cs="Times New Roman"/>
      <w:szCs w:val="24"/>
      <w:lang w:val="en-GB"/>
    </w:rPr>
  </w:style>
  <w:style w:type="character" w:styleId="Hyperlink">
    <w:name w:val="Hyperlink"/>
    <w:basedOn w:val="Absatz-Standardschriftart"/>
    <w:uiPriority w:val="99"/>
    <w:unhideWhenUsed/>
    <w:rsid w:val="003104ED"/>
    <w:rPr>
      <w:color w:val="0000FF"/>
      <w:u w:val="single"/>
    </w:rPr>
  </w:style>
  <w:style w:type="paragraph" w:customStyle="1" w:styleId="Tablecell">
    <w:name w:val="Table cell"/>
    <w:basedOn w:val="Standard"/>
    <w:qFormat/>
    <w:rsid w:val="00AE656F"/>
    <w:pPr>
      <w:spacing w:before="20" w:after="20" w:line="240" w:lineRule="auto"/>
      <w:jc w:val="center"/>
    </w:pPr>
    <w:rPr>
      <w:rFonts w:ascii="Palatino Linotype" w:hAnsi="Palatino Linotype"/>
      <w:sz w:val="16"/>
    </w:rPr>
  </w:style>
  <w:style w:type="paragraph" w:styleId="Funotentext">
    <w:name w:val="footnote text"/>
    <w:basedOn w:val="Standard"/>
    <w:link w:val="FunotentextZchn"/>
    <w:uiPriority w:val="99"/>
    <w:unhideWhenUsed/>
    <w:rsid w:val="00C01FA0"/>
    <w:pPr>
      <w:spacing w:after="0" w:line="240" w:lineRule="auto"/>
    </w:pPr>
    <w:rPr>
      <w:rFonts w:eastAsiaTheme="minorEastAsia" w:cs="Calibri"/>
      <w:sz w:val="20"/>
      <w:szCs w:val="20"/>
      <w:lang w:eastAsia="en-GB" w:bidi="my-MM"/>
    </w:rPr>
  </w:style>
  <w:style w:type="character" w:customStyle="1" w:styleId="FunotentextZchn">
    <w:name w:val="Fußnotentext Zchn"/>
    <w:basedOn w:val="Absatz-Standardschriftart"/>
    <w:link w:val="Funotentext"/>
    <w:uiPriority w:val="99"/>
    <w:rsid w:val="00C01FA0"/>
    <w:rPr>
      <w:rFonts w:eastAsiaTheme="minorEastAsia" w:cs="Calibri"/>
      <w:sz w:val="20"/>
      <w:szCs w:val="20"/>
      <w:lang w:eastAsia="en-GB" w:bidi="my-MM"/>
    </w:rPr>
  </w:style>
  <w:style w:type="character" w:styleId="Funotenzeichen">
    <w:name w:val="footnote reference"/>
    <w:aliases w:val="Footnote symbol,Times 10 Point,Exposant 3 Point,Footnote reference number,Ref,de nota al pie,note TESI,SUPERS,EN Footnote text,EN Footnote Reference,Footnote Reference_LVL6,Footnote Reference_LVL61,Footnote number,f1,number,stylish"/>
    <w:basedOn w:val="Absatz-Standardschriftart"/>
    <w:link w:val="Char2"/>
    <w:uiPriority w:val="99"/>
    <w:semiHidden/>
    <w:unhideWhenUsed/>
    <w:qFormat/>
    <w:rsid w:val="00C01FA0"/>
    <w:rPr>
      <w:vertAlign w:val="superscript"/>
    </w:rPr>
  </w:style>
  <w:style w:type="paragraph" w:customStyle="1" w:styleId="Char2">
    <w:name w:val="Char2"/>
    <w:basedOn w:val="Standard"/>
    <w:link w:val="Funotenzeichen"/>
    <w:autoRedefine/>
    <w:uiPriority w:val="99"/>
    <w:semiHidden/>
    <w:rsid w:val="00C01FA0"/>
    <w:pPr>
      <w:spacing w:before="60" w:after="160" w:line="240" w:lineRule="exact"/>
      <w:jc w:val="both"/>
    </w:pPr>
    <w:rPr>
      <w:vertAlign w:val="superscript"/>
    </w:rPr>
  </w:style>
  <w:style w:type="paragraph" w:customStyle="1" w:styleId="Microphotocredit">
    <w:name w:val="Micro photo credit"/>
    <w:basedOn w:val="Standard"/>
    <w:qFormat/>
    <w:rsid w:val="004F0C1D"/>
    <w:pPr>
      <w:spacing w:after="120" w:line="240" w:lineRule="auto"/>
    </w:pPr>
    <w:rPr>
      <w:rFonts w:ascii="Palatino Linotype" w:hAnsi="Palatino Linotype"/>
      <w:sz w:val="8"/>
      <w:szCs w:val="8"/>
    </w:rPr>
  </w:style>
  <w:style w:type="paragraph" w:customStyle="1" w:styleId="Figurenote">
    <w:name w:val="Figure note"/>
    <w:basedOn w:val="Standard"/>
    <w:qFormat/>
    <w:rsid w:val="008B466F"/>
    <w:pPr>
      <w:spacing w:after="120" w:line="240" w:lineRule="auto"/>
      <w:jc w:val="center"/>
    </w:pPr>
    <w:rPr>
      <w:rFonts w:ascii="Palatino Linotype" w:hAnsi="Palatino Linotype"/>
      <w:sz w:val="12"/>
    </w:rPr>
  </w:style>
  <w:style w:type="table" w:customStyle="1" w:styleId="TableGrid1">
    <w:name w:val="Table Grid1"/>
    <w:basedOn w:val="NormaleTabelle"/>
    <w:next w:val="Tabellenraster"/>
    <w:uiPriority w:val="59"/>
    <w:rsid w:val="008A2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123B8"/>
    <w:rPr>
      <w:sz w:val="16"/>
      <w:szCs w:val="16"/>
    </w:rPr>
  </w:style>
  <w:style w:type="paragraph" w:styleId="Kommentartext">
    <w:name w:val="annotation text"/>
    <w:basedOn w:val="Standard"/>
    <w:link w:val="KommentartextZchn"/>
    <w:uiPriority w:val="99"/>
    <w:semiHidden/>
    <w:unhideWhenUsed/>
    <w:rsid w:val="003123B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23B8"/>
    <w:rPr>
      <w:sz w:val="20"/>
      <w:szCs w:val="20"/>
    </w:rPr>
  </w:style>
  <w:style w:type="paragraph" w:styleId="Kommentarthema">
    <w:name w:val="annotation subject"/>
    <w:basedOn w:val="Kommentartext"/>
    <w:next w:val="Kommentartext"/>
    <w:link w:val="KommentarthemaZchn"/>
    <w:uiPriority w:val="99"/>
    <w:semiHidden/>
    <w:unhideWhenUsed/>
    <w:rsid w:val="003123B8"/>
    <w:rPr>
      <w:b/>
      <w:bCs/>
    </w:rPr>
  </w:style>
  <w:style w:type="character" w:customStyle="1" w:styleId="KommentarthemaZchn">
    <w:name w:val="Kommentarthema Zchn"/>
    <w:basedOn w:val="KommentartextZchn"/>
    <w:link w:val="Kommentarthema"/>
    <w:uiPriority w:val="99"/>
    <w:semiHidden/>
    <w:rsid w:val="003123B8"/>
    <w:rPr>
      <w:b/>
      <w:bCs/>
      <w:sz w:val="20"/>
      <w:szCs w:val="20"/>
    </w:rPr>
  </w:style>
  <w:style w:type="paragraph" w:styleId="berarbeitung">
    <w:name w:val="Revision"/>
    <w:hidden/>
    <w:uiPriority w:val="99"/>
    <w:semiHidden/>
    <w:rsid w:val="003123B8"/>
    <w:pPr>
      <w:spacing w:after="0" w:line="240" w:lineRule="auto"/>
    </w:pPr>
  </w:style>
  <w:style w:type="character" w:styleId="NichtaufgelsteErwhnung">
    <w:name w:val="Unresolved Mention"/>
    <w:basedOn w:val="Absatz-Standardschriftart"/>
    <w:uiPriority w:val="99"/>
    <w:unhideWhenUsed/>
    <w:rsid w:val="0078254C"/>
    <w:rPr>
      <w:color w:val="605E5C"/>
      <w:shd w:val="clear" w:color="auto" w:fill="E1DFDD"/>
    </w:rPr>
  </w:style>
  <w:style w:type="character" w:styleId="Erwhnung">
    <w:name w:val="Mention"/>
    <w:basedOn w:val="Absatz-Standardschriftart"/>
    <w:uiPriority w:val="99"/>
    <w:unhideWhenUsed/>
    <w:rsid w:val="0078254C"/>
    <w:rPr>
      <w:color w:val="2B579A"/>
      <w:shd w:val="clear" w:color="auto" w:fill="E1DFDD"/>
    </w:rPr>
  </w:style>
  <w:style w:type="paragraph" w:customStyle="1" w:styleId="pf0">
    <w:name w:val="pf0"/>
    <w:basedOn w:val="Standard"/>
    <w:rsid w:val="0005677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f01">
    <w:name w:val="cf01"/>
    <w:basedOn w:val="Absatz-Standardschriftart"/>
    <w:rsid w:val="00056774"/>
    <w:rPr>
      <w:rFonts w:ascii="Segoe UI" w:hAnsi="Segoe UI" w:cs="Segoe UI" w:hint="default"/>
      <w:sz w:val="18"/>
      <w:szCs w:val="18"/>
    </w:rPr>
  </w:style>
  <w:style w:type="character" w:styleId="Platzhaltertext">
    <w:name w:val="Placeholder Text"/>
    <w:basedOn w:val="Absatz-Standardschriftart"/>
    <w:uiPriority w:val="99"/>
    <w:semiHidden/>
    <w:rsid w:val="004B5D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88500">
      <w:bodyDiv w:val="1"/>
      <w:marLeft w:val="0"/>
      <w:marRight w:val="0"/>
      <w:marTop w:val="0"/>
      <w:marBottom w:val="0"/>
      <w:divBdr>
        <w:top w:val="none" w:sz="0" w:space="0" w:color="auto"/>
        <w:left w:val="none" w:sz="0" w:space="0" w:color="auto"/>
        <w:bottom w:val="none" w:sz="0" w:space="0" w:color="auto"/>
        <w:right w:val="none" w:sz="0" w:space="0" w:color="auto"/>
      </w:divBdr>
    </w:div>
    <w:div w:id="233900739">
      <w:bodyDiv w:val="1"/>
      <w:marLeft w:val="0"/>
      <w:marRight w:val="0"/>
      <w:marTop w:val="0"/>
      <w:marBottom w:val="0"/>
      <w:divBdr>
        <w:top w:val="none" w:sz="0" w:space="0" w:color="auto"/>
        <w:left w:val="none" w:sz="0" w:space="0" w:color="auto"/>
        <w:bottom w:val="none" w:sz="0" w:space="0" w:color="auto"/>
        <w:right w:val="none" w:sz="0" w:space="0" w:color="auto"/>
      </w:divBdr>
    </w:div>
    <w:div w:id="440564435">
      <w:bodyDiv w:val="1"/>
      <w:marLeft w:val="0"/>
      <w:marRight w:val="0"/>
      <w:marTop w:val="0"/>
      <w:marBottom w:val="0"/>
      <w:divBdr>
        <w:top w:val="none" w:sz="0" w:space="0" w:color="auto"/>
        <w:left w:val="none" w:sz="0" w:space="0" w:color="auto"/>
        <w:bottom w:val="none" w:sz="0" w:space="0" w:color="auto"/>
        <w:right w:val="none" w:sz="0" w:space="0" w:color="auto"/>
      </w:divBdr>
    </w:div>
    <w:div w:id="1004668147">
      <w:bodyDiv w:val="1"/>
      <w:marLeft w:val="0"/>
      <w:marRight w:val="0"/>
      <w:marTop w:val="0"/>
      <w:marBottom w:val="0"/>
      <w:divBdr>
        <w:top w:val="none" w:sz="0" w:space="0" w:color="auto"/>
        <w:left w:val="none" w:sz="0" w:space="0" w:color="auto"/>
        <w:bottom w:val="none" w:sz="0" w:space="0" w:color="auto"/>
        <w:right w:val="none" w:sz="0" w:space="0" w:color="auto"/>
      </w:divBdr>
    </w:div>
    <w:div w:id="1103068608">
      <w:bodyDiv w:val="1"/>
      <w:marLeft w:val="0"/>
      <w:marRight w:val="0"/>
      <w:marTop w:val="0"/>
      <w:marBottom w:val="0"/>
      <w:divBdr>
        <w:top w:val="none" w:sz="0" w:space="0" w:color="auto"/>
        <w:left w:val="none" w:sz="0" w:space="0" w:color="auto"/>
        <w:bottom w:val="none" w:sz="0" w:space="0" w:color="auto"/>
        <w:right w:val="none" w:sz="0" w:space="0" w:color="auto"/>
      </w:divBdr>
    </w:div>
    <w:div w:id="1390416421">
      <w:bodyDiv w:val="1"/>
      <w:marLeft w:val="0"/>
      <w:marRight w:val="0"/>
      <w:marTop w:val="0"/>
      <w:marBottom w:val="0"/>
      <w:divBdr>
        <w:top w:val="none" w:sz="0" w:space="0" w:color="auto"/>
        <w:left w:val="none" w:sz="0" w:space="0" w:color="auto"/>
        <w:bottom w:val="none" w:sz="0" w:space="0" w:color="auto"/>
        <w:right w:val="none" w:sz="0" w:space="0" w:color="auto"/>
      </w:divBdr>
    </w:div>
    <w:div w:id="17539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ho.int/tools/household-energy-assessment-rapid-tool-templat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tools/clean-household-energy-solutions-toolk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ho.int/data/gho/data/themes/mortality-and-global-health-estimates/ghe-leading-causes-of-death" TargetMode="External"/><Relationship Id="rId2" Type="http://schemas.openxmlformats.org/officeDocument/2006/relationships/hyperlink" Target="https://www.who.int/data/gho/data/indicators/indicator-details/GHO/household-air-pollution-attributable-deaths" TargetMode="External"/><Relationship Id="rId1" Type="http://schemas.openxmlformats.org/officeDocument/2006/relationships/hyperlink" Target="https://www.who.int/publications/i/item/9789240043091" TargetMode="External"/></Relationships>
</file>

<file path=word/charts/_rels/chart1.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package" Target="../embeddings/Microsoft_Excel-Arbeitsblatt.xlsx"/><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Fuel</c:v>
                </c:pt>
              </c:strCache>
            </c:strRef>
          </c:tx>
          <c:dPt>
            <c:idx val="0"/>
            <c:bubble3D val="0"/>
            <c:spPr>
              <a:blipFill>
                <a:blip xmlns:r="http://schemas.openxmlformats.org/officeDocument/2006/relationships" r:embed="rId1"/>
                <a:stretch>
                  <a:fillRect/>
                </a:stretch>
              </a:blipFill>
              <a:ln w="19050">
                <a:solidFill>
                  <a:schemeClr val="lt1"/>
                </a:solidFill>
              </a:ln>
              <a:effectLst/>
            </c:spPr>
            <c:extLst>
              <c:ext xmlns:c16="http://schemas.microsoft.com/office/drawing/2014/chart" uri="{C3380CC4-5D6E-409C-BE32-E72D297353CC}">
                <c16:uniqueId val="{00000001-95C5-4617-ADDE-A1BDDCBC03BD}"/>
              </c:ext>
            </c:extLst>
          </c:dPt>
          <c:dPt>
            <c:idx val="1"/>
            <c:bubble3D val="0"/>
            <c:spPr>
              <a:blipFill>
                <a:blip xmlns:r="http://schemas.openxmlformats.org/officeDocument/2006/relationships" r:embed="rId2"/>
                <a:stretch>
                  <a:fillRect/>
                </a:stretch>
              </a:blipFill>
              <a:ln w="19050">
                <a:solidFill>
                  <a:schemeClr val="lt1"/>
                </a:solidFill>
              </a:ln>
              <a:effectLst/>
            </c:spPr>
            <c:extLst>
              <c:ext xmlns:c16="http://schemas.microsoft.com/office/drawing/2014/chart" uri="{C3380CC4-5D6E-409C-BE32-E72D297353CC}">
                <c16:uniqueId val="{00000003-95C5-4617-ADDE-A1BDDCBC03BD}"/>
              </c:ext>
            </c:extLst>
          </c:dPt>
          <c:dPt>
            <c:idx val="2"/>
            <c:bubble3D val="0"/>
            <c:spPr>
              <a:blipFill>
                <a:blip xmlns:r="http://schemas.openxmlformats.org/officeDocument/2006/relationships" r:embed="rId3"/>
                <a:stretch>
                  <a:fillRect/>
                </a:stretch>
              </a:blipFill>
              <a:ln w="19050">
                <a:solidFill>
                  <a:schemeClr val="lt1"/>
                </a:solidFill>
              </a:ln>
              <a:effectLst/>
            </c:spPr>
            <c:extLst>
              <c:ext xmlns:c16="http://schemas.microsoft.com/office/drawing/2014/chart" uri="{C3380CC4-5D6E-409C-BE32-E72D297353CC}">
                <c16:uniqueId val="{00000005-95C5-4617-ADDE-A1BDDCBC03BD}"/>
              </c:ext>
            </c:extLst>
          </c:dPt>
          <c:dPt>
            <c:idx val="3"/>
            <c:bubble3D val="0"/>
            <c:spPr>
              <a:blipFill>
                <a:blip xmlns:r="http://schemas.openxmlformats.org/officeDocument/2006/relationships" r:embed="rId4"/>
                <a:stretch>
                  <a:fillRect/>
                </a:stretch>
              </a:blipFill>
              <a:ln w="19050">
                <a:solidFill>
                  <a:schemeClr val="lt1"/>
                </a:solidFill>
              </a:ln>
              <a:effectLst/>
            </c:spPr>
            <c:extLst>
              <c:ext xmlns:c16="http://schemas.microsoft.com/office/drawing/2014/chart" uri="{C3380CC4-5D6E-409C-BE32-E72D297353CC}">
                <c16:uniqueId val="{00000007-95C5-4617-ADDE-A1BDDCBC03BD}"/>
              </c:ext>
            </c:extLst>
          </c:dPt>
          <c:dPt>
            <c:idx val="4"/>
            <c:bubble3D val="0"/>
            <c:spPr>
              <a:blipFill>
                <a:blip xmlns:r="http://schemas.openxmlformats.org/officeDocument/2006/relationships" r:embed="rId5"/>
                <a:stretch>
                  <a:fillRect/>
                </a:stretch>
              </a:blipFill>
              <a:ln w="19050">
                <a:solidFill>
                  <a:schemeClr val="lt1"/>
                </a:solidFill>
              </a:ln>
              <a:effectLst/>
            </c:spPr>
            <c:extLst>
              <c:ext xmlns:c16="http://schemas.microsoft.com/office/drawing/2014/chart" uri="{C3380CC4-5D6E-409C-BE32-E72D297353CC}">
                <c16:uniqueId val="{00000009-95C5-4617-ADDE-A1BDDCBC03BD}"/>
              </c:ext>
            </c:extLst>
          </c:dPt>
          <c:dPt>
            <c:idx val="5"/>
            <c:bubble3D val="0"/>
            <c:spPr>
              <a:blipFill>
                <a:blip xmlns:r="http://schemas.openxmlformats.org/officeDocument/2006/relationships" r:embed="rId6"/>
                <a:stretch>
                  <a:fillRect/>
                </a:stretch>
              </a:blipFill>
              <a:ln w="19050">
                <a:solidFill>
                  <a:schemeClr val="lt1"/>
                </a:solidFill>
              </a:ln>
              <a:effectLst/>
            </c:spPr>
            <c:extLst>
              <c:ext xmlns:c16="http://schemas.microsoft.com/office/drawing/2014/chart" uri="{C3380CC4-5D6E-409C-BE32-E72D297353CC}">
                <c16:uniqueId val="{0000000B-95C5-4617-ADDE-A1BDDCBC03BD}"/>
              </c:ext>
            </c:extLst>
          </c:dPt>
          <c:dLbls>
            <c:dLbl>
              <c:idx val="0"/>
              <c:layout>
                <c:manualLayout>
                  <c:x val="-1.2559395152586776E-2"/>
                  <c:y val="6.856906806829384E-2"/>
                </c:manualLayout>
              </c:layout>
              <c:tx>
                <c:rich>
                  <a:bodyPr/>
                  <a:lstStyle/>
                  <a:p>
                    <a:r>
                      <a:rPr lang="en-US" baseline="0"/>
                      <a:t>Wood
</a:t>
                    </a:r>
                    <a:fld id="{4285321D-AB81-4ABD-BE47-3AC48A1C2028}" type="PERCENTAGE">
                      <a:rPr lang="en-US" baseline="0"/>
                      <a:pPr/>
                      <a:t>[PROZENTSATZ]</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5C5-4617-ADDE-A1BDDCBC03BD}"/>
                </c:ext>
              </c:extLst>
            </c:dLbl>
            <c:dLbl>
              <c:idx val="1"/>
              <c:delete val="1"/>
              <c:extLst>
                <c:ext xmlns:c15="http://schemas.microsoft.com/office/drawing/2012/chart" uri="{CE6537A1-D6FC-4f65-9D91-7224C49458BB}"/>
                <c:ext xmlns:c16="http://schemas.microsoft.com/office/drawing/2014/chart" uri="{C3380CC4-5D6E-409C-BE32-E72D297353CC}">
                  <c16:uniqueId val="{00000003-95C5-4617-ADDE-A1BDDCBC03BD}"/>
                </c:ext>
              </c:extLst>
            </c:dLbl>
            <c:dLbl>
              <c:idx val="2"/>
              <c:layout>
                <c:manualLayout>
                  <c:x val="-2.0978205268464646E-2"/>
                  <c:y val="-3.9180007552161943E-4"/>
                </c:manualLayout>
              </c:layout>
              <c:tx>
                <c:rich>
                  <a:bodyPr/>
                  <a:lstStyle/>
                  <a:p>
                    <a:r>
                      <a:rPr lang="en-US" baseline="0"/>
                      <a:t>LPG
</a:t>
                    </a:r>
                    <a:fld id="{8ACD2577-6D7B-4916-B973-FB130CBE8371}" type="PERCENTAGE">
                      <a:rPr lang="en-US" baseline="0"/>
                      <a:pPr/>
                      <a:t>[PROZENTSATZ]</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5C5-4617-ADDE-A1BDDCBC03BD}"/>
                </c:ext>
              </c:extLst>
            </c:dLbl>
            <c:dLbl>
              <c:idx val="3"/>
              <c:delete val="1"/>
              <c:extLst>
                <c:ext xmlns:c15="http://schemas.microsoft.com/office/drawing/2012/chart" uri="{CE6537A1-D6FC-4f65-9D91-7224C49458BB}"/>
                <c:ext xmlns:c16="http://schemas.microsoft.com/office/drawing/2014/chart" uri="{C3380CC4-5D6E-409C-BE32-E72D297353CC}">
                  <c16:uniqueId val="{00000007-95C5-4617-ADDE-A1BDDCBC03BD}"/>
                </c:ext>
              </c:extLst>
            </c:dLbl>
            <c:dLbl>
              <c:idx val="4"/>
              <c:layout>
                <c:manualLayout>
                  <c:x val="-6.5374373657838228E-2"/>
                  <c:y val="0.18182272396673307"/>
                </c:manualLayout>
              </c:layout>
              <c:tx>
                <c:rich>
                  <a:bodyPr/>
                  <a:lstStyle/>
                  <a:p>
                    <a:r>
                      <a:rPr lang="en-US" baseline="0"/>
                      <a:t>Electricity 
</a:t>
                    </a:r>
                    <a:fld id="{0802359B-9AA8-43E5-8A8C-84829E9F7316}" type="PERCENTAGE">
                      <a:rPr lang="en-US" baseline="0"/>
                      <a:pPr/>
                      <a:t>[PROZENTSATZ]</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5C5-4617-ADDE-A1BDDCBC03BD}"/>
                </c:ext>
              </c:extLst>
            </c:dLbl>
            <c:dLbl>
              <c:idx val="5"/>
              <c:tx>
                <c:rich>
                  <a:bodyPr/>
                  <a:lstStyle/>
                  <a:p>
                    <a:r>
                      <a:rPr lang="en-US" baseline="0"/>
                      <a:t>Kerosene 5%</a:t>
                    </a:r>
                    <a:fld id="{A86929F8-F909-4733-B25B-92A6C5CFCB1E}" type="PERCENTAGE">
                      <a:rPr lang="en-US" baseline="0"/>
                      <a:pPr/>
                      <a:t>[PROZENTSATZ]</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95C5-4617-ADDE-A1BDDCBC03BD}"/>
                </c:ext>
              </c:extLst>
            </c:dLbl>
            <c:spPr>
              <a:noFill/>
              <a:ln>
                <a:noFill/>
              </a:ln>
              <a:effectLst/>
            </c:spPr>
            <c:txPr>
              <a:bodyPr/>
              <a:lstStyle/>
              <a:p>
                <a:pPr>
                  <a:defRPr sz="800">
                    <a:latin typeface="+mn-lt"/>
                  </a:defRPr>
                </a:pPr>
                <a:endParaRPr lang="de-DE"/>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Sheet1!$A$2:$A$7</c:f>
              <c:strCache>
                <c:ptCount val="6"/>
                <c:pt idx="0">
                  <c:v>Leña</c:v>
                </c:pt>
                <c:pt idx="2">
                  <c:v>Gas LP</c:v>
                </c:pt>
                <c:pt idx="4">
                  <c:v>Electricidad</c:v>
                </c:pt>
                <c:pt idx="5">
                  <c:v>Queroseno</c:v>
                </c:pt>
              </c:strCache>
            </c:strRef>
          </c:cat>
          <c:val>
            <c:numRef>
              <c:f>Sheet1!$B$2:$B$7</c:f>
              <c:numCache>
                <c:formatCode>General</c:formatCode>
                <c:ptCount val="6"/>
                <c:pt idx="0">
                  <c:v>54</c:v>
                </c:pt>
                <c:pt idx="1">
                  <c:v>0</c:v>
                </c:pt>
                <c:pt idx="2">
                  <c:v>22.3</c:v>
                </c:pt>
                <c:pt idx="3">
                  <c:v>0</c:v>
                </c:pt>
                <c:pt idx="4">
                  <c:v>16.7</c:v>
                </c:pt>
                <c:pt idx="5">
                  <c:v>4.8</c:v>
                </c:pt>
              </c:numCache>
            </c:numRef>
          </c:val>
          <c:extLst>
            <c:ext xmlns:c16="http://schemas.microsoft.com/office/drawing/2014/chart" uri="{C3380CC4-5D6E-409C-BE32-E72D297353CC}">
              <c16:uniqueId val="{0000000C-95C5-4617-ADDE-A1BDDCBC03BD}"/>
            </c:ext>
          </c:extLst>
        </c:ser>
        <c:dLbls>
          <c:showLegendKey val="0"/>
          <c:showVal val="0"/>
          <c:showCatName val="0"/>
          <c:showSerName val="0"/>
          <c:showPercent val="0"/>
          <c:showBubbleSize val="0"/>
          <c:showLeaderLines val="0"/>
        </c:dLbls>
        <c:firstSliceAng val="4"/>
      </c:pieChart>
      <c:spPr>
        <a:noFill/>
        <a:ln>
          <a:noFill/>
        </a:ln>
        <a:effectLst/>
      </c:spPr>
    </c:plotArea>
    <c:plotVisOnly val="1"/>
    <c:dispBlanksAs val="zero"/>
    <c:showDLblsOverMax val="0"/>
  </c:chart>
  <c:spPr>
    <a:solidFill>
      <a:schemeClr val="bg1"/>
    </a:solidFill>
    <a:ln w="9525" cap="flat" cmpd="sng" algn="ctr">
      <a:solidFill>
        <a:schemeClr val="bg1">
          <a:lumMod val="50000"/>
        </a:schemeClr>
      </a:solidFill>
      <a:round/>
    </a:ln>
    <a:effectLst/>
  </c:spPr>
  <c:txPr>
    <a:bodyPr/>
    <a:lstStyle/>
    <a:p>
      <a:pPr>
        <a:defRPr/>
      </a:pPr>
      <a:endParaRPr lang="de-DE"/>
    </a:p>
  </c:txPr>
  <c:externalData r:id="rId7">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2315DD55DB34180EF221D8BDCF702" ma:contentTypeVersion="18" ma:contentTypeDescription="Create a new document." ma:contentTypeScope="" ma:versionID="165d7008b8a4887fd63dca1fedb5f57b">
  <xsd:schema xmlns:xsd="http://www.w3.org/2001/XMLSchema" xmlns:xs="http://www.w3.org/2001/XMLSchema" xmlns:p="http://schemas.microsoft.com/office/2006/metadata/properties" xmlns:ns2="4b0eb3ee-3961-4a79-8005-080d0b69debd" xmlns:ns3="2074b3b8-ec1c-47fe-980f-58c5f25f6fdf" targetNamespace="http://schemas.microsoft.com/office/2006/metadata/properties" ma:root="true" ma:fieldsID="07a8b5bceacd501741614ab84f6599b3" ns2:_="" ns3:_="">
    <xsd:import namespace="4b0eb3ee-3961-4a79-8005-080d0b69debd"/>
    <xsd:import namespace="2074b3b8-ec1c-47fe-980f-58c5f25f6f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Carm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eb3ee-3961-4a79-8005-080d0b69d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armen" ma:index="21" nillable="true" ma:displayName="Carmen" ma:description="photo credit" ma:format="Dropdown" ma:list="UserInfo" ma:SharePointGroup="0" ma:internalName="Carm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74b3b8-ec1c-47fe-980f-58c5f25f6f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df1c88-7e96-4625-b75b-be46d8590d33}" ma:internalName="TaxCatchAll" ma:showField="CatchAllData" ma:web="2074b3b8-ec1c-47fe-980f-58c5f25f6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rmen xmlns="4b0eb3ee-3961-4a79-8005-080d0b69debd">
      <UserInfo>
        <DisplayName/>
        <AccountId xsi:nil="true"/>
        <AccountType/>
      </UserInfo>
    </Carmen>
    <SharedWithUsers xmlns="2074b3b8-ec1c-47fe-980f-58c5f25f6fdf">
      <UserInfo>
        <DisplayName>TSENG, Tzu-Wei</DisplayName>
        <AccountId>222</AccountId>
        <AccountType/>
      </UserInfo>
    </SharedWithUsers>
    <TaxCatchAll xmlns="2074b3b8-ec1c-47fe-980f-58c5f25f6fdf" xsi:nil="true"/>
    <lcf76f155ced4ddcb4097134ff3c332f xmlns="4b0eb3ee-3961-4a79-8005-080d0b69deb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8A1D9-DAD6-4B77-BB01-6922D308D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eb3ee-3961-4a79-8005-080d0b69debd"/>
    <ds:schemaRef ds:uri="2074b3b8-ec1c-47fe-980f-58c5f25f6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17415-E142-40E7-A19F-A524A8F5BADB}">
  <ds:schemaRefs>
    <ds:schemaRef ds:uri="http://schemas.openxmlformats.org/officeDocument/2006/bibliography"/>
  </ds:schemaRefs>
</ds:datastoreItem>
</file>

<file path=customXml/itemProps3.xml><?xml version="1.0" encoding="utf-8"?>
<ds:datastoreItem xmlns:ds="http://schemas.openxmlformats.org/officeDocument/2006/customXml" ds:itemID="{00DDA1A1-8CBD-41ED-AAE1-D9D8200D025D}">
  <ds:schemaRefs>
    <ds:schemaRef ds:uri="http://schemas.microsoft.com/office/2006/metadata/properties"/>
    <ds:schemaRef ds:uri="http://schemas.microsoft.com/office/infopath/2007/PartnerControls"/>
    <ds:schemaRef ds:uri="4b0eb3ee-3961-4a79-8005-080d0b69debd"/>
    <ds:schemaRef ds:uri="2074b3b8-ec1c-47fe-980f-58c5f25f6fdf"/>
  </ds:schemaRefs>
</ds:datastoreItem>
</file>

<file path=customXml/itemProps4.xml><?xml version="1.0" encoding="utf-8"?>
<ds:datastoreItem xmlns:ds="http://schemas.openxmlformats.org/officeDocument/2006/customXml" ds:itemID="{5A645AD3-B296-4C79-ADBB-CD1BA7556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5136</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Troncoso Torrez, Karin</dc:creator>
  <cp:keywords/>
  <dc:description/>
  <cp:lastModifiedBy>Paul Safar (WHO)</cp:lastModifiedBy>
  <cp:revision>49</cp:revision>
  <dcterms:created xsi:type="dcterms:W3CDTF">2022-06-09T19:00:00Z</dcterms:created>
  <dcterms:modified xsi:type="dcterms:W3CDTF">2022-06-27T14:13:00Z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0x010100B1D2315DD55DB34180EF221D8BDCF702</vt:lpwstr>
  </property>
  <property fmtid="{D5CDD505-2E9C-101B-9397-08002B2CF9AE}" pid="3" name="MediaServiceImageTags">
    <vt:lpwstr/>
  </property>
</Properties>
</file>