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42E" w:rsidRPr="00357896" w:rsidRDefault="002F4410" w:rsidP="00DC5F36">
      <w:pPr>
        <w:pStyle w:val="Title"/>
        <w:spacing w:before="0" w:after="0"/>
        <w:ind w:left="0"/>
        <w:rPr>
          <w:rFonts w:ascii="Century Gothic" w:hAnsi="Century Gothic"/>
          <w:color w:val="1E7FB8" w:themeColor="accent2"/>
          <w:sz w:val="44"/>
          <w:szCs w:val="44"/>
        </w:rPr>
      </w:pPr>
      <w:r w:rsidRPr="00E72748">
        <w:rPr>
          <w:rFonts w:ascii="Century Gothic" w:hAnsi="Century Gothic"/>
          <w:color w:val="1B4379" w:themeColor="text2"/>
          <w:sz w:val="52"/>
          <w:szCs w:val="52"/>
        </w:rPr>
        <w:t xml:space="preserve">WHO R&amp;D </w:t>
      </w:r>
      <w:r w:rsidR="00C379F2" w:rsidRPr="00E72748">
        <w:rPr>
          <w:rFonts w:ascii="Century Gothic" w:hAnsi="Century Gothic"/>
          <w:color w:val="1B4379" w:themeColor="text2"/>
          <w:sz w:val="52"/>
          <w:szCs w:val="52"/>
        </w:rPr>
        <w:t>Blueprint</w:t>
      </w:r>
      <w:r w:rsidR="00A3771C" w:rsidRPr="00E72748">
        <w:rPr>
          <w:rFonts w:ascii="Century Gothic" w:hAnsi="Century Gothic"/>
          <w:sz w:val="56"/>
          <w:szCs w:val="56"/>
        </w:rPr>
        <w:br/>
      </w:r>
      <w:r w:rsidR="00E45050" w:rsidRPr="00357896">
        <w:rPr>
          <w:rFonts w:ascii="Century Gothic" w:hAnsi="Century Gothic"/>
          <w:color w:val="1E7FB8" w:themeColor="accent2"/>
          <w:sz w:val="44"/>
          <w:szCs w:val="44"/>
        </w:rPr>
        <w:t>COVID-1</w:t>
      </w:r>
      <w:r w:rsidR="00B77BEE" w:rsidRPr="00357896">
        <w:rPr>
          <w:rFonts w:ascii="Century Gothic" w:hAnsi="Century Gothic"/>
          <w:color w:val="1E7FB8" w:themeColor="accent2"/>
          <w:sz w:val="44"/>
          <w:szCs w:val="44"/>
        </w:rPr>
        <w:t>9</w:t>
      </w:r>
    </w:p>
    <w:p w:rsidR="00545814" w:rsidRPr="00357896" w:rsidRDefault="00545814" w:rsidP="001247D3">
      <w:pPr>
        <w:rPr>
          <w:rFonts w:eastAsia="Century Gothic"/>
          <w:b/>
          <w:color w:val="1E7FB8"/>
          <w:sz w:val="44"/>
          <w:szCs w:val="44"/>
        </w:rPr>
      </w:pPr>
      <w:bookmarkStart w:id="0" w:name="_Hlk38284481"/>
      <w:r w:rsidRPr="00357896">
        <w:rPr>
          <w:rFonts w:eastAsia="Century Gothic"/>
          <w:b/>
          <w:color w:val="1E7FB8"/>
          <w:sz w:val="44"/>
          <w:szCs w:val="44"/>
        </w:rPr>
        <w:t xml:space="preserve">Informal consultation on the potential </w:t>
      </w:r>
      <w:r w:rsidR="00A208B7">
        <w:rPr>
          <w:rFonts w:eastAsia="Century Gothic"/>
          <w:b/>
          <w:color w:val="1E7FB8"/>
          <w:sz w:val="44"/>
          <w:szCs w:val="44"/>
        </w:rPr>
        <w:t>inclusion of</w:t>
      </w:r>
      <w:r w:rsidRPr="00357896">
        <w:rPr>
          <w:rFonts w:eastAsia="Century Gothic"/>
          <w:b/>
          <w:color w:val="1E7FB8"/>
          <w:sz w:val="44"/>
          <w:szCs w:val="44"/>
        </w:rPr>
        <w:t xml:space="preserve"> </w:t>
      </w:r>
      <w:r w:rsidR="007455B4">
        <w:rPr>
          <w:rFonts w:eastAsia="Century Gothic"/>
          <w:b/>
          <w:color w:val="1E7FB8"/>
          <w:sz w:val="44"/>
          <w:szCs w:val="44"/>
        </w:rPr>
        <w:t xml:space="preserve">Immunomodulators </w:t>
      </w:r>
      <w:r w:rsidR="00A208B7">
        <w:rPr>
          <w:rFonts w:eastAsia="Century Gothic"/>
          <w:b/>
          <w:color w:val="1E7FB8"/>
          <w:sz w:val="44"/>
          <w:szCs w:val="44"/>
        </w:rPr>
        <w:t>in a clinical trial</w:t>
      </w:r>
    </w:p>
    <w:bookmarkEnd w:id="0"/>
    <w:p w:rsidR="003573C5" w:rsidRPr="003573C5" w:rsidRDefault="003573C5" w:rsidP="003573C5">
      <w:pPr>
        <w:spacing w:line="200" w:lineRule="exact"/>
        <w:rPr>
          <w:rFonts w:ascii="Times New Roman" w:eastAsia="Times New Roman" w:hAnsi="Times New Roman"/>
          <w:sz w:val="24"/>
        </w:rPr>
      </w:pPr>
      <w:r w:rsidRPr="003573C5">
        <w:rPr>
          <w:rFonts w:ascii="Times New Roman" w:eastAsia="Times New Roman" w:hAnsi="Times New Roman"/>
          <w:sz w:val="24"/>
        </w:rPr>
        <w:t xml:space="preserve">WHO reference number </w:t>
      </w:r>
    </w:p>
    <w:p w:rsidR="003573C5" w:rsidRPr="003573C5" w:rsidRDefault="003573C5" w:rsidP="003573C5">
      <w:pPr>
        <w:spacing w:line="200" w:lineRule="exact"/>
        <w:rPr>
          <w:rFonts w:ascii="Times New Roman" w:eastAsia="Times New Roman" w:hAnsi="Times New Roman"/>
          <w:sz w:val="24"/>
        </w:rPr>
      </w:pPr>
      <w:r w:rsidRPr="003573C5">
        <w:rPr>
          <w:rFonts w:ascii="Times New Roman" w:eastAsia="Times New Roman" w:hAnsi="Times New Roman"/>
          <w:b/>
          <w:bCs/>
          <w:sz w:val="24"/>
        </w:rPr>
        <w:t>© World Health Organization 2020</w:t>
      </w:r>
      <w:r w:rsidRPr="003573C5">
        <w:rPr>
          <w:rFonts w:ascii="Times New Roman" w:eastAsia="Times New Roman" w:hAnsi="Times New Roman"/>
          <w:sz w:val="24"/>
        </w:rPr>
        <w:t>. All rights reserved.</w:t>
      </w:r>
    </w:p>
    <w:p w:rsidR="003573C5" w:rsidRPr="003573C5" w:rsidRDefault="003573C5" w:rsidP="003573C5">
      <w:pPr>
        <w:spacing w:line="200" w:lineRule="exact"/>
        <w:rPr>
          <w:rFonts w:ascii="Times New Roman" w:eastAsia="Times New Roman" w:hAnsi="Times New Roman"/>
          <w:sz w:val="24"/>
        </w:rPr>
      </w:pPr>
      <w:r w:rsidRPr="003573C5">
        <w:rPr>
          <w:rFonts w:ascii="Times New Roman" w:eastAsia="Times New Roman" w:hAnsi="Times New Roman"/>
          <w:sz w:val="24"/>
        </w:rPr>
        <w:t>This is a draft. The content of this document is not final, and the text may be subject to revisions before publication. The document may not be reviewed, abstracted, quoted, reproduced, transmitted, distributed, translated or adapted, in part or in whole, in any form or by any means without the permission of the World Health Organization.</w:t>
      </w:r>
    </w:p>
    <w:p w:rsidR="00545814" w:rsidRDefault="003573C5" w:rsidP="003573C5">
      <w:pPr>
        <w:spacing w:line="200" w:lineRule="exact"/>
        <w:rPr>
          <w:rFonts w:ascii="Times New Roman" w:eastAsia="Times New Roman" w:hAnsi="Times New Roman"/>
          <w:sz w:val="24"/>
        </w:rPr>
      </w:pPr>
      <w:r w:rsidRPr="003573C5">
        <w:rPr>
          <w:rFonts w:ascii="Times New Roman" w:eastAsia="Times New Roman" w:hAnsi="Times New Roman"/>
          <w:sz w:val="24"/>
        </w:rPr>
        <w:t>The mention of specific companies or of certain manufacturers’ products does not imply that they are endorsed or recommended by WHO in preference to others of a similar nature that are not mentioned. Errors and omissions excepted, the names of proprietary products are distinguished by initial capital letters</w:t>
      </w:r>
    </w:p>
    <w:p w:rsidR="000C6E39" w:rsidRPr="00357896" w:rsidRDefault="00B77BEE" w:rsidP="001247D3">
      <w:pPr>
        <w:spacing w:line="0" w:lineRule="atLeast"/>
        <w:rPr>
          <w:sz w:val="36"/>
          <w:szCs w:val="36"/>
        </w:rPr>
      </w:pPr>
      <w:r w:rsidRPr="00357896">
        <w:rPr>
          <w:rFonts w:eastAsia="Century Gothic"/>
          <w:color w:val="1B4379"/>
          <w:sz w:val="36"/>
          <w:szCs w:val="36"/>
        </w:rPr>
        <w:t xml:space="preserve">Geneva, Switzerland, </w:t>
      </w:r>
      <w:r w:rsidR="007455B4">
        <w:rPr>
          <w:rFonts w:eastAsia="Century Gothic"/>
          <w:color w:val="1B4379"/>
          <w:sz w:val="36"/>
          <w:szCs w:val="36"/>
        </w:rPr>
        <w:t>6</w:t>
      </w:r>
      <w:r w:rsidR="00545814" w:rsidRPr="00357896">
        <w:rPr>
          <w:rFonts w:eastAsia="Century Gothic"/>
          <w:color w:val="1B4379"/>
          <w:sz w:val="36"/>
          <w:szCs w:val="36"/>
        </w:rPr>
        <w:t xml:space="preserve">th </w:t>
      </w:r>
      <w:r w:rsidR="007455B4">
        <w:rPr>
          <w:rFonts w:eastAsia="Century Gothic"/>
          <w:color w:val="1B4379"/>
          <w:sz w:val="36"/>
          <w:szCs w:val="36"/>
        </w:rPr>
        <w:t>May</w:t>
      </w:r>
      <w:r w:rsidR="00545814" w:rsidRPr="00357896">
        <w:rPr>
          <w:rFonts w:eastAsia="Century Gothic"/>
          <w:color w:val="1B4379"/>
          <w:sz w:val="36"/>
          <w:szCs w:val="36"/>
        </w:rPr>
        <w:t xml:space="preserve"> 2020</w:t>
      </w:r>
    </w:p>
    <w:p w:rsidR="00BB18A7" w:rsidRPr="00E72748" w:rsidRDefault="00BB18A7" w:rsidP="00700185">
      <w:pPr>
        <w:pStyle w:val="Bodycopy"/>
        <w:rPr>
          <w:lang w:val="en-GB"/>
        </w:rPr>
      </w:pPr>
      <w:r w:rsidRPr="00E72748">
        <w:rPr>
          <w:noProof/>
          <w:lang w:val="en-GB" w:eastAsia="en-US"/>
        </w:rPr>
        <mc:AlternateContent>
          <mc:Choice Requires="wps">
            <w:drawing>
              <wp:anchor distT="0" distB="0" distL="114300" distR="114300" simplePos="0" relativeHeight="251664384" behindDoc="0" locked="0" layoutInCell="1" allowOverlap="1" wp14:anchorId="5B6FCFEE" wp14:editId="176C8E65">
                <wp:simplePos x="0" y="0"/>
                <wp:positionH relativeFrom="column">
                  <wp:posOffset>1401445</wp:posOffset>
                </wp:positionH>
                <wp:positionV relativeFrom="page">
                  <wp:posOffset>11386820</wp:posOffset>
                </wp:positionV>
                <wp:extent cx="1728000" cy="1728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28000" cy="1728000"/>
                        </a:xfrm>
                        <a:prstGeom prst="rect">
                          <a:avLst/>
                        </a:prstGeom>
                        <a:solidFill>
                          <a:schemeClr val="accent6"/>
                        </a:solidFill>
                        <a:ln w="6350">
                          <a:noFill/>
                        </a:ln>
                      </wps:spPr>
                      <wps:txbx>
                        <w:txbxContent>
                          <w:p w:rsidR="00A80F60" w:rsidRPr="00516632" w:rsidRDefault="00A80F60" w:rsidP="00BB18A7">
                            <w:pPr>
                              <w:pStyle w:val="Webaddress"/>
                            </w:pPr>
                            <w:r w:rsidRPr="00516632">
                              <w:t>csacentre.org.uk</w:t>
                            </w:r>
                          </w:p>
                        </w:txbxContent>
                      </wps:txbx>
                      <wps:bodyPr rot="0" spcFirstLastPara="0" vertOverflow="overflow" horzOverflow="overflow" vert="horz" wrap="square" lIns="108000" tIns="108000" rIns="108000" bIns="10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FCFEE" id="_x0000_t202" coordsize="21600,21600" o:spt="202" path="m,l,21600r21600,l21600,xe">
                <v:stroke joinstyle="miter"/>
                <v:path gradientshapeok="t" o:connecttype="rect"/>
              </v:shapetype>
              <v:shape id="Text Box 9" o:spid="_x0000_s1026" type="#_x0000_t202" style="position:absolute;margin-left:110.35pt;margin-top:896.6pt;width:136.05pt;height:1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" fillcolor="#e9832f [3209]" stroked="f" strokeweight=".5pt">
                <v:textbox inset="3mm,3mm,3mm,3mm">
                  <w:txbxContent>
                    <w:p w:rsidR="00A80F60" w:rsidRPr="00516632" w:rsidRDefault="00A80F60" w:rsidP="00BB18A7">
                      <w:pPr>
                        <w:pStyle w:val="Webaddress"/>
                      </w:pPr>
                      <w:r w:rsidRPr="00516632">
                        <w:t>csacentre.org.uk</w:t>
                      </w:r>
                    </w:p>
                  </w:txbxContent>
                </v:textbox>
                <w10:wrap anchory="page"/>
              </v:shape>
            </w:pict>
          </mc:Fallback>
        </mc:AlternateContent>
      </w:r>
    </w:p>
    <w:p w:rsidR="00BB18A7" w:rsidRPr="00E72748" w:rsidRDefault="00BB18A7" w:rsidP="00700185">
      <w:pPr>
        <w:pStyle w:val="Bodycopy"/>
        <w:rPr>
          <w:lang w:val="en-GB"/>
        </w:rPr>
      </w:pPr>
    </w:p>
    <w:p w:rsidR="00BB18A7" w:rsidRPr="00E72748" w:rsidRDefault="00BB18A7" w:rsidP="00700185">
      <w:pPr>
        <w:sectPr w:rsidR="00BB18A7" w:rsidRPr="00E72748" w:rsidSect="00065A79">
          <w:headerReference w:type="default" r:id="rId11"/>
          <w:footerReference w:type="even" r:id="rId12"/>
          <w:footerReference w:type="default" r:id="rId13"/>
          <w:headerReference w:type="first" r:id="rId14"/>
          <w:footerReference w:type="first" r:id="rId15"/>
          <w:pgSz w:w="11900" w:h="16820"/>
          <w:pgMar w:top="851" w:right="851" w:bottom="1701" w:left="851" w:header="709" w:footer="709" w:gutter="0"/>
          <w:cols w:space="708"/>
          <w:titlePg/>
          <w:docGrid w:linePitch="360"/>
        </w:sectPr>
      </w:pPr>
    </w:p>
    <w:p w:rsidR="0040136D" w:rsidRDefault="0040136D" w:rsidP="00BE5288">
      <w:pPr>
        <w:pStyle w:val="Heading1"/>
      </w:pPr>
      <w:bookmarkStart w:id="1" w:name="_Toc30160259"/>
      <w:bookmarkStart w:id="2" w:name="_Toc34753986"/>
    </w:p>
    <w:sdt>
      <w:sdtPr>
        <w:rPr>
          <w:rFonts w:eastAsiaTheme="minorEastAsia" w:cstheme="minorBidi"/>
          <w:b w:val="0"/>
          <w:color w:val="auto"/>
          <w:sz w:val="22"/>
          <w:szCs w:val="20"/>
        </w:rPr>
        <w:id w:val="-1752418496"/>
        <w:docPartObj>
          <w:docPartGallery w:val="Table of Contents"/>
          <w:docPartUnique/>
        </w:docPartObj>
      </w:sdtPr>
      <w:sdtEndPr>
        <w:rPr>
          <w:bCs/>
          <w:noProof/>
        </w:rPr>
      </w:sdtEndPr>
      <w:sdtContent>
        <w:p w:rsidR="00BD0669" w:rsidRDefault="00BD0669" w:rsidP="00BE5288">
          <w:pPr>
            <w:pStyle w:val="TOCHeading"/>
          </w:pPr>
          <w:r>
            <w:t>Table of Contents</w:t>
          </w:r>
        </w:p>
        <w:p w:rsidR="00BE5288" w:rsidRDefault="00BD0669">
          <w:pPr>
            <w:pStyle w:val="TOC1"/>
            <w:tabs>
              <w:tab w:val="right" w:leader="dot" w:pos="9350"/>
            </w:tabs>
            <w:rPr>
              <w:rFonts w:cstheme="minorBidi"/>
              <w:b w:val="0"/>
              <w:bCs w:val="0"/>
              <w:caps w:val="0"/>
              <w:noProof/>
              <w:sz w:val="22"/>
              <w:szCs w:val="22"/>
              <w:lang w:eastAsia="en-GB"/>
            </w:rPr>
          </w:pPr>
          <w:r>
            <w:fldChar w:fldCharType="begin"/>
          </w:r>
          <w:r>
            <w:instrText xml:space="preserve"> TOC \o "1-3" \h \z \u </w:instrText>
          </w:r>
          <w:r>
            <w:fldChar w:fldCharType="separate"/>
          </w:r>
          <w:hyperlink w:anchor="_Toc40107961" w:history="1">
            <w:r w:rsidR="00BE5288" w:rsidRPr="001C794A">
              <w:rPr>
                <w:rStyle w:val="Hyperlink"/>
                <w:noProof/>
              </w:rPr>
              <w:t>INTRODUCTION</w:t>
            </w:r>
            <w:r w:rsidR="00BE5288">
              <w:rPr>
                <w:noProof/>
                <w:webHidden/>
              </w:rPr>
              <w:tab/>
            </w:r>
            <w:r w:rsidR="00BE5288">
              <w:rPr>
                <w:noProof/>
                <w:webHidden/>
              </w:rPr>
              <w:fldChar w:fldCharType="begin"/>
            </w:r>
            <w:r w:rsidR="00BE5288">
              <w:rPr>
                <w:noProof/>
                <w:webHidden/>
              </w:rPr>
              <w:instrText xml:space="preserve"> PAGEREF _Toc40107961 \h </w:instrText>
            </w:r>
            <w:r w:rsidR="00BE5288">
              <w:rPr>
                <w:noProof/>
                <w:webHidden/>
              </w:rPr>
            </w:r>
            <w:r w:rsidR="00BE5288">
              <w:rPr>
                <w:noProof/>
                <w:webHidden/>
              </w:rPr>
              <w:fldChar w:fldCharType="separate"/>
            </w:r>
            <w:r w:rsidR="00BE5288">
              <w:rPr>
                <w:noProof/>
                <w:webHidden/>
              </w:rPr>
              <w:t>3</w:t>
            </w:r>
            <w:r w:rsidR="00BE5288">
              <w:rPr>
                <w:noProof/>
                <w:webHidden/>
              </w:rPr>
              <w:fldChar w:fldCharType="end"/>
            </w:r>
          </w:hyperlink>
        </w:p>
        <w:p w:rsidR="00BE5288" w:rsidRDefault="007C4CB3">
          <w:pPr>
            <w:pStyle w:val="TOC1"/>
            <w:tabs>
              <w:tab w:val="right" w:leader="dot" w:pos="9350"/>
            </w:tabs>
            <w:rPr>
              <w:rFonts w:cstheme="minorBidi"/>
              <w:b w:val="0"/>
              <w:bCs w:val="0"/>
              <w:caps w:val="0"/>
              <w:noProof/>
              <w:sz w:val="22"/>
              <w:szCs w:val="22"/>
              <w:lang w:eastAsia="en-GB"/>
            </w:rPr>
          </w:pPr>
          <w:hyperlink w:anchor="_Toc40107962" w:history="1">
            <w:r w:rsidR="00BE5288" w:rsidRPr="001C794A">
              <w:rPr>
                <w:rStyle w:val="Hyperlink"/>
                <w:noProof/>
              </w:rPr>
              <w:t>OBJECTIVES OF THE CONSULTATION</w:t>
            </w:r>
            <w:r w:rsidR="00BE5288">
              <w:rPr>
                <w:noProof/>
                <w:webHidden/>
              </w:rPr>
              <w:tab/>
            </w:r>
            <w:r w:rsidR="00BE5288">
              <w:rPr>
                <w:noProof/>
                <w:webHidden/>
              </w:rPr>
              <w:fldChar w:fldCharType="begin"/>
            </w:r>
            <w:r w:rsidR="00BE5288">
              <w:rPr>
                <w:noProof/>
                <w:webHidden/>
              </w:rPr>
              <w:instrText xml:space="preserve"> PAGEREF _Toc40107962 \h </w:instrText>
            </w:r>
            <w:r w:rsidR="00BE5288">
              <w:rPr>
                <w:noProof/>
                <w:webHidden/>
              </w:rPr>
            </w:r>
            <w:r w:rsidR="00BE5288">
              <w:rPr>
                <w:noProof/>
                <w:webHidden/>
              </w:rPr>
              <w:fldChar w:fldCharType="separate"/>
            </w:r>
            <w:r w:rsidR="00BE5288">
              <w:rPr>
                <w:noProof/>
                <w:webHidden/>
              </w:rPr>
              <w:t>3</w:t>
            </w:r>
            <w:r w:rsidR="00BE5288">
              <w:rPr>
                <w:noProof/>
                <w:webHidden/>
              </w:rPr>
              <w:fldChar w:fldCharType="end"/>
            </w:r>
          </w:hyperlink>
        </w:p>
        <w:p w:rsidR="00BE5288" w:rsidRDefault="007C4CB3">
          <w:pPr>
            <w:pStyle w:val="TOC1"/>
            <w:tabs>
              <w:tab w:val="right" w:leader="dot" w:pos="9350"/>
            </w:tabs>
            <w:rPr>
              <w:rFonts w:cstheme="minorBidi"/>
              <w:b w:val="0"/>
              <w:bCs w:val="0"/>
              <w:caps w:val="0"/>
              <w:noProof/>
              <w:sz w:val="22"/>
              <w:szCs w:val="22"/>
              <w:lang w:eastAsia="en-GB"/>
            </w:rPr>
          </w:pPr>
          <w:hyperlink w:anchor="_Toc40107963" w:history="1">
            <w:r w:rsidR="00BE5288" w:rsidRPr="001C794A">
              <w:rPr>
                <w:rStyle w:val="Hyperlink"/>
                <w:noProof/>
              </w:rPr>
              <w:t>Agenda items</w:t>
            </w:r>
            <w:r w:rsidR="00BE5288">
              <w:rPr>
                <w:noProof/>
                <w:webHidden/>
              </w:rPr>
              <w:tab/>
            </w:r>
            <w:r w:rsidR="00BE5288">
              <w:rPr>
                <w:noProof/>
                <w:webHidden/>
              </w:rPr>
              <w:fldChar w:fldCharType="begin"/>
            </w:r>
            <w:r w:rsidR="00BE5288">
              <w:rPr>
                <w:noProof/>
                <w:webHidden/>
              </w:rPr>
              <w:instrText xml:space="preserve"> PAGEREF _Toc40107963 \h </w:instrText>
            </w:r>
            <w:r w:rsidR="00BE5288">
              <w:rPr>
                <w:noProof/>
                <w:webHidden/>
              </w:rPr>
            </w:r>
            <w:r w:rsidR="00BE5288">
              <w:rPr>
                <w:noProof/>
                <w:webHidden/>
              </w:rPr>
              <w:fldChar w:fldCharType="separate"/>
            </w:r>
            <w:r w:rsidR="00BE5288">
              <w:rPr>
                <w:noProof/>
                <w:webHidden/>
              </w:rPr>
              <w:t>4</w:t>
            </w:r>
            <w:r w:rsidR="00BE5288">
              <w:rPr>
                <w:noProof/>
                <w:webHidden/>
              </w:rPr>
              <w:fldChar w:fldCharType="end"/>
            </w:r>
          </w:hyperlink>
        </w:p>
        <w:p w:rsidR="00BE5288" w:rsidRDefault="007C4CB3">
          <w:pPr>
            <w:pStyle w:val="TOC1"/>
            <w:tabs>
              <w:tab w:val="right" w:leader="dot" w:pos="9350"/>
            </w:tabs>
            <w:rPr>
              <w:rFonts w:cstheme="minorBidi"/>
              <w:b w:val="0"/>
              <w:bCs w:val="0"/>
              <w:caps w:val="0"/>
              <w:noProof/>
              <w:sz w:val="22"/>
              <w:szCs w:val="22"/>
              <w:lang w:eastAsia="en-GB"/>
            </w:rPr>
          </w:pPr>
          <w:hyperlink w:anchor="_Toc40107964" w:history="1">
            <w:r w:rsidR="00BE5288" w:rsidRPr="001C794A">
              <w:rPr>
                <w:rStyle w:val="Hyperlink"/>
                <w:noProof/>
              </w:rPr>
              <w:t>Working group members</w:t>
            </w:r>
            <w:r w:rsidR="00BE5288">
              <w:rPr>
                <w:noProof/>
                <w:webHidden/>
              </w:rPr>
              <w:tab/>
            </w:r>
            <w:r w:rsidR="00BE5288">
              <w:rPr>
                <w:noProof/>
                <w:webHidden/>
              </w:rPr>
              <w:fldChar w:fldCharType="begin"/>
            </w:r>
            <w:r w:rsidR="00BE5288">
              <w:rPr>
                <w:noProof/>
                <w:webHidden/>
              </w:rPr>
              <w:instrText xml:space="preserve"> PAGEREF _Toc40107964 \h </w:instrText>
            </w:r>
            <w:r w:rsidR="00BE5288">
              <w:rPr>
                <w:noProof/>
                <w:webHidden/>
              </w:rPr>
            </w:r>
            <w:r w:rsidR="00BE5288">
              <w:rPr>
                <w:noProof/>
                <w:webHidden/>
              </w:rPr>
              <w:fldChar w:fldCharType="separate"/>
            </w:r>
            <w:r w:rsidR="00BE5288">
              <w:rPr>
                <w:noProof/>
                <w:webHidden/>
              </w:rPr>
              <w:t>4</w:t>
            </w:r>
            <w:r w:rsidR="00BE5288">
              <w:rPr>
                <w:noProof/>
                <w:webHidden/>
              </w:rPr>
              <w:fldChar w:fldCharType="end"/>
            </w:r>
          </w:hyperlink>
        </w:p>
        <w:p w:rsidR="00BE5288" w:rsidRDefault="007C4CB3">
          <w:pPr>
            <w:pStyle w:val="TOC1"/>
            <w:tabs>
              <w:tab w:val="right" w:leader="dot" w:pos="9350"/>
            </w:tabs>
            <w:rPr>
              <w:rFonts w:cstheme="minorBidi"/>
              <w:b w:val="0"/>
              <w:bCs w:val="0"/>
              <w:caps w:val="0"/>
              <w:noProof/>
              <w:sz w:val="22"/>
              <w:szCs w:val="22"/>
              <w:lang w:eastAsia="en-GB"/>
            </w:rPr>
          </w:pPr>
          <w:hyperlink w:anchor="_Toc40107965" w:history="1">
            <w:r w:rsidR="00BE5288" w:rsidRPr="001C794A">
              <w:rPr>
                <w:rStyle w:val="Hyperlink"/>
                <w:noProof/>
              </w:rPr>
              <w:t>Additional experts:</w:t>
            </w:r>
            <w:r w:rsidR="00BE5288">
              <w:rPr>
                <w:noProof/>
                <w:webHidden/>
              </w:rPr>
              <w:tab/>
            </w:r>
            <w:r w:rsidR="00BE5288">
              <w:rPr>
                <w:noProof/>
                <w:webHidden/>
              </w:rPr>
              <w:fldChar w:fldCharType="begin"/>
            </w:r>
            <w:r w:rsidR="00BE5288">
              <w:rPr>
                <w:noProof/>
                <w:webHidden/>
              </w:rPr>
              <w:instrText xml:space="preserve"> PAGEREF _Toc40107965 \h </w:instrText>
            </w:r>
            <w:r w:rsidR="00BE5288">
              <w:rPr>
                <w:noProof/>
                <w:webHidden/>
              </w:rPr>
            </w:r>
            <w:r w:rsidR="00BE5288">
              <w:rPr>
                <w:noProof/>
                <w:webHidden/>
              </w:rPr>
              <w:fldChar w:fldCharType="separate"/>
            </w:r>
            <w:r w:rsidR="00BE5288">
              <w:rPr>
                <w:noProof/>
                <w:webHidden/>
              </w:rPr>
              <w:t>6</w:t>
            </w:r>
            <w:r w:rsidR="00BE5288">
              <w:rPr>
                <w:noProof/>
                <w:webHidden/>
              </w:rPr>
              <w:fldChar w:fldCharType="end"/>
            </w:r>
          </w:hyperlink>
        </w:p>
        <w:p w:rsidR="00BE5288" w:rsidRDefault="007C4CB3">
          <w:pPr>
            <w:pStyle w:val="TOC1"/>
            <w:tabs>
              <w:tab w:val="right" w:leader="dot" w:pos="9350"/>
            </w:tabs>
            <w:rPr>
              <w:rFonts w:cstheme="minorBidi"/>
              <w:b w:val="0"/>
              <w:bCs w:val="0"/>
              <w:caps w:val="0"/>
              <w:noProof/>
              <w:sz w:val="22"/>
              <w:szCs w:val="22"/>
              <w:lang w:eastAsia="en-GB"/>
            </w:rPr>
          </w:pPr>
          <w:hyperlink w:anchor="_Toc40107967" w:history="1">
            <w:r w:rsidR="00BE5288" w:rsidRPr="001C794A">
              <w:rPr>
                <w:rStyle w:val="Hyperlink"/>
                <w:noProof/>
              </w:rPr>
              <w:t>OVERVIEW OF THE DELIBERATIONS</w:t>
            </w:r>
            <w:r w:rsidR="00BE5288">
              <w:rPr>
                <w:noProof/>
                <w:webHidden/>
              </w:rPr>
              <w:tab/>
            </w:r>
            <w:r w:rsidR="00BE5288">
              <w:rPr>
                <w:noProof/>
                <w:webHidden/>
              </w:rPr>
              <w:fldChar w:fldCharType="begin"/>
            </w:r>
            <w:r w:rsidR="00BE5288">
              <w:rPr>
                <w:noProof/>
                <w:webHidden/>
              </w:rPr>
              <w:instrText xml:space="preserve"> PAGEREF _Toc40107967 \h </w:instrText>
            </w:r>
            <w:r w:rsidR="00BE5288">
              <w:rPr>
                <w:noProof/>
                <w:webHidden/>
              </w:rPr>
            </w:r>
            <w:r w:rsidR="00BE5288">
              <w:rPr>
                <w:noProof/>
                <w:webHidden/>
              </w:rPr>
              <w:fldChar w:fldCharType="separate"/>
            </w:r>
            <w:r w:rsidR="00BE5288">
              <w:rPr>
                <w:noProof/>
                <w:webHidden/>
              </w:rPr>
              <w:t>6</w:t>
            </w:r>
            <w:r w:rsidR="00BE5288">
              <w:rPr>
                <w:noProof/>
                <w:webHidden/>
              </w:rPr>
              <w:fldChar w:fldCharType="end"/>
            </w:r>
          </w:hyperlink>
        </w:p>
        <w:p w:rsidR="00BE5288" w:rsidRDefault="007C4CB3">
          <w:pPr>
            <w:pStyle w:val="TOC1"/>
            <w:tabs>
              <w:tab w:val="right" w:leader="dot" w:pos="9350"/>
            </w:tabs>
            <w:rPr>
              <w:rFonts w:cstheme="minorBidi"/>
              <w:b w:val="0"/>
              <w:bCs w:val="0"/>
              <w:caps w:val="0"/>
              <w:noProof/>
              <w:sz w:val="22"/>
              <w:szCs w:val="22"/>
              <w:lang w:eastAsia="en-GB"/>
            </w:rPr>
          </w:pPr>
          <w:hyperlink w:anchor="_Toc40107968" w:history="1">
            <w:r w:rsidR="00BE5288" w:rsidRPr="001C794A">
              <w:rPr>
                <w:rStyle w:val="Hyperlink"/>
                <w:noProof/>
              </w:rPr>
              <w:t>PROPOSED NEXT STEPS</w:t>
            </w:r>
            <w:r w:rsidR="00BE5288">
              <w:rPr>
                <w:noProof/>
                <w:webHidden/>
              </w:rPr>
              <w:tab/>
            </w:r>
            <w:r w:rsidR="00BE5288">
              <w:rPr>
                <w:noProof/>
                <w:webHidden/>
              </w:rPr>
              <w:fldChar w:fldCharType="begin"/>
            </w:r>
            <w:r w:rsidR="00BE5288">
              <w:rPr>
                <w:noProof/>
                <w:webHidden/>
              </w:rPr>
              <w:instrText xml:space="preserve"> PAGEREF _Toc40107968 \h </w:instrText>
            </w:r>
            <w:r w:rsidR="00BE5288">
              <w:rPr>
                <w:noProof/>
                <w:webHidden/>
              </w:rPr>
            </w:r>
            <w:r w:rsidR="00BE5288">
              <w:rPr>
                <w:noProof/>
                <w:webHidden/>
              </w:rPr>
              <w:fldChar w:fldCharType="separate"/>
            </w:r>
            <w:r w:rsidR="00BE5288">
              <w:rPr>
                <w:noProof/>
                <w:webHidden/>
              </w:rPr>
              <w:t>9</w:t>
            </w:r>
            <w:r w:rsidR="00BE5288">
              <w:rPr>
                <w:noProof/>
                <w:webHidden/>
              </w:rPr>
              <w:fldChar w:fldCharType="end"/>
            </w:r>
          </w:hyperlink>
        </w:p>
        <w:p w:rsidR="00BE5288" w:rsidRDefault="007C4CB3">
          <w:pPr>
            <w:pStyle w:val="TOC1"/>
            <w:tabs>
              <w:tab w:val="right" w:leader="dot" w:pos="9350"/>
            </w:tabs>
            <w:rPr>
              <w:rFonts w:cstheme="minorBidi"/>
              <w:b w:val="0"/>
              <w:bCs w:val="0"/>
              <w:caps w:val="0"/>
              <w:noProof/>
              <w:sz w:val="22"/>
              <w:szCs w:val="22"/>
              <w:lang w:eastAsia="en-GB"/>
            </w:rPr>
          </w:pPr>
          <w:hyperlink w:anchor="_Toc40107969" w:history="1">
            <w:r w:rsidR="00BE5288" w:rsidRPr="001C794A">
              <w:rPr>
                <w:rStyle w:val="Hyperlink"/>
                <w:noProof/>
              </w:rPr>
              <w:t>ANNEX – Criteria for prioritization</w:t>
            </w:r>
            <w:r w:rsidR="00BE5288">
              <w:rPr>
                <w:noProof/>
                <w:webHidden/>
              </w:rPr>
              <w:tab/>
            </w:r>
            <w:r w:rsidR="00BE5288">
              <w:rPr>
                <w:noProof/>
                <w:webHidden/>
              </w:rPr>
              <w:fldChar w:fldCharType="begin"/>
            </w:r>
            <w:r w:rsidR="00BE5288">
              <w:rPr>
                <w:noProof/>
                <w:webHidden/>
              </w:rPr>
              <w:instrText xml:space="preserve"> PAGEREF _Toc40107969 \h </w:instrText>
            </w:r>
            <w:r w:rsidR="00BE5288">
              <w:rPr>
                <w:noProof/>
                <w:webHidden/>
              </w:rPr>
            </w:r>
            <w:r w:rsidR="00BE5288">
              <w:rPr>
                <w:noProof/>
                <w:webHidden/>
              </w:rPr>
              <w:fldChar w:fldCharType="separate"/>
            </w:r>
            <w:r w:rsidR="00BE5288">
              <w:rPr>
                <w:noProof/>
                <w:webHidden/>
              </w:rPr>
              <w:t>11</w:t>
            </w:r>
            <w:r w:rsidR="00BE5288">
              <w:rPr>
                <w:noProof/>
                <w:webHidden/>
              </w:rPr>
              <w:fldChar w:fldCharType="end"/>
            </w:r>
          </w:hyperlink>
        </w:p>
        <w:p w:rsidR="00BD0669" w:rsidRDefault="00BD0669">
          <w:r>
            <w:rPr>
              <w:b/>
              <w:bCs/>
              <w:noProof/>
            </w:rPr>
            <w:fldChar w:fldCharType="end"/>
          </w:r>
        </w:p>
      </w:sdtContent>
    </w:sdt>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40136D" w:rsidRDefault="0040136D" w:rsidP="0040136D">
      <w:pPr>
        <w:spacing w:line="239" w:lineRule="auto"/>
        <w:ind w:right="80"/>
        <w:jc w:val="both"/>
        <w:rPr>
          <w:rFonts w:eastAsia="Century Gothic"/>
          <w:b/>
          <w:color w:val="1B4379"/>
          <w:sz w:val="40"/>
        </w:rPr>
      </w:pPr>
    </w:p>
    <w:p w:rsidR="00545814" w:rsidRDefault="00545814" w:rsidP="0040136D">
      <w:pPr>
        <w:spacing w:line="239" w:lineRule="auto"/>
        <w:ind w:right="80"/>
        <w:jc w:val="both"/>
        <w:rPr>
          <w:rFonts w:eastAsia="Century Gothic"/>
          <w:b/>
          <w:color w:val="1B4379"/>
          <w:sz w:val="40"/>
        </w:rPr>
      </w:pPr>
      <w:r>
        <w:rPr>
          <w:rFonts w:eastAsia="Century Gothic"/>
          <w:b/>
          <w:color w:val="1B4379"/>
          <w:sz w:val="40"/>
        </w:rPr>
        <w:lastRenderedPageBreak/>
        <w:t>Appropriate WHO Confidentiality Undertakings were signed and submitted to WHO by all participating experts</w:t>
      </w:r>
    </w:p>
    <w:p w:rsidR="00545814" w:rsidRDefault="00545814" w:rsidP="00BE5288">
      <w:pPr>
        <w:pStyle w:val="Heading1"/>
      </w:pPr>
    </w:p>
    <w:p w:rsidR="00DC5F36" w:rsidRPr="00DC5F36" w:rsidRDefault="00DC5F36" w:rsidP="00BE5288">
      <w:pPr>
        <w:pStyle w:val="Heading1"/>
      </w:pPr>
      <w:bookmarkStart w:id="3" w:name="_Toc40107961"/>
      <w:r w:rsidRPr="00DC5F36">
        <w:t>INTRODUCTION</w:t>
      </w:r>
      <w:bookmarkEnd w:id="3"/>
    </w:p>
    <w:p w:rsidR="00B1485C" w:rsidRPr="00B1485C" w:rsidRDefault="00B1485C" w:rsidP="00B1485C">
      <w:pPr>
        <w:spacing w:line="276" w:lineRule="auto"/>
        <w:jc w:val="both"/>
        <w:rPr>
          <w:sz w:val="24"/>
          <w:szCs w:val="24"/>
          <w:lang w:val="en-US"/>
        </w:rPr>
      </w:pPr>
      <w:r w:rsidRPr="00B1485C">
        <w:rPr>
          <w:sz w:val="24"/>
          <w:szCs w:val="24"/>
          <w:lang w:val="en-US"/>
        </w:rPr>
        <w:t xml:space="preserve">There are several ongoing studies in China, Italy and  Spain using immunomodulators therapies. The rational to use these therapies is to reduce the proinflammatory </w:t>
      </w:r>
      <w:proofErr w:type="spellStart"/>
      <w:r w:rsidRPr="00B1485C">
        <w:rPr>
          <w:sz w:val="24"/>
          <w:szCs w:val="24"/>
          <w:lang w:val="en-US"/>
        </w:rPr>
        <w:t>immunoresponse</w:t>
      </w:r>
      <w:proofErr w:type="spellEnd"/>
      <w:r w:rsidRPr="00B1485C">
        <w:rPr>
          <w:sz w:val="24"/>
          <w:szCs w:val="24"/>
          <w:lang w:val="en-US"/>
        </w:rPr>
        <w:t xml:space="preserve"> as a complement to the antiviral therapy. The evidence suggests that in severe cases of COVID-19 pneumonia the level of cytokines is very high - what is called the “cytokines storm”- in particular  proinflammatory tumor necrosis factor alpha (TNF-α), and interleukin-1 (IL-1) , IL-6 and IL-18.</w:t>
      </w:r>
      <w:r w:rsidRPr="00B1485C">
        <w:t xml:space="preserve"> </w:t>
      </w:r>
      <w:r w:rsidRPr="00B1485C">
        <w:rPr>
          <w:sz w:val="24"/>
          <w:szCs w:val="24"/>
          <w:lang w:val="en-US"/>
        </w:rPr>
        <w:t>On the contrary, patients with severe COVID-19 demonstrate remarkably impaired IFN-I signatures as compared to mild or moderate cases.</w:t>
      </w:r>
    </w:p>
    <w:p w:rsidR="00B1485C" w:rsidRPr="00B1485C" w:rsidRDefault="00B1485C" w:rsidP="00B1485C">
      <w:pPr>
        <w:spacing w:line="276" w:lineRule="auto"/>
        <w:jc w:val="both"/>
        <w:rPr>
          <w:sz w:val="24"/>
          <w:szCs w:val="24"/>
          <w:lang w:val="en-US"/>
        </w:rPr>
      </w:pPr>
      <w:r w:rsidRPr="00B1485C">
        <w:rPr>
          <w:sz w:val="24"/>
          <w:szCs w:val="24"/>
          <w:lang w:val="en-US"/>
        </w:rPr>
        <w:t>Unfortunately most of the evidence that is available today is not from randomized controlled trials (RCT), most evidence is from compassionate use, case reports and observation studies. Therefore there is a need to study the role of immunomodulators in a RCT to generate strong evidence of their efficacy for treatment of COVID-19.</w:t>
      </w:r>
    </w:p>
    <w:p w:rsidR="00DC5F36" w:rsidRPr="00A208B7" w:rsidRDefault="00DC5F36" w:rsidP="00DC5F36">
      <w:pPr>
        <w:spacing w:line="200" w:lineRule="exact"/>
        <w:rPr>
          <w:rFonts w:eastAsia="Times New Roman"/>
          <w:sz w:val="24"/>
          <w:szCs w:val="24"/>
          <w:lang w:val="en-US"/>
        </w:rPr>
      </w:pPr>
    </w:p>
    <w:p w:rsidR="00DC5F36" w:rsidRPr="008F3C43" w:rsidRDefault="00DC5F36" w:rsidP="00DC5F36">
      <w:pPr>
        <w:spacing w:line="200" w:lineRule="exact"/>
        <w:rPr>
          <w:rFonts w:eastAsia="Times New Roman"/>
          <w:sz w:val="24"/>
          <w:szCs w:val="24"/>
          <w:lang w:val="en-US"/>
        </w:rPr>
      </w:pPr>
    </w:p>
    <w:p w:rsidR="00DC5F36" w:rsidRPr="00DC5F36" w:rsidRDefault="00DC5F36" w:rsidP="00BE5288">
      <w:pPr>
        <w:pStyle w:val="Heading1"/>
      </w:pPr>
      <w:bookmarkStart w:id="4" w:name="_Toc40107962"/>
      <w:r w:rsidRPr="00DC5F36">
        <w:t>OBJECTIVES OF THE CONSULTATION</w:t>
      </w:r>
      <w:bookmarkEnd w:id="4"/>
    </w:p>
    <w:p w:rsidR="00DC5F36" w:rsidRPr="00DC5F36" w:rsidRDefault="00DC5F36" w:rsidP="00DC5F36">
      <w:pPr>
        <w:spacing w:line="119" w:lineRule="exact"/>
        <w:rPr>
          <w:rFonts w:ascii="Times New Roman" w:eastAsia="Times New Roman" w:hAnsi="Times New Roman"/>
          <w:sz w:val="24"/>
          <w:szCs w:val="24"/>
        </w:rPr>
      </w:pPr>
    </w:p>
    <w:p w:rsidR="0021241C" w:rsidRPr="0021241C" w:rsidRDefault="0021241C" w:rsidP="0021241C">
      <w:pPr>
        <w:spacing w:line="276" w:lineRule="auto"/>
        <w:jc w:val="both"/>
        <w:rPr>
          <w:rFonts w:eastAsia="Century Gothic"/>
          <w:sz w:val="24"/>
          <w:szCs w:val="24"/>
        </w:rPr>
      </w:pPr>
      <w:r w:rsidRPr="0021241C">
        <w:rPr>
          <w:rFonts w:eastAsia="Century Gothic"/>
          <w:sz w:val="24"/>
          <w:szCs w:val="24"/>
        </w:rPr>
        <w:t xml:space="preserve">There is a long list of potential immunomodulator candidates to be considered for the solidarity trial. Therefore, to facilitate the discussion, WHO secretariat has prepared a list (table) and summary fact sheets for candidates that </w:t>
      </w:r>
      <w:r>
        <w:rPr>
          <w:rFonts w:eastAsia="Century Gothic"/>
          <w:sz w:val="24"/>
          <w:szCs w:val="24"/>
        </w:rPr>
        <w:t xml:space="preserve">are being used in some </w:t>
      </w:r>
      <w:r w:rsidRPr="0021241C">
        <w:rPr>
          <w:rFonts w:eastAsia="Century Gothic"/>
          <w:sz w:val="24"/>
          <w:szCs w:val="24"/>
        </w:rPr>
        <w:t xml:space="preserve">studies. </w:t>
      </w:r>
    </w:p>
    <w:p w:rsidR="0021241C" w:rsidRPr="0021241C" w:rsidRDefault="0021241C" w:rsidP="0021241C">
      <w:pPr>
        <w:spacing w:line="276" w:lineRule="auto"/>
        <w:jc w:val="both"/>
        <w:rPr>
          <w:sz w:val="24"/>
          <w:szCs w:val="24"/>
        </w:rPr>
      </w:pPr>
      <w:r w:rsidRPr="0021241C">
        <w:rPr>
          <w:rFonts w:eastAsia="Century Gothic"/>
          <w:sz w:val="24"/>
          <w:szCs w:val="24"/>
        </w:rPr>
        <w:t>This call is not aimed at developing a definitive list or a ranking of which products should be considered for the solidarity trial.</w:t>
      </w:r>
      <w:r w:rsidRPr="0021241C">
        <w:rPr>
          <w:sz w:val="24"/>
          <w:szCs w:val="24"/>
        </w:rPr>
        <w:t xml:space="preserve"> </w:t>
      </w:r>
    </w:p>
    <w:p w:rsidR="0021241C" w:rsidRPr="0021241C" w:rsidRDefault="0021241C" w:rsidP="0021241C">
      <w:pPr>
        <w:spacing w:line="276" w:lineRule="auto"/>
        <w:jc w:val="both"/>
        <w:rPr>
          <w:sz w:val="24"/>
          <w:szCs w:val="24"/>
        </w:rPr>
      </w:pPr>
      <w:r w:rsidRPr="0021241C">
        <w:rPr>
          <w:sz w:val="24"/>
          <w:szCs w:val="24"/>
        </w:rPr>
        <w:t xml:space="preserve">The main objective of the call is to start the discussion: make an overview of a long list of candidates, ensure that the secretariat has not missed anything </w:t>
      </w:r>
      <w:r w:rsidRPr="0021241C">
        <w:rPr>
          <w:sz w:val="24"/>
          <w:szCs w:val="24"/>
        </w:rPr>
        <w:lastRenderedPageBreak/>
        <w:t xml:space="preserve">important and start shortening the list as well as discussing the criteria for the selection. </w:t>
      </w:r>
    </w:p>
    <w:p w:rsidR="00B70CCD" w:rsidRPr="005F4F2E" w:rsidRDefault="0021241C" w:rsidP="0021241C">
      <w:pPr>
        <w:spacing w:line="276" w:lineRule="auto"/>
        <w:jc w:val="both"/>
        <w:rPr>
          <w:rFonts w:eastAsia="Century Gothic"/>
          <w:sz w:val="24"/>
          <w:szCs w:val="24"/>
        </w:rPr>
      </w:pPr>
      <w:r w:rsidRPr="0021241C">
        <w:rPr>
          <w:sz w:val="24"/>
          <w:szCs w:val="24"/>
        </w:rPr>
        <w:t xml:space="preserve">Given the uncertainties of the risk/benefits of these therapies, some of these products may not be considered </w:t>
      </w:r>
      <w:r>
        <w:rPr>
          <w:sz w:val="24"/>
          <w:szCs w:val="24"/>
        </w:rPr>
        <w:t>directly</w:t>
      </w:r>
      <w:r w:rsidRPr="0021241C">
        <w:rPr>
          <w:sz w:val="24"/>
          <w:szCs w:val="24"/>
        </w:rPr>
        <w:t xml:space="preserve"> for a phase III trial because of the absence of data, therefore some should be first evaluated in vitro/in vivo or smaller trials.</w:t>
      </w:r>
    </w:p>
    <w:p w:rsidR="00CF138B" w:rsidRDefault="00CF138B" w:rsidP="00BE5288">
      <w:pPr>
        <w:pStyle w:val="Heading1"/>
      </w:pPr>
    </w:p>
    <w:p w:rsidR="00DC5F36" w:rsidRPr="00CF138B" w:rsidRDefault="00DC5F36" w:rsidP="00BE5288">
      <w:pPr>
        <w:pStyle w:val="Heading1"/>
      </w:pPr>
      <w:bookmarkStart w:id="5" w:name="_Toc40107963"/>
      <w:r w:rsidRPr="0040136D">
        <w:t>Agenda items</w:t>
      </w:r>
      <w:bookmarkEnd w:id="5"/>
    </w:p>
    <w:p w:rsidR="00DD2A33" w:rsidRPr="00DD2A33" w:rsidRDefault="00DD2A33" w:rsidP="00DD2A33">
      <w:pPr>
        <w:pStyle w:val="ListParagraph"/>
        <w:numPr>
          <w:ilvl w:val="0"/>
          <w:numId w:val="19"/>
        </w:numPr>
        <w:spacing w:before="0" w:after="0"/>
        <w:rPr>
          <w:rFonts w:asciiTheme="minorHAnsi" w:hAnsiTheme="minorHAnsi"/>
          <w:sz w:val="24"/>
          <w:szCs w:val="24"/>
        </w:rPr>
      </w:pPr>
      <w:r w:rsidRPr="00DD2A33">
        <w:rPr>
          <w:sz w:val="24"/>
          <w:szCs w:val="24"/>
        </w:rPr>
        <w:t xml:space="preserve">Welcome and Goals of </w:t>
      </w:r>
      <w:r w:rsidR="0021241C">
        <w:rPr>
          <w:sz w:val="24"/>
          <w:szCs w:val="24"/>
        </w:rPr>
        <w:t xml:space="preserve">the </w:t>
      </w:r>
      <w:r w:rsidRPr="00DD2A33">
        <w:rPr>
          <w:sz w:val="24"/>
          <w:szCs w:val="24"/>
        </w:rPr>
        <w:t>Ad Hoc Consultation</w:t>
      </w:r>
    </w:p>
    <w:p w:rsidR="00DD2A33" w:rsidRPr="00DD2A33" w:rsidRDefault="00B70CCD" w:rsidP="00DD2A33">
      <w:pPr>
        <w:pStyle w:val="ListParagraph"/>
        <w:numPr>
          <w:ilvl w:val="0"/>
          <w:numId w:val="19"/>
        </w:numPr>
        <w:spacing w:before="0" w:after="0"/>
        <w:rPr>
          <w:sz w:val="24"/>
          <w:szCs w:val="24"/>
        </w:rPr>
      </w:pPr>
      <w:r>
        <w:rPr>
          <w:sz w:val="24"/>
          <w:szCs w:val="24"/>
        </w:rPr>
        <w:t>Overview of different immunomodulators therapies</w:t>
      </w:r>
    </w:p>
    <w:p w:rsidR="00DD2A33" w:rsidRPr="00DD2A33" w:rsidRDefault="00B70CCD" w:rsidP="00DD2A33">
      <w:pPr>
        <w:pStyle w:val="ListParagraph"/>
        <w:numPr>
          <w:ilvl w:val="0"/>
          <w:numId w:val="19"/>
        </w:numPr>
        <w:spacing w:before="0" w:after="0"/>
        <w:rPr>
          <w:sz w:val="24"/>
          <w:szCs w:val="24"/>
        </w:rPr>
      </w:pPr>
      <w:r>
        <w:rPr>
          <w:sz w:val="24"/>
          <w:szCs w:val="24"/>
        </w:rPr>
        <w:t>Share the existing evidence (see annexes)</w:t>
      </w:r>
    </w:p>
    <w:p w:rsidR="00DD2A33" w:rsidRPr="00DD2A33" w:rsidRDefault="00B70CCD" w:rsidP="00DD2A33">
      <w:pPr>
        <w:pStyle w:val="ListParagraph"/>
        <w:numPr>
          <w:ilvl w:val="0"/>
          <w:numId w:val="19"/>
        </w:numPr>
        <w:spacing w:before="0" w:after="0"/>
        <w:rPr>
          <w:sz w:val="24"/>
          <w:szCs w:val="24"/>
        </w:rPr>
      </w:pPr>
      <w:r>
        <w:rPr>
          <w:sz w:val="24"/>
          <w:szCs w:val="24"/>
        </w:rPr>
        <w:t>Discussion</w:t>
      </w:r>
    </w:p>
    <w:p w:rsidR="00DD2A33" w:rsidRPr="00DD2A33" w:rsidRDefault="000B258D" w:rsidP="00DD2A33">
      <w:pPr>
        <w:pStyle w:val="ListParagraph"/>
        <w:numPr>
          <w:ilvl w:val="0"/>
          <w:numId w:val="19"/>
        </w:numPr>
        <w:spacing w:before="0" w:after="0"/>
        <w:rPr>
          <w:sz w:val="24"/>
          <w:szCs w:val="24"/>
        </w:rPr>
      </w:pPr>
      <w:r>
        <w:rPr>
          <w:sz w:val="24"/>
          <w:szCs w:val="24"/>
        </w:rPr>
        <w:t>Recommendations</w:t>
      </w:r>
      <w:r w:rsidR="00B70CCD">
        <w:rPr>
          <w:sz w:val="24"/>
          <w:szCs w:val="24"/>
        </w:rPr>
        <w:t xml:space="preserve"> and next steps</w:t>
      </w:r>
    </w:p>
    <w:p w:rsidR="00DC5F36" w:rsidRPr="00DC5F36" w:rsidRDefault="00DC5F36" w:rsidP="00DC5F36">
      <w:pPr>
        <w:tabs>
          <w:tab w:val="left" w:pos="720"/>
        </w:tabs>
        <w:spacing w:before="0" w:after="0" w:line="0" w:lineRule="atLeast"/>
        <w:rPr>
          <w:rFonts w:ascii="Arial" w:eastAsia="Arial" w:hAnsi="Arial"/>
        </w:rPr>
      </w:pPr>
    </w:p>
    <w:p w:rsidR="00E72748" w:rsidRPr="00DC5F36" w:rsidRDefault="00D511FA" w:rsidP="00BE5288">
      <w:pPr>
        <w:pStyle w:val="Heading1"/>
      </w:pPr>
      <w:bookmarkStart w:id="6" w:name="_Toc40107964"/>
      <w:bookmarkStart w:id="7" w:name="_Hlk31011868"/>
      <w:bookmarkEnd w:id="1"/>
      <w:bookmarkEnd w:id="2"/>
      <w:r>
        <w:t>Working group members</w:t>
      </w:r>
      <w:bookmarkEnd w:id="6"/>
    </w:p>
    <w:bookmarkEnd w:id="7"/>
    <w:p w:rsidR="00001B7F" w:rsidRPr="00001B7F" w:rsidRDefault="00001B7F" w:rsidP="00BD0669">
      <w:pPr>
        <w:rPr>
          <w:lang w:eastAsia="ja-JP"/>
        </w:rPr>
      </w:pPr>
      <w:r>
        <w:rPr>
          <w:lang w:eastAsia="ja-JP"/>
        </w:rPr>
        <w:t>Chair:</w:t>
      </w:r>
      <w:r w:rsidR="00545814">
        <w:rPr>
          <w:lang w:eastAsia="ja-JP"/>
        </w:rPr>
        <w:t xml:space="preserve"> Marco Cavaleri</w:t>
      </w:r>
    </w:p>
    <w:tbl>
      <w:tblPr>
        <w:tblStyle w:val="WHORDTablestyle"/>
        <w:tblW w:w="0" w:type="auto"/>
        <w:tblLook w:val="04A0" w:firstRow="1" w:lastRow="0" w:firstColumn="1" w:lastColumn="0" w:noHBand="0" w:noVBand="1"/>
      </w:tblPr>
      <w:tblGrid>
        <w:gridCol w:w="2245"/>
        <w:gridCol w:w="4320"/>
        <w:gridCol w:w="2785"/>
      </w:tblGrid>
      <w:tr w:rsidR="006F1C6A" w:rsidRPr="00001B7F" w:rsidTr="00D262A4">
        <w:trPr>
          <w:cnfStyle w:val="100000000000" w:firstRow="1" w:lastRow="0" w:firstColumn="0" w:lastColumn="0" w:oddVBand="0" w:evenVBand="0" w:oddHBand="0" w:evenHBand="0" w:firstRowFirstColumn="0" w:firstRowLastColumn="0" w:lastRowFirstColumn="0" w:lastRowLastColumn="0"/>
          <w:tblHeader/>
        </w:trPr>
        <w:tc>
          <w:tcPr>
            <w:tcW w:w="2245" w:type="dxa"/>
          </w:tcPr>
          <w:p w:rsidR="006F1C6A" w:rsidRPr="00001B7F" w:rsidRDefault="006F1C6A" w:rsidP="00BD0669">
            <w:pPr>
              <w:rPr>
                <w:szCs w:val="22"/>
              </w:rPr>
            </w:pPr>
            <w:r w:rsidRPr="00001B7F">
              <w:rPr>
                <w:szCs w:val="22"/>
              </w:rPr>
              <w:t>Name</w:t>
            </w:r>
          </w:p>
        </w:tc>
        <w:tc>
          <w:tcPr>
            <w:tcW w:w="4320" w:type="dxa"/>
          </w:tcPr>
          <w:p w:rsidR="006F1C6A" w:rsidRPr="00001B7F" w:rsidRDefault="006F1C6A" w:rsidP="00BD0669">
            <w:pPr>
              <w:rPr>
                <w:szCs w:val="22"/>
              </w:rPr>
            </w:pPr>
            <w:r w:rsidRPr="00001B7F">
              <w:rPr>
                <w:szCs w:val="22"/>
              </w:rPr>
              <w:t>Position</w:t>
            </w:r>
          </w:p>
        </w:tc>
        <w:tc>
          <w:tcPr>
            <w:tcW w:w="2785" w:type="dxa"/>
          </w:tcPr>
          <w:p w:rsidR="006F1C6A" w:rsidRPr="00001B7F" w:rsidRDefault="006F1C6A" w:rsidP="00BD0669">
            <w:pPr>
              <w:rPr>
                <w:szCs w:val="22"/>
              </w:rPr>
            </w:pPr>
            <w:r w:rsidRPr="00001B7F">
              <w:rPr>
                <w:szCs w:val="22"/>
              </w:rPr>
              <w:t>Institutional Affiliation</w:t>
            </w:r>
          </w:p>
        </w:tc>
      </w:tr>
      <w:tr w:rsidR="00545814" w:rsidRPr="00001B7F" w:rsidTr="00D262A4">
        <w:trPr>
          <w:cnfStyle w:val="000000100000" w:firstRow="0" w:lastRow="0" w:firstColumn="0" w:lastColumn="0" w:oddVBand="0" w:evenVBand="0" w:oddHBand="1" w:evenHBand="0" w:firstRowFirstColumn="0" w:firstRowLastColumn="0" w:lastRowFirstColumn="0" w:lastRowLastColumn="0"/>
        </w:trPr>
        <w:tc>
          <w:tcPr>
            <w:tcW w:w="2245" w:type="dxa"/>
          </w:tcPr>
          <w:p w:rsidR="00545814" w:rsidRPr="00001B7F" w:rsidRDefault="00545814" w:rsidP="00BD0669">
            <w:pPr>
              <w:rPr>
                <w:szCs w:val="22"/>
              </w:rPr>
            </w:pPr>
            <w:r w:rsidRPr="005C3FDC">
              <w:t>Marco Cavaleri</w:t>
            </w:r>
          </w:p>
        </w:tc>
        <w:tc>
          <w:tcPr>
            <w:tcW w:w="4320" w:type="dxa"/>
          </w:tcPr>
          <w:p w:rsidR="00545814" w:rsidRPr="00001B7F" w:rsidRDefault="007816F0" w:rsidP="00BD0669">
            <w:pPr>
              <w:rPr>
                <w:rFonts w:eastAsia="Times New Roman" w:cs="Times New Roman"/>
                <w:color w:val="403027"/>
                <w:szCs w:val="22"/>
                <w:bdr w:val="none" w:sz="0" w:space="0" w:color="auto" w:frame="1"/>
                <w:lang w:val="en-US" w:eastAsia="en-US"/>
              </w:rPr>
            </w:pPr>
            <w:r w:rsidRPr="005C3FDC">
              <w:t xml:space="preserve">Head of Anti-infectives </w:t>
            </w:r>
            <w:r w:rsidR="00D262A4" w:rsidRPr="005C3FDC">
              <w:t>and Vaccines</w:t>
            </w:r>
          </w:p>
        </w:tc>
        <w:tc>
          <w:tcPr>
            <w:tcW w:w="2785" w:type="dxa"/>
          </w:tcPr>
          <w:p w:rsidR="00545814" w:rsidRPr="00001B7F" w:rsidRDefault="007816F0" w:rsidP="00BD0669">
            <w:pPr>
              <w:rPr>
                <w:szCs w:val="22"/>
              </w:rPr>
            </w:pPr>
            <w:r>
              <w:rPr>
                <w:szCs w:val="22"/>
              </w:rPr>
              <w:t>European Medicines Agency, Netherlands</w:t>
            </w:r>
          </w:p>
        </w:tc>
      </w:tr>
      <w:tr w:rsidR="00545814" w:rsidRPr="00001B7F" w:rsidTr="00D262A4">
        <w:tc>
          <w:tcPr>
            <w:tcW w:w="2245" w:type="dxa"/>
          </w:tcPr>
          <w:p w:rsidR="00545814" w:rsidRPr="00001B7F" w:rsidRDefault="007816F0" w:rsidP="00BD0669">
            <w:pPr>
              <w:rPr>
                <w:szCs w:val="22"/>
              </w:rPr>
            </w:pPr>
            <w:r w:rsidRPr="005C3FDC">
              <w:t>Eric Pelfrene</w:t>
            </w:r>
          </w:p>
        </w:tc>
        <w:tc>
          <w:tcPr>
            <w:tcW w:w="4320" w:type="dxa"/>
          </w:tcPr>
          <w:p w:rsidR="00545814" w:rsidRPr="00001B7F" w:rsidRDefault="00D511FA" w:rsidP="00BD0669">
            <w:pPr>
              <w:rPr>
                <w:szCs w:val="22"/>
              </w:rPr>
            </w:pPr>
            <w:r>
              <w:t xml:space="preserve">Regulator: </w:t>
            </w:r>
            <w:r w:rsidR="00D262A4">
              <w:t xml:space="preserve">Office of Anti-infectives and </w:t>
            </w:r>
            <w:r w:rsidR="007816F0" w:rsidRPr="005C3FDC">
              <w:t>Vaccines</w:t>
            </w:r>
          </w:p>
        </w:tc>
        <w:tc>
          <w:tcPr>
            <w:tcW w:w="2785" w:type="dxa"/>
          </w:tcPr>
          <w:p w:rsidR="00545814" w:rsidRPr="00001B7F" w:rsidRDefault="007816F0" w:rsidP="00BD0669">
            <w:pPr>
              <w:rPr>
                <w:szCs w:val="22"/>
              </w:rPr>
            </w:pPr>
            <w:r>
              <w:rPr>
                <w:szCs w:val="22"/>
              </w:rPr>
              <w:t>European Medicines Agency, Netherlands</w:t>
            </w:r>
          </w:p>
        </w:tc>
      </w:tr>
      <w:tr w:rsidR="00545814" w:rsidRPr="00001B7F" w:rsidTr="00D262A4">
        <w:trPr>
          <w:cnfStyle w:val="000000100000" w:firstRow="0" w:lastRow="0" w:firstColumn="0" w:lastColumn="0" w:oddVBand="0" w:evenVBand="0" w:oddHBand="1" w:evenHBand="0" w:firstRowFirstColumn="0" w:firstRowLastColumn="0" w:lastRowFirstColumn="0" w:lastRowLastColumn="0"/>
          <w:trHeight w:val="932"/>
        </w:trPr>
        <w:tc>
          <w:tcPr>
            <w:tcW w:w="2245" w:type="dxa"/>
          </w:tcPr>
          <w:p w:rsidR="00545814" w:rsidRPr="00001B7F" w:rsidRDefault="007816F0" w:rsidP="00BD0669">
            <w:pPr>
              <w:rPr>
                <w:szCs w:val="22"/>
              </w:rPr>
            </w:pPr>
            <w:proofErr w:type="spellStart"/>
            <w:r>
              <w:rPr>
                <w:szCs w:val="22"/>
              </w:rPr>
              <w:t>Sina</w:t>
            </w:r>
            <w:proofErr w:type="spellEnd"/>
            <w:r>
              <w:rPr>
                <w:szCs w:val="22"/>
              </w:rPr>
              <w:t xml:space="preserve"> </w:t>
            </w:r>
            <w:proofErr w:type="spellStart"/>
            <w:r>
              <w:rPr>
                <w:szCs w:val="22"/>
              </w:rPr>
              <w:t>Bavari</w:t>
            </w:r>
            <w:proofErr w:type="spellEnd"/>
          </w:p>
        </w:tc>
        <w:tc>
          <w:tcPr>
            <w:tcW w:w="4320" w:type="dxa"/>
          </w:tcPr>
          <w:p w:rsidR="00545814" w:rsidRPr="00001B7F" w:rsidRDefault="007816F0" w:rsidP="00BD0669">
            <w:pPr>
              <w:rPr>
                <w:szCs w:val="22"/>
              </w:rPr>
            </w:pPr>
            <w:r>
              <w:rPr>
                <w:szCs w:val="22"/>
              </w:rPr>
              <w:t>Independent Consultant</w:t>
            </w:r>
          </w:p>
        </w:tc>
        <w:tc>
          <w:tcPr>
            <w:tcW w:w="2785" w:type="dxa"/>
          </w:tcPr>
          <w:p w:rsidR="00545814" w:rsidRPr="00001B7F" w:rsidRDefault="00545814" w:rsidP="00BD0669">
            <w:pPr>
              <w:rPr>
                <w:szCs w:val="22"/>
              </w:rPr>
            </w:pPr>
          </w:p>
        </w:tc>
      </w:tr>
      <w:tr w:rsidR="00545814" w:rsidRPr="00001B7F" w:rsidTr="00D262A4">
        <w:tc>
          <w:tcPr>
            <w:tcW w:w="2245" w:type="dxa"/>
          </w:tcPr>
          <w:p w:rsidR="00545814" w:rsidRPr="00001B7F" w:rsidRDefault="007816F0" w:rsidP="00BD0669">
            <w:pPr>
              <w:rPr>
                <w:szCs w:val="22"/>
              </w:rPr>
            </w:pPr>
            <w:r w:rsidRPr="007816F0">
              <w:rPr>
                <w:szCs w:val="22"/>
              </w:rPr>
              <w:t>Karl Erlandson</w:t>
            </w:r>
          </w:p>
        </w:tc>
        <w:tc>
          <w:tcPr>
            <w:tcW w:w="4320" w:type="dxa"/>
          </w:tcPr>
          <w:p w:rsidR="00545814" w:rsidRPr="00001B7F" w:rsidRDefault="007816F0" w:rsidP="00BD0669">
            <w:pPr>
              <w:rPr>
                <w:szCs w:val="22"/>
              </w:rPr>
            </w:pPr>
            <w:r w:rsidRPr="005C3FDC">
              <w:t>Interdisciplinary Scientist</w:t>
            </w:r>
          </w:p>
        </w:tc>
        <w:tc>
          <w:tcPr>
            <w:tcW w:w="2785" w:type="dxa"/>
          </w:tcPr>
          <w:p w:rsidR="00545814" w:rsidRPr="00001B7F" w:rsidRDefault="00F455BA" w:rsidP="00BD0669">
            <w:pPr>
              <w:rPr>
                <w:szCs w:val="22"/>
              </w:rPr>
            </w:pPr>
            <w:r w:rsidRPr="00F455BA">
              <w:rPr>
                <w:szCs w:val="22"/>
              </w:rPr>
              <w:t>Biomedical Advanced Research and Development Authority, US Department of Health and Human Services</w:t>
            </w:r>
          </w:p>
        </w:tc>
      </w:tr>
      <w:tr w:rsidR="00545814" w:rsidRPr="00001B7F" w:rsidTr="00D262A4">
        <w:trPr>
          <w:cnfStyle w:val="000000100000" w:firstRow="0" w:lastRow="0" w:firstColumn="0" w:lastColumn="0" w:oddVBand="0" w:evenVBand="0" w:oddHBand="1" w:evenHBand="0" w:firstRowFirstColumn="0" w:firstRowLastColumn="0" w:lastRowFirstColumn="0" w:lastRowLastColumn="0"/>
          <w:trHeight w:val="923"/>
        </w:trPr>
        <w:tc>
          <w:tcPr>
            <w:tcW w:w="2245" w:type="dxa"/>
          </w:tcPr>
          <w:p w:rsidR="00545814" w:rsidRPr="00001B7F" w:rsidRDefault="00545814" w:rsidP="00BD0669">
            <w:pPr>
              <w:rPr>
                <w:szCs w:val="22"/>
              </w:rPr>
            </w:pPr>
            <w:r w:rsidRPr="005C3FDC">
              <w:lastRenderedPageBreak/>
              <w:t>John Marshall</w:t>
            </w:r>
          </w:p>
        </w:tc>
        <w:tc>
          <w:tcPr>
            <w:tcW w:w="4320" w:type="dxa"/>
          </w:tcPr>
          <w:p w:rsidR="00545814" w:rsidRPr="00001B7F" w:rsidRDefault="007816F0" w:rsidP="00BD0669">
            <w:pPr>
              <w:rPr>
                <w:rFonts w:cs="Helvetica"/>
                <w:color w:val="444444"/>
                <w:szCs w:val="22"/>
                <w:shd w:val="clear" w:color="auto" w:fill="FFFFFF"/>
              </w:rPr>
            </w:pPr>
            <w:r w:rsidRPr="007816F0">
              <w:rPr>
                <w:rFonts w:cs="Helvetica"/>
                <w:color w:val="444444"/>
                <w:szCs w:val="22"/>
                <w:shd w:val="clear" w:color="auto" w:fill="FFFFFF"/>
              </w:rPr>
              <w:t>Co-Director, Critical Illness and Injury Research Centre, St Michael Hospital, Canada</w:t>
            </w:r>
          </w:p>
        </w:tc>
        <w:tc>
          <w:tcPr>
            <w:tcW w:w="2785" w:type="dxa"/>
          </w:tcPr>
          <w:p w:rsidR="00545814" w:rsidRPr="00001B7F" w:rsidRDefault="00545814" w:rsidP="00BD0669">
            <w:pPr>
              <w:rPr>
                <w:szCs w:val="22"/>
              </w:rPr>
            </w:pPr>
            <w:r w:rsidRPr="005C3FDC">
              <w:t>Co-Director, Critical Illness Research, St Michaels Hospital</w:t>
            </w:r>
          </w:p>
        </w:tc>
      </w:tr>
      <w:tr w:rsidR="00545814" w:rsidRPr="00001B7F" w:rsidTr="00D262A4">
        <w:tc>
          <w:tcPr>
            <w:tcW w:w="2245" w:type="dxa"/>
          </w:tcPr>
          <w:p w:rsidR="00545814" w:rsidRPr="00001B7F" w:rsidRDefault="007816F0" w:rsidP="00BD0669">
            <w:pPr>
              <w:rPr>
                <w:szCs w:val="22"/>
              </w:rPr>
            </w:pPr>
            <w:r w:rsidRPr="007816F0">
              <w:rPr>
                <w:szCs w:val="22"/>
              </w:rPr>
              <w:t>Ross Upshur</w:t>
            </w:r>
          </w:p>
        </w:tc>
        <w:tc>
          <w:tcPr>
            <w:tcW w:w="4320" w:type="dxa"/>
          </w:tcPr>
          <w:p w:rsidR="00545814" w:rsidRPr="00001B7F" w:rsidRDefault="00421EB2" w:rsidP="00BD0669">
            <w:pPr>
              <w:rPr>
                <w:szCs w:val="22"/>
              </w:rPr>
            </w:pPr>
            <w:r>
              <w:rPr>
                <w:szCs w:val="22"/>
              </w:rPr>
              <w:t xml:space="preserve">Director, Primary Care </w:t>
            </w:r>
            <w:r w:rsidRPr="00421EB2">
              <w:rPr>
                <w:szCs w:val="22"/>
              </w:rPr>
              <w:t>Research Unit, Sunnybrook and Women’s College Health</w:t>
            </w:r>
            <w:r>
              <w:rPr>
                <w:szCs w:val="22"/>
              </w:rPr>
              <w:t xml:space="preserve"> </w:t>
            </w:r>
            <w:r w:rsidRPr="00421EB2">
              <w:rPr>
                <w:szCs w:val="22"/>
              </w:rPr>
              <w:t>Sciences Centre, Canada Research Chair in Primary Care Research</w:t>
            </w:r>
          </w:p>
        </w:tc>
        <w:tc>
          <w:tcPr>
            <w:tcW w:w="2785" w:type="dxa"/>
          </w:tcPr>
          <w:p w:rsidR="00545814" w:rsidRPr="00001B7F" w:rsidRDefault="006F08A5" w:rsidP="00BD0669">
            <w:pPr>
              <w:rPr>
                <w:szCs w:val="22"/>
              </w:rPr>
            </w:pPr>
            <w:r>
              <w:rPr>
                <w:szCs w:val="22"/>
              </w:rPr>
              <w:t xml:space="preserve"> University of Toronto</w:t>
            </w:r>
            <w:r w:rsidR="00421EB2">
              <w:rPr>
                <w:szCs w:val="22"/>
              </w:rPr>
              <w:t>, Canada</w:t>
            </w:r>
          </w:p>
        </w:tc>
      </w:tr>
      <w:tr w:rsidR="00545814" w:rsidRPr="00001B7F" w:rsidTr="00D262A4">
        <w:trPr>
          <w:cnfStyle w:val="000000100000" w:firstRow="0" w:lastRow="0" w:firstColumn="0" w:lastColumn="0" w:oddVBand="0" w:evenVBand="0" w:oddHBand="1" w:evenHBand="0" w:firstRowFirstColumn="0" w:firstRowLastColumn="0" w:lastRowFirstColumn="0" w:lastRowLastColumn="0"/>
        </w:trPr>
        <w:tc>
          <w:tcPr>
            <w:tcW w:w="2245" w:type="dxa"/>
          </w:tcPr>
          <w:p w:rsidR="00545814" w:rsidRPr="00001B7F" w:rsidRDefault="006F08A5" w:rsidP="00BD0669">
            <w:pPr>
              <w:rPr>
                <w:szCs w:val="22"/>
              </w:rPr>
            </w:pPr>
            <w:r w:rsidRPr="006F08A5">
              <w:rPr>
                <w:szCs w:val="22"/>
              </w:rPr>
              <w:t>John Beigel</w:t>
            </w:r>
          </w:p>
        </w:tc>
        <w:tc>
          <w:tcPr>
            <w:tcW w:w="4320" w:type="dxa"/>
          </w:tcPr>
          <w:p w:rsidR="00545814" w:rsidRPr="00001B7F" w:rsidRDefault="00421EB2" w:rsidP="00BD0669">
            <w:pPr>
              <w:rPr>
                <w:b/>
                <w:bCs/>
                <w:szCs w:val="22"/>
              </w:rPr>
            </w:pPr>
            <w:r w:rsidRPr="00421EB2">
              <w:rPr>
                <w:bCs/>
                <w:szCs w:val="22"/>
              </w:rPr>
              <w:t>Associate Director for Clinical Research</w:t>
            </w:r>
          </w:p>
        </w:tc>
        <w:tc>
          <w:tcPr>
            <w:tcW w:w="2785" w:type="dxa"/>
          </w:tcPr>
          <w:p w:rsidR="00545814" w:rsidRPr="00001B7F" w:rsidRDefault="006F08A5" w:rsidP="00BD0669">
            <w:pPr>
              <w:rPr>
                <w:szCs w:val="22"/>
              </w:rPr>
            </w:pPr>
            <w:r>
              <w:rPr>
                <w:szCs w:val="22"/>
              </w:rPr>
              <w:t>NIH, USA</w:t>
            </w:r>
          </w:p>
        </w:tc>
      </w:tr>
      <w:tr w:rsidR="00545814" w:rsidRPr="00001B7F" w:rsidTr="00D262A4">
        <w:tc>
          <w:tcPr>
            <w:tcW w:w="2245" w:type="dxa"/>
          </w:tcPr>
          <w:p w:rsidR="00545814" w:rsidRPr="00001B7F" w:rsidRDefault="006F08A5" w:rsidP="00BD0669">
            <w:pPr>
              <w:rPr>
                <w:szCs w:val="22"/>
              </w:rPr>
            </w:pPr>
            <w:r w:rsidRPr="006F08A5">
              <w:rPr>
                <w:szCs w:val="22"/>
              </w:rPr>
              <w:t>Thomas Fleming</w:t>
            </w:r>
          </w:p>
        </w:tc>
        <w:tc>
          <w:tcPr>
            <w:tcW w:w="4320" w:type="dxa"/>
          </w:tcPr>
          <w:p w:rsidR="00545814" w:rsidRPr="00001B7F" w:rsidRDefault="00421EB2" w:rsidP="00BD0669">
            <w:pPr>
              <w:rPr>
                <w:b/>
                <w:bCs/>
                <w:szCs w:val="22"/>
              </w:rPr>
            </w:pPr>
            <w:r>
              <w:rPr>
                <w:bCs/>
                <w:szCs w:val="22"/>
              </w:rPr>
              <w:t>Professor of Biostatistics</w:t>
            </w:r>
          </w:p>
        </w:tc>
        <w:tc>
          <w:tcPr>
            <w:tcW w:w="2785" w:type="dxa"/>
          </w:tcPr>
          <w:p w:rsidR="00545814" w:rsidRPr="00001B7F" w:rsidRDefault="006F08A5" w:rsidP="00BD0669">
            <w:pPr>
              <w:rPr>
                <w:szCs w:val="22"/>
              </w:rPr>
            </w:pPr>
            <w:r>
              <w:rPr>
                <w:szCs w:val="22"/>
              </w:rPr>
              <w:t>University of Washington</w:t>
            </w:r>
            <w:r w:rsidR="00850930">
              <w:rPr>
                <w:szCs w:val="22"/>
              </w:rPr>
              <w:t>. USA</w:t>
            </w:r>
          </w:p>
        </w:tc>
      </w:tr>
      <w:tr w:rsidR="00545814" w:rsidRPr="00001B7F" w:rsidTr="00D262A4">
        <w:trPr>
          <w:cnfStyle w:val="000000100000" w:firstRow="0" w:lastRow="0" w:firstColumn="0" w:lastColumn="0" w:oddVBand="0" w:evenVBand="0" w:oddHBand="1" w:evenHBand="0" w:firstRowFirstColumn="0" w:firstRowLastColumn="0" w:lastRowFirstColumn="0" w:lastRowLastColumn="0"/>
        </w:trPr>
        <w:tc>
          <w:tcPr>
            <w:tcW w:w="2245" w:type="dxa"/>
          </w:tcPr>
          <w:p w:rsidR="00545814" w:rsidRPr="00001B7F" w:rsidRDefault="00EA2A54" w:rsidP="00BD0669">
            <w:pPr>
              <w:rPr>
                <w:szCs w:val="22"/>
              </w:rPr>
            </w:pPr>
            <w:r w:rsidRPr="00EA2A54">
              <w:rPr>
                <w:szCs w:val="22"/>
              </w:rPr>
              <w:t>John Farley</w:t>
            </w:r>
          </w:p>
        </w:tc>
        <w:tc>
          <w:tcPr>
            <w:tcW w:w="4320" w:type="dxa"/>
          </w:tcPr>
          <w:p w:rsidR="00545814" w:rsidRPr="00001B7F" w:rsidRDefault="00F455BA" w:rsidP="00BD0669">
            <w:pPr>
              <w:rPr>
                <w:b/>
                <w:bCs/>
                <w:szCs w:val="22"/>
              </w:rPr>
            </w:pPr>
            <w:r>
              <w:rPr>
                <w:bCs/>
                <w:szCs w:val="22"/>
              </w:rPr>
              <w:t>Director, Office of Infectious Diseases</w:t>
            </w:r>
          </w:p>
        </w:tc>
        <w:tc>
          <w:tcPr>
            <w:tcW w:w="2785" w:type="dxa"/>
          </w:tcPr>
          <w:p w:rsidR="00545814" w:rsidRPr="00001B7F" w:rsidRDefault="00F455BA" w:rsidP="00BD0669">
            <w:pPr>
              <w:rPr>
                <w:szCs w:val="22"/>
              </w:rPr>
            </w:pPr>
            <w:r w:rsidRPr="00F455BA">
              <w:rPr>
                <w:szCs w:val="22"/>
              </w:rPr>
              <w:t>FDA, USA</w:t>
            </w:r>
          </w:p>
        </w:tc>
      </w:tr>
      <w:tr w:rsidR="006F08A5" w:rsidRPr="00001B7F" w:rsidTr="00D262A4">
        <w:tc>
          <w:tcPr>
            <w:tcW w:w="2245" w:type="dxa"/>
          </w:tcPr>
          <w:p w:rsidR="006F08A5" w:rsidRPr="00001B7F" w:rsidRDefault="00EA2A54" w:rsidP="00BD0669">
            <w:pPr>
              <w:rPr>
                <w:szCs w:val="22"/>
              </w:rPr>
            </w:pPr>
            <w:r w:rsidRPr="00EA2A54">
              <w:rPr>
                <w:szCs w:val="22"/>
              </w:rPr>
              <w:t>Regine Lehnert</w:t>
            </w:r>
          </w:p>
        </w:tc>
        <w:tc>
          <w:tcPr>
            <w:tcW w:w="4320" w:type="dxa"/>
          </w:tcPr>
          <w:p w:rsidR="006F08A5" w:rsidRPr="00D511FA" w:rsidRDefault="00D511FA" w:rsidP="00BD0669">
            <w:pPr>
              <w:rPr>
                <w:bCs/>
                <w:szCs w:val="22"/>
              </w:rPr>
            </w:pPr>
            <w:r w:rsidRPr="00D511FA">
              <w:rPr>
                <w:bCs/>
                <w:szCs w:val="22"/>
              </w:rPr>
              <w:t>Regulator</w:t>
            </w:r>
          </w:p>
        </w:tc>
        <w:tc>
          <w:tcPr>
            <w:tcW w:w="2785" w:type="dxa"/>
          </w:tcPr>
          <w:p w:rsidR="006F08A5" w:rsidRPr="00001B7F" w:rsidRDefault="00421EB2" w:rsidP="00BD0669">
            <w:pPr>
              <w:rPr>
                <w:szCs w:val="22"/>
              </w:rPr>
            </w:pPr>
            <w:r w:rsidRPr="00421EB2">
              <w:rPr>
                <w:szCs w:val="22"/>
              </w:rPr>
              <w:t>Federal Institute for Drugs and Medical Devices</w:t>
            </w:r>
            <w:r>
              <w:rPr>
                <w:szCs w:val="22"/>
              </w:rPr>
              <w:t>, Germany</w:t>
            </w:r>
          </w:p>
        </w:tc>
      </w:tr>
      <w:tr w:rsidR="00E951AF" w:rsidRPr="00001B7F" w:rsidTr="00D262A4">
        <w:trPr>
          <w:cnfStyle w:val="000000100000" w:firstRow="0" w:lastRow="0" w:firstColumn="0" w:lastColumn="0" w:oddVBand="0" w:evenVBand="0" w:oddHBand="1" w:evenHBand="0" w:firstRowFirstColumn="0" w:firstRowLastColumn="0" w:lastRowFirstColumn="0" w:lastRowLastColumn="0"/>
        </w:trPr>
        <w:tc>
          <w:tcPr>
            <w:tcW w:w="2245" w:type="dxa"/>
          </w:tcPr>
          <w:p w:rsidR="00E951AF" w:rsidRPr="00EA2A54" w:rsidRDefault="00E951AF" w:rsidP="00BD0669">
            <w:pPr>
              <w:rPr>
                <w:szCs w:val="22"/>
              </w:rPr>
            </w:pPr>
            <w:r>
              <w:rPr>
                <w:szCs w:val="22"/>
              </w:rPr>
              <w:t>Steven Kern</w:t>
            </w:r>
          </w:p>
        </w:tc>
        <w:tc>
          <w:tcPr>
            <w:tcW w:w="4320" w:type="dxa"/>
          </w:tcPr>
          <w:p w:rsidR="00E951AF" w:rsidRPr="00EC0F8F" w:rsidRDefault="00E951AF" w:rsidP="00E951AF">
            <w:pPr>
              <w:rPr>
                <w:bCs/>
                <w:szCs w:val="22"/>
              </w:rPr>
            </w:pPr>
            <w:r w:rsidRPr="00E951AF">
              <w:rPr>
                <w:bCs/>
                <w:szCs w:val="22"/>
              </w:rPr>
              <w:t xml:space="preserve">Deputy </w:t>
            </w:r>
            <w:r>
              <w:rPr>
                <w:bCs/>
                <w:szCs w:val="22"/>
              </w:rPr>
              <w:t xml:space="preserve">Director, Quantitative Sciences- </w:t>
            </w:r>
            <w:r w:rsidRPr="00E951AF">
              <w:rPr>
                <w:bCs/>
                <w:szCs w:val="22"/>
              </w:rPr>
              <w:t>Global Health – Integrated Development</w:t>
            </w:r>
          </w:p>
        </w:tc>
        <w:tc>
          <w:tcPr>
            <w:tcW w:w="2785" w:type="dxa"/>
          </w:tcPr>
          <w:p w:rsidR="00E951AF" w:rsidRDefault="00E951AF" w:rsidP="00BD0669">
            <w:pPr>
              <w:rPr>
                <w:szCs w:val="22"/>
              </w:rPr>
            </w:pPr>
            <w:r w:rsidRPr="00E951AF">
              <w:rPr>
                <w:szCs w:val="22"/>
              </w:rPr>
              <w:t>Bill &amp; Melinda Gates Foundation, USA</w:t>
            </w:r>
          </w:p>
        </w:tc>
      </w:tr>
      <w:tr w:rsidR="00EA2A54" w:rsidRPr="00001B7F" w:rsidTr="00D262A4">
        <w:tc>
          <w:tcPr>
            <w:tcW w:w="2245" w:type="dxa"/>
          </w:tcPr>
          <w:p w:rsidR="00EA2A54" w:rsidRPr="00EA2A54" w:rsidRDefault="00EA2A54" w:rsidP="00BD0669">
            <w:pPr>
              <w:rPr>
                <w:szCs w:val="22"/>
              </w:rPr>
            </w:pPr>
            <w:r w:rsidRPr="00EA2A54">
              <w:rPr>
                <w:szCs w:val="22"/>
              </w:rPr>
              <w:t>Monalisa Chatterji</w:t>
            </w:r>
          </w:p>
        </w:tc>
        <w:tc>
          <w:tcPr>
            <w:tcW w:w="4320" w:type="dxa"/>
          </w:tcPr>
          <w:p w:rsidR="00EA2A54" w:rsidRPr="00001B7F" w:rsidRDefault="00EC0F8F" w:rsidP="00BD0669">
            <w:pPr>
              <w:rPr>
                <w:b/>
                <w:bCs/>
                <w:szCs w:val="22"/>
              </w:rPr>
            </w:pPr>
            <w:r w:rsidRPr="00EC0F8F">
              <w:rPr>
                <w:bCs/>
                <w:szCs w:val="22"/>
              </w:rPr>
              <w:t>Senior Program Officer, Discovery &amp; Translational Science</w:t>
            </w:r>
          </w:p>
        </w:tc>
        <w:tc>
          <w:tcPr>
            <w:tcW w:w="2785" w:type="dxa"/>
          </w:tcPr>
          <w:p w:rsidR="00EA2A54" w:rsidRPr="00001B7F" w:rsidRDefault="00EC0F8F" w:rsidP="00BD0669">
            <w:pPr>
              <w:rPr>
                <w:szCs w:val="22"/>
              </w:rPr>
            </w:pPr>
            <w:r>
              <w:rPr>
                <w:szCs w:val="22"/>
              </w:rPr>
              <w:t>Bill &amp; Melinda Gates Foundation</w:t>
            </w:r>
            <w:r w:rsidR="00F455BA">
              <w:rPr>
                <w:szCs w:val="22"/>
              </w:rPr>
              <w:t>, USA</w:t>
            </w:r>
          </w:p>
        </w:tc>
      </w:tr>
      <w:tr w:rsidR="00E951AF" w:rsidRPr="00001B7F" w:rsidTr="00D262A4">
        <w:trPr>
          <w:cnfStyle w:val="000000100000" w:firstRow="0" w:lastRow="0" w:firstColumn="0" w:lastColumn="0" w:oddVBand="0" w:evenVBand="0" w:oddHBand="1" w:evenHBand="0" w:firstRowFirstColumn="0" w:firstRowLastColumn="0" w:lastRowFirstColumn="0" w:lastRowLastColumn="0"/>
        </w:trPr>
        <w:tc>
          <w:tcPr>
            <w:tcW w:w="2245" w:type="dxa"/>
          </w:tcPr>
          <w:p w:rsidR="00E951AF" w:rsidRPr="00EA2A54" w:rsidRDefault="00E951AF" w:rsidP="00E951AF">
            <w:r w:rsidRPr="00EA2A54">
              <w:t>David Vaughn</w:t>
            </w:r>
          </w:p>
        </w:tc>
        <w:tc>
          <w:tcPr>
            <w:tcW w:w="4320" w:type="dxa"/>
          </w:tcPr>
          <w:p w:rsidR="00E951AF" w:rsidRPr="00001B7F" w:rsidRDefault="00E951AF" w:rsidP="00E951AF">
            <w:pPr>
              <w:rPr>
                <w:b/>
                <w:bCs/>
              </w:rPr>
            </w:pPr>
            <w:r>
              <w:rPr>
                <w:bCs/>
              </w:rPr>
              <w:t>Senior Program Officer</w:t>
            </w:r>
          </w:p>
        </w:tc>
        <w:tc>
          <w:tcPr>
            <w:tcW w:w="2785" w:type="dxa"/>
          </w:tcPr>
          <w:p w:rsidR="00E951AF" w:rsidRPr="00001B7F" w:rsidRDefault="00E951AF" w:rsidP="00E951AF">
            <w:r>
              <w:t>Bill &amp; Melinda Gates Foundation, USA</w:t>
            </w:r>
          </w:p>
        </w:tc>
      </w:tr>
      <w:tr w:rsidR="00E951AF" w:rsidRPr="00001B7F" w:rsidTr="00D262A4">
        <w:tc>
          <w:tcPr>
            <w:tcW w:w="2245" w:type="dxa"/>
          </w:tcPr>
          <w:p w:rsidR="00E951AF" w:rsidRPr="00EA2A54" w:rsidRDefault="00E951AF" w:rsidP="00E951AF">
            <w:pPr>
              <w:rPr>
                <w:szCs w:val="22"/>
              </w:rPr>
            </w:pPr>
            <w:r w:rsidRPr="00EA2A54">
              <w:rPr>
                <w:szCs w:val="22"/>
              </w:rPr>
              <w:t>Michael Kaufmann</w:t>
            </w:r>
          </w:p>
        </w:tc>
        <w:tc>
          <w:tcPr>
            <w:tcW w:w="4320" w:type="dxa"/>
          </w:tcPr>
          <w:p w:rsidR="00E951AF" w:rsidRPr="00001B7F" w:rsidRDefault="00E951AF" w:rsidP="00E951AF">
            <w:pPr>
              <w:rPr>
                <w:b/>
                <w:bCs/>
                <w:szCs w:val="22"/>
              </w:rPr>
            </w:pPr>
            <w:r>
              <w:rPr>
                <w:bCs/>
                <w:szCs w:val="22"/>
              </w:rPr>
              <w:t>Manager- Advisory</w:t>
            </w:r>
          </w:p>
        </w:tc>
        <w:tc>
          <w:tcPr>
            <w:tcW w:w="2785" w:type="dxa"/>
          </w:tcPr>
          <w:p w:rsidR="00E951AF" w:rsidRPr="00001B7F" w:rsidRDefault="00E951AF" w:rsidP="00E951AF">
            <w:pPr>
              <w:rPr>
                <w:szCs w:val="22"/>
              </w:rPr>
            </w:pPr>
            <w:r>
              <w:rPr>
                <w:szCs w:val="22"/>
              </w:rPr>
              <w:t>Price</w:t>
            </w:r>
            <w:r w:rsidR="00850930">
              <w:rPr>
                <w:szCs w:val="22"/>
              </w:rPr>
              <w:t xml:space="preserve"> </w:t>
            </w:r>
            <w:r>
              <w:rPr>
                <w:szCs w:val="22"/>
              </w:rPr>
              <w:t>Waterhouse Cooper,</w:t>
            </w:r>
            <w:r w:rsidR="00850930">
              <w:rPr>
                <w:szCs w:val="22"/>
              </w:rPr>
              <w:t xml:space="preserve"> </w:t>
            </w:r>
            <w:r>
              <w:rPr>
                <w:szCs w:val="22"/>
              </w:rPr>
              <w:t>USA</w:t>
            </w:r>
          </w:p>
        </w:tc>
      </w:tr>
      <w:tr w:rsidR="00E951AF" w:rsidRPr="00001B7F" w:rsidTr="00D262A4">
        <w:trPr>
          <w:cnfStyle w:val="000000100000" w:firstRow="0" w:lastRow="0" w:firstColumn="0" w:lastColumn="0" w:oddVBand="0" w:evenVBand="0" w:oddHBand="1" w:evenHBand="0" w:firstRowFirstColumn="0" w:firstRowLastColumn="0" w:lastRowFirstColumn="0" w:lastRowLastColumn="0"/>
        </w:trPr>
        <w:tc>
          <w:tcPr>
            <w:tcW w:w="2245" w:type="dxa"/>
          </w:tcPr>
          <w:p w:rsidR="00E951AF" w:rsidRPr="00EA2A54" w:rsidRDefault="00E951AF" w:rsidP="00E951AF">
            <w:r>
              <w:t>Robert Walker</w:t>
            </w:r>
          </w:p>
        </w:tc>
        <w:tc>
          <w:tcPr>
            <w:tcW w:w="4320" w:type="dxa"/>
          </w:tcPr>
          <w:p w:rsidR="00E951AF" w:rsidRPr="00001B7F" w:rsidRDefault="00E951AF" w:rsidP="00E951AF">
            <w:pPr>
              <w:rPr>
                <w:b/>
                <w:bCs/>
              </w:rPr>
            </w:pPr>
            <w:r w:rsidRPr="00F455BA">
              <w:rPr>
                <w:bCs/>
              </w:rPr>
              <w:t>Chief Medical Officer and Director, Division of Clinical Development</w:t>
            </w:r>
          </w:p>
        </w:tc>
        <w:tc>
          <w:tcPr>
            <w:tcW w:w="2785" w:type="dxa"/>
          </w:tcPr>
          <w:p w:rsidR="00E951AF" w:rsidRPr="00001B7F" w:rsidRDefault="00E951AF" w:rsidP="00E951AF">
            <w:r w:rsidRPr="00F455BA">
              <w:t xml:space="preserve">Biomedical Advanced Research and Development Authority, </w:t>
            </w:r>
            <w:r w:rsidRPr="00F455BA">
              <w:lastRenderedPageBreak/>
              <w:t>US Department of Health and Human Services</w:t>
            </w:r>
            <w:r w:rsidR="00AC15FE">
              <w:t>. USA</w:t>
            </w:r>
          </w:p>
        </w:tc>
      </w:tr>
      <w:tr w:rsidR="00E951AF" w:rsidRPr="00001B7F" w:rsidTr="00D262A4">
        <w:tc>
          <w:tcPr>
            <w:tcW w:w="2245" w:type="dxa"/>
          </w:tcPr>
          <w:p w:rsidR="00E951AF" w:rsidRPr="00EA2A54" w:rsidRDefault="00E951AF" w:rsidP="00E951AF">
            <w:r>
              <w:lastRenderedPageBreak/>
              <w:t>Julia Tree</w:t>
            </w:r>
          </w:p>
        </w:tc>
        <w:tc>
          <w:tcPr>
            <w:tcW w:w="4320" w:type="dxa"/>
          </w:tcPr>
          <w:p w:rsidR="00E951AF" w:rsidRPr="00001B7F" w:rsidRDefault="00E951AF" w:rsidP="00E951AF">
            <w:pPr>
              <w:rPr>
                <w:b/>
                <w:bCs/>
              </w:rPr>
            </w:pPr>
            <w:r>
              <w:rPr>
                <w:bCs/>
              </w:rPr>
              <w:t>Microbiological Services</w:t>
            </w:r>
          </w:p>
        </w:tc>
        <w:tc>
          <w:tcPr>
            <w:tcW w:w="2785" w:type="dxa"/>
          </w:tcPr>
          <w:p w:rsidR="00E951AF" w:rsidRPr="00001B7F" w:rsidRDefault="00E951AF" w:rsidP="00E951AF">
            <w:r>
              <w:t>Public Health England</w:t>
            </w:r>
            <w:r w:rsidR="00AC15FE">
              <w:t>. UK</w:t>
            </w:r>
          </w:p>
        </w:tc>
      </w:tr>
      <w:tr w:rsidR="00E951AF" w:rsidRPr="00001B7F" w:rsidTr="00D262A4">
        <w:trPr>
          <w:cnfStyle w:val="000000100000" w:firstRow="0" w:lastRow="0" w:firstColumn="0" w:lastColumn="0" w:oddVBand="0" w:evenVBand="0" w:oddHBand="1" w:evenHBand="0" w:firstRowFirstColumn="0" w:firstRowLastColumn="0" w:lastRowFirstColumn="0" w:lastRowLastColumn="0"/>
        </w:trPr>
        <w:tc>
          <w:tcPr>
            <w:tcW w:w="2245" w:type="dxa"/>
          </w:tcPr>
          <w:p w:rsidR="00E951AF" w:rsidRDefault="00E951AF" w:rsidP="00E951AF">
            <w:r>
              <w:t>Frederick Hayden</w:t>
            </w:r>
          </w:p>
        </w:tc>
        <w:tc>
          <w:tcPr>
            <w:tcW w:w="4320" w:type="dxa"/>
          </w:tcPr>
          <w:p w:rsidR="00E951AF" w:rsidRPr="007D21C6" w:rsidRDefault="00E951AF" w:rsidP="00E951AF">
            <w:pPr>
              <w:rPr>
                <w:rFonts w:eastAsiaTheme="majorEastAsia" w:cstheme="majorBidi"/>
                <w:bCs/>
                <w:lang w:eastAsia="ja-JP"/>
              </w:rPr>
            </w:pPr>
            <w:r w:rsidRPr="007D21C6">
              <w:rPr>
                <w:rFonts w:eastAsiaTheme="majorEastAsia" w:cstheme="majorBidi"/>
                <w:bCs/>
                <w:lang w:eastAsia="ja-JP"/>
              </w:rPr>
              <w:t>Professor Emeritus, Medicine: Infectious Diseases and International Health</w:t>
            </w:r>
          </w:p>
        </w:tc>
        <w:tc>
          <w:tcPr>
            <w:tcW w:w="2785" w:type="dxa"/>
          </w:tcPr>
          <w:p w:rsidR="00E951AF" w:rsidRPr="00001B7F" w:rsidRDefault="00E951AF" w:rsidP="00E951AF">
            <w:r>
              <w:t>University of Virginia</w:t>
            </w:r>
            <w:r w:rsidR="00AC15FE">
              <w:t>. USA</w:t>
            </w:r>
          </w:p>
        </w:tc>
      </w:tr>
      <w:tr w:rsidR="00E951AF" w:rsidRPr="00001B7F" w:rsidTr="00D262A4">
        <w:tc>
          <w:tcPr>
            <w:tcW w:w="2245" w:type="dxa"/>
          </w:tcPr>
          <w:p w:rsidR="00E951AF" w:rsidRDefault="00E951AF" w:rsidP="00E951AF">
            <w:r w:rsidRPr="007D21C6">
              <w:t>Jacqueline Kirchner</w:t>
            </w:r>
          </w:p>
        </w:tc>
        <w:tc>
          <w:tcPr>
            <w:tcW w:w="4320" w:type="dxa"/>
          </w:tcPr>
          <w:p w:rsidR="00E951AF" w:rsidRPr="007D21C6" w:rsidRDefault="00E951AF" w:rsidP="00E951AF">
            <w:pPr>
              <w:rPr>
                <w:rFonts w:eastAsiaTheme="majorEastAsia" w:cstheme="majorBidi"/>
                <w:bCs/>
                <w:lang w:eastAsia="ja-JP"/>
              </w:rPr>
            </w:pPr>
            <w:r>
              <w:rPr>
                <w:rFonts w:eastAsiaTheme="majorEastAsia" w:cstheme="majorBidi"/>
                <w:bCs/>
                <w:lang w:eastAsia="ja-JP"/>
              </w:rPr>
              <w:t>Senior Program Officer</w:t>
            </w:r>
          </w:p>
        </w:tc>
        <w:tc>
          <w:tcPr>
            <w:tcW w:w="2785" w:type="dxa"/>
          </w:tcPr>
          <w:p w:rsidR="00E951AF" w:rsidRDefault="00E951AF" w:rsidP="00E951AF">
            <w:r w:rsidRPr="007D21C6">
              <w:t>Bill &amp; Melinda Gates Foundation, USA</w:t>
            </w:r>
          </w:p>
        </w:tc>
      </w:tr>
      <w:tr w:rsidR="00E951AF" w:rsidRPr="00001B7F" w:rsidTr="00D262A4">
        <w:trPr>
          <w:cnfStyle w:val="000000100000" w:firstRow="0" w:lastRow="0" w:firstColumn="0" w:lastColumn="0" w:oddVBand="0" w:evenVBand="0" w:oddHBand="1" w:evenHBand="0" w:firstRowFirstColumn="0" w:firstRowLastColumn="0" w:lastRowFirstColumn="0" w:lastRowLastColumn="0"/>
        </w:trPr>
        <w:tc>
          <w:tcPr>
            <w:tcW w:w="2245" w:type="dxa"/>
          </w:tcPr>
          <w:p w:rsidR="00E951AF" w:rsidRPr="007D21C6" w:rsidRDefault="00E951AF" w:rsidP="00E951AF">
            <w:r>
              <w:t>Elizabeth Higgs</w:t>
            </w:r>
          </w:p>
        </w:tc>
        <w:tc>
          <w:tcPr>
            <w:tcW w:w="4320" w:type="dxa"/>
          </w:tcPr>
          <w:p w:rsidR="00E951AF" w:rsidRDefault="00E951AF" w:rsidP="00E951AF">
            <w:pPr>
              <w:rPr>
                <w:rFonts w:eastAsiaTheme="majorEastAsia" w:cstheme="majorBidi"/>
                <w:bCs/>
                <w:lang w:eastAsia="ja-JP"/>
              </w:rPr>
            </w:pPr>
            <w:r>
              <w:rPr>
                <w:rFonts w:eastAsiaTheme="majorEastAsia" w:cstheme="majorBidi"/>
                <w:bCs/>
                <w:lang w:eastAsia="ja-JP"/>
              </w:rPr>
              <w:t>G</w:t>
            </w:r>
            <w:r w:rsidRPr="007D21C6">
              <w:rPr>
                <w:rFonts w:eastAsiaTheme="majorEastAsia" w:cstheme="majorBidi"/>
                <w:bCs/>
                <w:lang w:eastAsia="ja-JP"/>
              </w:rPr>
              <w:t>lobal health science advisor for the Division of Clinical Research (DCR)</w:t>
            </w:r>
          </w:p>
        </w:tc>
        <w:tc>
          <w:tcPr>
            <w:tcW w:w="2785" w:type="dxa"/>
          </w:tcPr>
          <w:p w:rsidR="00E951AF" w:rsidRPr="007D21C6" w:rsidRDefault="00E951AF" w:rsidP="00E951AF">
            <w:r>
              <w:t>NIH. USA</w:t>
            </w:r>
          </w:p>
        </w:tc>
      </w:tr>
      <w:tr w:rsidR="00E951AF" w:rsidRPr="00001B7F" w:rsidTr="00D262A4">
        <w:tc>
          <w:tcPr>
            <w:tcW w:w="2245" w:type="dxa"/>
          </w:tcPr>
          <w:p w:rsidR="00E951AF" w:rsidRDefault="00E951AF" w:rsidP="00E951AF">
            <w:r>
              <w:t>Helen Rees</w:t>
            </w:r>
          </w:p>
        </w:tc>
        <w:tc>
          <w:tcPr>
            <w:tcW w:w="4320" w:type="dxa"/>
          </w:tcPr>
          <w:p w:rsidR="00E951AF" w:rsidRDefault="00E951AF" w:rsidP="00E951AF">
            <w:pPr>
              <w:rPr>
                <w:rFonts w:eastAsiaTheme="majorEastAsia" w:cstheme="majorBidi"/>
                <w:bCs/>
                <w:lang w:eastAsia="ja-JP"/>
              </w:rPr>
            </w:pPr>
            <w:r>
              <w:rPr>
                <w:rFonts w:eastAsiaTheme="majorEastAsia" w:cstheme="majorBidi"/>
                <w:bCs/>
                <w:lang w:eastAsia="ja-JP"/>
              </w:rPr>
              <w:t xml:space="preserve">Professor, </w:t>
            </w:r>
            <w:r w:rsidRPr="007D21C6">
              <w:rPr>
                <w:rFonts w:eastAsiaTheme="majorEastAsia" w:cstheme="majorBidi"/>
                <w:bCs/>
                <w:lang w:eastAsia="ja-JP"/>
              </w:rPr>
              <w:t>Wits Reproductive Health and HIV Institute</w:t>
            </w:r>
          </w:p>
        </w:tc>
        <w:tc>
          <w:tcPr>
            <w:tcW w:w="2785" w:type="dxa"/>
          </w:tcPr>
          <w:p w:rsidR="00E951AF" w:rsidRDefault="00E951AF" w:rsidP="00E951AF">
            <w:r>
              <w:t>University of Witwatersrand, South Africa</w:t>
            </w:r>
          </w:p>
        </w:tc>
      </w:tr>
      <w:tr w:rsidR="00E951AF" w:rsidRPr="00001B7F" w:rsidTr="00D262A4">
        <w:trPr>
          <w:cnfStyle w:val="000000100000" w:firstRow="0" w:lastRow="0" w:firstColumn="0" w:lastColumn="0" w:oddVBand="0" w:evenVBand="0" w:oddHBand="1" w:evenHBand="0" w:firstRowFirstColumn="0" w:firstRowLastColumn="0" w:lastRowFirstColumn="0" w:lastRowLastColumn="0"/>
        </w:trPr>
        <w:tc>
          <w:tcPr>
            <w:tcW w:w="2245" w:type="dxa"/>
          </w:tcPr>
          <w:p w:rsidR="00E951AF" w:rsidRDefault="00E951AF" w:rsidP="00E951AF">
            <w:r>
              <w:t xml:space="preserve">Matthew </w:t>
            </w:r>
            <w:proofErr w:type="spellStart"/>
            <w:r>
              <w:t>Frieman</w:t>
            </w:r>
            <w:proofErr w:type="spellEnd"/>
          </w:p>
        </w:tc>
        <w:tc>
          <w:tcPr>
            <w:tcW w:w="4320" w:type="dxa"/>
          </w:tcPr>
          <w:p w:rsidR="00E951AF" w:rsidRDefault="00E951AF" w:rsidP="00E951AF">
            <w:pPr>
              <w:rPr>
                <w:rFonts w:eastAsiaTheme="majorEastAsia" w:cstheme="majorBidi"/>
                <w:bCs/>
                <w:lang w:eastAsia="ja-JP"/>
              </w:rPr>
            </w:pPr>
            <w:r>
              <w:rPr>
                <w:rFonts w:eastAsiaTheme="majorEastAsia" w:cstheme="majorBidi"/>
                <w:bCs/>
                <w:lang w:eastAsia="ja-JP"/>
              </w:rPr>
              <w:t xml:space="preserve">Associate Professor, </w:t>
            </w:r>
            <w:r w:rsidRPr="007D21C6">
              <w:rPr>
                <w:rFonts w:eastAsiaTheme="majorEastAsia" w:cstheme="majorBidi"/>
                <w:bCs/>
                <w:lang w:eastAsia="ja-JP"/>
              </w:rPr>
              <w:t>Microbiology and Immunology</w:t>
            </w:r>
          </w:p>
        </w:tc>
        <w:tc>
          <w:tcPr>
            <w:tcW w:w="2785" w:type="dxa"/>
          </w:tcPr>
          <w:p w:rsidR="00E951AF" w:rsidRDefault="00E951AF" w:rsidP="00E951AF">
            <w:r>
              <w:t>University of Maryland School of Medicine</w:t>
            </w:r>
            <w:r w:rsidR="00AC15FE">
              <w:t>. USA</w:t>
            </w:r>
          </w:p>
        </w:tc>
      </w:tr>
    </w:tbl>
    <w:p w:rsidR="00D511FA" w:rsidRDefault="00B70206" w:rsidP="00BE5288">
      <w:pPr>
        <w:pStyle w:val="Heading1"/>
      </w:pPr>
      <w:bookmarkStart w:id="8" w:name="_Toc40107965"/>
      <w:bookmarkStart w:id="9" w:name="_Toc34753313"/>
      <w:bookmarkStart w:id="10" w:name="_Toc34753363"/>
      <w:bookmarkStart w:id="11" w:name="_Toc34753992"/>
      <w:bookmarkStart w:id="12" w:name="_Toc30160261"/>
      <w:r>
        <w:t>Additional experts:</w:t>
      </w:r>
      <w:bookmarkEnd w:id="8"/>
    </w:p>
    <w:p w:rsidR="00B70206" w:rsidRPr="00E951AF" w:rsidRDefault="00B70206" w:rsidP="00B70206">
      <w:pPr>
        <w:rPr>
          <w:rFonts w:eastAsiaTheme="majorEastAsia" w:cstheme="majorBidi"/>
          <w:sz w:val="24"/>
          <w:szCs w:val="24"/>
        </w:rPr>
      </w:pPr>
      <w:r w:rsidRPr="00E951AF">
        <w:rPr>
          <w:rFonts w:eastAsiaTheme="majorEastAsia" w:cstheme="majorBidi"/>
          <w:sz w:val="24"/>
          <w:szCs w:val="24"/>
        </w:rPr>
        <w:t xml:space="preserve">Michael Jacobs, Andrea </w:t>
      </w:r>
      <w:proofErr w:type="spellStart"/>
      <w:r w:rsidRPr="00E951AF">
        <w:rPr>
          <w:rFonts w:eastAsiaTheme="majorEastAsia" w:cstheme="majorBidi"/>
          <w:sz w:val="24"/>
          <w:szCs w:val="24"/>
        </w:rPr>
        <w:t>Antinori</w:t>
      </w:r>
      <w:proofErr w:type="spellEnd"/>
      <w:r w:rsidRPr="00E951AF">
        <w:rPr>
          <w:rFonts w:eastAsiaTheme="majorEastAsia" w:cstheme="majorBidi"/>
          <w:sz w:val="24"/>
          <w:szCs w:val="24"/>
        </w:rPr>
        <w:t xml:space="preserve">, </w:t>
      </w:r>
      <w:r w:rsidR="00C417FE" w:rsidRPr="00E951AF">
        <w:rPr>
          <w:rFonts w:eastAsiaTheme="majorEastAsia" w:cstheme="majorBidi"/>
          <w:sz w:val="24"/>
          <w:szCs w:val="24"/>
        </w:rPr>
        <w:t xml:space="preserve">Vicente Estrada, Richard Peto, </w:t>
      </w:r>
      <w:r w:rsidR="00E951AF" w:rsidRPr="00E951AF">
        <w:rPr>
          <w:rFonts w:eastAsiaTheme="majorEastAsia" w:cstheme="majorBidi"/>
          <w:sz w:val="24"/>
          <w:szCs w:val="24"/>
        </w:rPr>
        <w:t xml:space="preserve">Peter Smith, </w:t>
      </w:r>
      <w:r w:rsidR="00C417FE" w:rsidRPr="00E951AF">
        <w:rPr>
          <w:rFonts w:eastAsiaTheme="majorEastAsia" w:cstheme="majorBidi"/>
          <w:sz w:val="24"/>
          <w:szCs w:val="24"/>
        </w:rPr>
        <w:t xml:space="preserve">Tom Fleming, </w:t>
      </w:r>
      <w:proofErr w:type="spellStart"/>
      <w:r w:rsidR="00C417FE" w:rsidRPr="00E951AF">
        <w:rPr>
          <w:rFonts w:eastAsiaTheme="majorEastAsia" w:cstheme="majorBidi"/>
          <w:sz w:val="24"/>
          <w:szCs w:val="24"/>
        </w:rPr>
        <w:t>Uli</w:t>
      </w:r>
      <w:proofErr w:type="spellEnd"/>
      <w:r w:rsidR="00C417FE" w:rsidRPr="00E951AF">
        <w:rPr>
          <w:rFonts w:eastAsiaTheme="majorEastAsia" w:cstheme="majorBidi"/>
          <w:sz w:val="24"/>
          <w:szCs w:val="24"/>
        </w:rPr>
        <w:t xml:space="preserve"> Fruth.</w:t>
      </w:r>
    </w:p>
    <w:p w:rsidR="00545814" w:rsidRPr="00D023F1" w:rsidRDefault="00A96071" w:rsidP="00BE5288">
      <w:bookmarkStart w:id="13" w:name="_Toc40107966"/>
      <w:bookmarkStart w:id="14" w:name="_Toc35543714"/>
      <w:bookmarkStart w:id="15" w:name="_Toc36281500"/>
      <w:bookmarkStart w:id="16" w:name="_Toc38463899"/>
      <w:bookmarkStart w:id="17" w:name="_Toc40107851"/>
      <w:r w:rsidRPr="00D023F1">
        <w:rPr>
          <w:rStyle w:val="Heading2Char"/>
          <w:b w:val="0"/>
          <w:sz w:val="24"/>
          <w:szCs w:val="24"/>
        </w:rPr>
        <w:t>WHO Secretariat</w:t>
      </w:r>
      <w:bookmarkStart w:id="18" w:name="_Toc30160262"/>
      <w:bookmarkStart w:id="19" w:name="_Toc34753993"/>
      <w:bookmarkEnd w:id="9"/>
      <w:bookmarkEnd w:id="10"/>
      <w:bookmarkEnd w:id="11"/>
      <w:bookmarkEnd w:id="12"/>
      <w:r w:rsidR="00DC5F36" w:rsidRPr="00D023F1">
        <w:rPr>
          <w:rStyle w:val="Heading2Char"/>
          <w:b w:val="0"/>
          <w:sz w:val="24"/>
          <w:szCs w:val="24"/>
        </w:rPr>
        <w:t>:</w:t>
      </w:r>
      <w:bookmarkEnd w:id="13"/>
      <w:r w:rsidR="00DC5F36" w:rsidRPr="00D023F1">
        <w:t xml:space="preserve"> </w:t>
      </w:r>
      <w:r w:rsidR="00545814" w:rsidRPr="00D023F1">
        <w:t xml:space="preserve">Alejandro </w:t>
      </w:r>
      <w:proofErr w:type="spellStart"/>
      <w:r w:rsidR="00545814" w:rsidRPr="00D023F1">
        <w:t>Costa,</w:t>
      </w:r>
      <w:proofErr w:type="spellEnd"/>
      <w:r w:rsidR="00545814" w:rsidRPr="00D023F1">
        <w:t xml:space="preserve"> Janet Diaz, Ana Maria Henao-Restrepo, Kolawole Salami, Emer Cooke, Deusdedit </w:t>
      </w:r>
      <w:proofErr w:type="spellStart"/>
      <w:r w:rsidR="00545814" w:rsidRPr="00D023F1">
        <w:t>Mubangizi</w:t>
      </w:r>
      <w:proofErr w:type="spellEnd"/>
      <w:r w:rsidR="00545814" w:rsidRPr="00D023F1">
        <w:t xml:space="preserve">, </w:t>
      </w:r>
      <w:r w:rsidR="00F455BA" w:rsidRPr="00D023F1">
        <w:t xml:space="preserve"> Matthias Mario Stahl,</w:t>
      </w:r>
      <w:r w:rsidR="00806C67" w:rsidRPr="00D023F1">
        <w:t xml:space="preserve"> Raymond Corrin, Philip Coyne</w:t>
      </w:r>
      <w:bookmarkEnd w:id="14"/>
      <w:bookmarkEnd w:id="15"/>
      <w:bookmarkEnd w:id="16"/>
      <w:bookmarkEnd w:id="17"/>
    </w:p>
    <w:bookmarkEnd w:id="18"/>
    <w:bookmarkEnd w:id="19"/>
    <w:p w:rsidR="00170C26" w:rsidRPr="00D023F1" w:rsidRDefault="00170C26" w:rsidP="00BD0669">
      <w:pPr>
        <w:jc w:val="both"/>
        <w:rPr>
          <w:szCs w:val="22"/>
        </w:rPr>
      </w:pPr>
    </w:p>
    <w:p w:rsidR="00DC5F36" w:rsidRPr="00BD0669" w:rsidRDefault="00DC5F36" w:rsidP="00BE5288">
      <w:pPr>
        <w:pStyle w:val="Heading1"/>
      </w:pPr>
      <w:bookmarkStart w:id="20" w:name="_Toc40107967"/>
      <w:r w:rsidRPr="00BD0669">
        <w:t>OVERVIEW OF THE DELIBERATIONS</w:t>
      </w:r>
      <w:bookmarkEnd w:id="20"/>
    </w:p>
    <w:p w:rsidR="00DC5F36" w:rsidRDefault="00DC5F36" w:rsidP="00DC5F36">
      <w:pPr>
        <w:spacing w:line="120" w:lineRule="exact"/>
        <w:rPr>
          <w:rFonts w:ascii="Times New Roman" w:eastAsia="Times New Roman" w:hAnsi="Times New Roman"/>
        </w:rPr>
      </w:pPr>
    </w:p>
    <w:p w:rsidR="00E059B0" w:rsidRDefault="005547A4" w:rsidP="00DC5F36">
      <w:pPr>
        <w:spacing w:line="0" w:lineRule="atLeast"/>
        <w:rPr>
          <w:rFonts w:eastAsia="Century Gothic"/>
          <w:b/>
          <w:sz w:val="24"/>
        </w:rPr>
      </w:pPr>
      <w:r>
        <w:rPr>
          <w:rFonts w:eastAsia="Century Gothic"/>
          <w:b/>
          <w:sz w:val="24"/>
        </w:rPr>
        <w:t>Overall c</w:t>
      </w:r>
      <w:r w:rsidR="00E059B0">
        <w:rPr>
          <w:rFonts w:eastAsia="Century Gothic"/>
          <w:b/>
          <w:sz w:val="24"/>
        </w:rPr>
        <w:t>onsiderations</w:t>
      </w:r>
    </w:p>
    <w:p w:rsidR="0019391E" w:rsidRDefault="00BE1F95" w:rsidP="00120CB2">
      <w:pPr>
        <w:spacing w:line="0" w:lineRule="atLeast"/>
        <w:jc w:val="both"/>
        <w:rPr>
          <w:rFonts w:eastAsia="Century Gothic"/>
          <w:sz w:val="24"/>
        </w:rPr>
      </w:pPr>
      <w:r>
        <w:rPr>
          <w:rFonts w:eastAsia="Century Gothic"/>
          <w:sz w:val="24"/>
        </w:rPr>
        <w:lastRenderedPageBreak/>
        <w:t xml:space="preserve">WHO secretariat (Dr </w:t>
      </w:r>
      <w:proofErr w:type="spellStart"/>
      <w:r>
        <w:rPr>
          <w:rFonts w:eastAsia="Century Gothic"/>
          <w:sz w:val="24"/>
        </w:rPr>
        <w:t>Uli</w:t>
      </w:r>
      <w:proofErr w:type="spellEnd"/>
      <w:r>
        <w:rPr>
          <w:rFonts w:eastAsia="Century Gothic"/>
          <w:sz w:val="24"/>
        </w:rPr>
        <w:t xml:space="preserve"> Fruth) presented a </w:t>
      </w:r>
      <w:r w:rsidR="004B12C4">
        <w:rPr>
          <w:rFonts w:eastAsia="Century Gothic"/>
          <w:sz w:val="24"/>
        </w:rPr>
        <w:t>pre-</w:t>
      </w:r>
      <w:r>
        <w:rPr>
          <w:rFonts w:eastAsia="Century Gothic"/>
          <w:sz w:val="24"/>
        </w:rPr>
        <w:t xml:space="preserve">selection of different </w:t>
      </w:r>
      <w:proofErr w:type="spellStart"/>
      <w:r>
        <w:rPr>
          <w:rFonts w:eastAsia="Century Gothic"/>
          <w:sz w:val="24"/>
        </w:rPr>
        <w:t>immunotherapeutics</w:t>
      </w:r>
      <w:proofErr w:type="spellEnd"/>
      <w:r>
        <w:rPr>
          <w:rFonts w:eastAsia="Century Gothic"/>
          <w:sz w:val="24"/>
        </w:rPr>
        <w:t xml:space="preserve"> to facilitate the discussion</w:t>
      </w:r>
      <w:r w:rsidR="00AC15FE">
        <w:rPr>
          <w:rFonts w:eastAsia="Century Gothic"/>
          <w:sz w:val="24"/>
        </w:rPr>
        <w:t xml:space="preserve"> the list is open </w:t>
      </w:r>
      <w:r w:rsidR="00314E13">
        <w:rPr>
          <w:rFonts w:eastAsia="Century Gothic"/>
          <w:sz w:val="24"/>
        </w:rPr>
        <w:t>and members of the groups may suggest other agents to be added.</w:t>
      </w:r>
    </w:p>
    <w:p w:rsidR="00AC15FE" w:rsidRDefault="00BE1F95" w:rsidP="00120CB2">
      <w:pPr>
        <w:spacing w:line="0" w:lineRule="atLeast"/>
        <w:jc w:val="both"/>
        <w:rPr>
          <w:rFonts w:eastAsia="Century Gothic"/>
          <w:sz w:val="24"/>
        </w:rPr>
      </w:pPr>
      <w:r>
        <w:rPr>
          <w:rFonts w:eastAsia="Century Gothic"/>
          <w:sz w:val="24"/>
        </w:rPr>
        <w:t>Products</w:t>
      </w:r>
      <w:r w:rsidRPr="00BE1F95">
        <w:rPr>
          <w:rFonts w:eastAsia="Century Gothic"/>
          <w:sz w:val="24"/>
        </w:rPr>
        <w:t xml:space="preserve"> to consider are</w:t>
      </w:r>
      <w:r w:rsidR="00AC15FE">
        <w:rPr>
          <w:rFonts w:eastAsia="Century Gothic"/>
          <w:sz w:val="24"/>
        </w:rPr>
        <w:t>:</w:t>
      </w:r>
    </w:p>
    <w:p w:rsidR="00C7569A" w:rsidRDefault="00AC15FE" w:rsidP="00120CB2">
      <w:pPr>
        <w:spacing w:line="0" w:lineRule="atLeast"/>
        <w:jc w:val="both"/>
        <w:rPr>
          <w:rFonts w:eastAsia="Century Gothic"/>
          <w:sz w:val="24"/>
        </w:rPr>
      </w:pPr>
      <w:r w:rsidRPr="00AC15FE">
        <w:rPr>
          <w:rFonts w:eastAsia="Century Gothic"/>
          <w:b/>
          <w:sz w:val="24"/>
        </w:rPr>
        <w:t>1- B</w:t>
      </w:r>
      <w:r w:rsidR="00BE1F95" w:rsidRPr="00AC15FE">
        <w:rPr>
          <w:rFonts w:eastAsia="Century Gothic"/>
          <w:b/>
          <w:sz w:val="24"/>
        </w:rPr>
        <w:t>iologicals</w:t>
      </w:r>
      <w:r w:rsidR="00314E13" w:rsidRPr="00AC15FE">
        <w:rPr>
          <w:rFonts w:eastAsia="Century Gothic"/>
          <w:b/>
          <w:sz w:val="24"/>
        </w:rPr>
        <w:t>:</w:t>
      </w:r>
      <w:r w:rsidR="00BE1F95" w:rsidRPr="00BE1F95">
        <w:rPr>
          <w:rFonts w:eastAsia="Century Gothic"/>
          <w:sz w:val="24"/>
        </w:rPr>
        <w:t xml:space="preserve"> </w:t>
      </w:r>
      <w:r w:rsidR="00314E13">
        <w:rPr>
          <w:rFonts w:eastAsia="Century Gothic"/>
          <w:sz w:val="24"/>
        </w:rPr>
        <w:t>a</w:t>
      </w:r>
      <w:r w:rsidR="00314E13" w:rsidRPr="00314E13">
        <w:rPr>
          <w:rFonts w:eastAsia="Century Gothic"/>
          <w:sz w:val="24"/>
        </w:rPr>
        <w:t xml:space="preserve">nti-cytokine/cytokine receptor </w:t>
      </w:r>
      <w:proofErr w:type="spellStart"/>
      <w:r w:rsidR="00314E13" w:rsidRPr="00314E13">
        <w:rPr>
          <w:rFonts w:eastAsia="Century Gothic"/>
          <w:sz w:val="24"/>
        </w:rPr>
        <w:t>mAbs</w:t>
      </w:r>
      <w:proofErr w:type="spellEnd"/>
      <w:r w:rsidR="00314E13" w:rsidRPr="00314E13">
        <w:rPr>
          <w:rFonts w:eastAsia="Century Gothic"/>
          <w:sz w:val="24"/>
        </w:rPr>
        <w:t xml:space="preserve"> </w:t>
      </w:r>
      <w:r w:rsidR="00314E13">
        <w:rPr>
          <w:rFonts w:eastAsia="Century Gothic"/>
          <w:sz w:val="24"/>
        </w:rPr>
        <w:t>(IL-6</w:t>
      </w:r>
      <w:r>
        <w:rPr>
          <w:rFonts w:eastAsia="Century Gothic"/>
          <w:sz w:val="24"/>
        </w:rPr>
        <w:t xml:space="preserve">); </w:t>
      </w:r>
      <w:proofErr w:type="spellStart"/>
      <w:r>
        <w:rPr>
          <w:rFonts w:eastAsia="Century Gothic"/>
          <w:sz w:val="24"/>
        </w:rPr>
        <w:t>TNFa</w:t>
      </w:r>
      <w:proofErr w:type="spellEnd"/>
      <w:r>
        <w:rPr>
          <w:rFonts w:eastAsia="Century Gothic"/>
          <w:sz w:val="24"/>
        </w:rPr>
        <w:t>; IFN</w:t>
      </w:r>
      <w:r>
        <w:rPr>
          <w:rFonts w:ascii="Calibri" w:eastAsia="Century Gothic" w:hAnsi="Calibri" w:cs="Calibri"/>
          <w:sz w:val="24"/>
        </w:rPr>
        <w:t>ϒ</w:t>
      </w:r>
      <w:r w:rsidR="00314E13">
        <w:rPr>
          <w:rFonts w:eastAsia="Century Gothic"/>
          <w:sz w:val="24"/>
        </w:rPr>
        <w:t xml:space="preserve">; GM-CSF; etc., </w:t>
      </w:r>
      <w:r w:rsidR="00314E13" w:rsidRPr="00314E13">
        <w:rPr>
          <w:rFonts w:eastAsia="Century Gothic"/>
          <w:sz w:val="24"/>
        </w:rPr>
        <w:t>IL-1 receptor antagonist (Anakinra)</w:t>
      </w:r>
      <w:r w:rsidR="00314E13">
        <w:rPr>
          <w:rFonts w:eastAsia="Century Gothic"/>
          <w:sz w:val="24"/>
        </w:rPr>
        <w:t xml:space="preserve"> a</w:t>
      </w:r>
      <w:r w:rsidR="00314E13" w:rsidRPr="00314E13">
        <w:rPr>
          <w:rFonts w:eastAsia="Century Gothic"/>
          <w:sz w:val="24"/>
        </w:rPr>
        <w:t xml:space="preserve">nti-complement (C5/C5a) </w:t>
      </w:r>
      <w:proofErr w:type="spellStart"/>
      <w:r w:rsidR="00314E13" w:rsidRPr="00314E13">
        <w:rPr>
          <w:rFonts w:eastAsia="Century Gothic"/>
          <w:sz w:val="24"/>
        </w:rPr>
        <w:t>mAbs</w:t>
      </w:r>
      <w:proofErr w:type="spellEnd"/>
      <w:r w:rsidR="00314E13">
        <w:rPr>
          <w:rFonts w:eastAsia="Century Gothic"/>
          <w:sz w:val="24"/>
        </w:rPr>
        <w:t xml:space="preserve">. </w:t>
      </w:r>
      <w:r w:rsidR="00E114F6">
        <w:rPr>
          <w:rFonts w:eastAsia="Century Gothic"/>
          <w:sz w:val="24"/>
        </w:rPr>
        <w:t>There are m</w:t>
      </w:r>
      <w:r w:rsidR="00314E13">
        <w:rPr>
          <w:rFonts w:eastAsia="Century Gothic"/>
          <w:sz w:val="24"/>
        </w:rPr>
        <w:t xml:space="preserve">ore than </w:t>
      </w:r>
      <w:r w:rsidR="00314E13" w:rsidRPr="00314E13">
        <w:rPr>
          <w:rFonts w:eastAsia="Century Gothic"/>
          <w:sz w:val="24"/>
        </w:rPr>
        <w:t>20 years’ experience</w:t>
      </w:r>
      <w:r>
        <w:rPr>
          <w:rFonts w:eastAsia="Century Gothic"/>
          <w:sz w:val="24"/>
        </w:rPr>
        <w:t xml:space="preserve"> </w:t>
      </w:r>
      <w:r w:rsidR="0001091C">
        <w:rPr>
          <w:rFonts w:eastAsia="Century Gothic"/>
          <w:sz w:val="24"/>
        </w:rPr>
        <w:t xml:space="preserve">using </w:t>
      </w:r>
      <w:proofErr w:type="spellStart"/>
      <w:r w:rsidR="00314E13" w:rsidRPr="00314E13">
        <w:rPr>
          <w:rFonts w:eastAsia="Century Gothic"/>
          <w:sz w:val="24"/>
        </w:rPr>
        <w:t>TNFa</w:t>
      </w:r>
      <w:proofErr w:type="spellEnd"/>
      <w:r w:rsidR="0001091C">
        <w:rPr>
          <w:rFonts w:eastAsia="Century Gothic"/>
          <w:sz w:val="24"/>
        </w:rPr>
        <w:t>,</w:t>
      </w:r>
      <w:r w:rsidR="00314E13" w:rsidRPr="00314E13">
        <w:rPr>
          <w:rFonts w:eastAsia="Century Gothic"/>
          <w:sz w:val="24"/>
        </w:rPr>
        <w:t xml:space="preserve"> </w:t>
      </w:r>
      <w:proofErr w:type="spellStart"/>
      <w:r w:rsidR="00314E13" w:rsidRPr="00314E13">
        <w:rPr>
          <w:rFonts w:eastAsia="Century Gothic"/>
          <w:sz w:val="24"/>
        </w:rPr>
        <w:t>mAbs</w:t>
      </w:r>
      <w:proofErr w:type="spellEnd"/>
      <w:r w:rsidR="00314E13" w:rsidRPr="00314E13">
        <w:rPr>
          <w:rFonts w:eastAsia="Century Gothic"/>
          <w:sz w:val="24"/>
        </w:rPr>
        <w:t xml:space="preserve"> in autoimmune inflammatory disease such as rheumatoid arthritis, inflammatory bowel disease, </w:t>
      </w:r>
      <w:r w:rsidR="0001091C">
        <w:rPr>
          <w:rFonts w:eastAsia="Century Gothic"/>
          <w:sz w:val="24"/>
        </w:rPr>
        <w:t xml:space="preserve">psoriasis </w:t>
      </w:r>
      <w:r w:rsidR="00314E13" w:rsidRPr="00314E13">
        <w:rPr>
          <w:rFonts w:eastAsia="Century Gothic"/>
          <w:sz w:val="24"/>
        </w:rPr>
        <w:t>or ankylosing spondylitis</w:t>
      </w:r>
      <w:r w:rsidR="00A80F60">
        <w:rPr>
          <w:rFonts w:eastAsia="Century Gothic"/>
          <w:sz w:val="24"/>
        </w:rPr>
        <w:t>.</w:t>
      </w:r>
    </w:p>
    <w:p w:rsidR="00A80F60" w:rsidRDefault="00A80F60" w:rsidP="00120CB2">
      <w:pPr>
        <w:spacing w:line="0" w:lineRule="atLeast"/>
        <w:jc w:val="both"/>
        <w:rPr>
          <w:rFonts w:eastAsia="Century Gothic"/>
          <w:sz w:val="24"/>
        </w:rPr>
      </w:pPr>
      <w:r>
        <w:rPr>
          <w:rFonts w:eastAsia="Century Gothic"/>
          <w:sz w:val="24"/>
        </w:rPr>
        <w:t xml:space="preserve">IL-6 inhibitor, it is </w:t>
      </w:r>
      <w:r w:rsidR="00AC15FE">
        <w:rPr>
          <w:rFonts w:eastAsia="Century Gothic"/>
          <w:sz w:val="24"/>
        </w:rPr>
        <w:t xml:space="preserve">a </w:t>
      </w:r>
      <w:proofErr w:type="spellStart"/>
      <w:r>
        <w:rPr>
          <w:rFonts w:eastAsia="Century Gothic"/>
          <w:sz w:val="24"/>
        </w:rPr>
        <w:t>mAbs</w:t>
      </w:r>
      <w:proofErr w:type="spellEnd"/>
      <w:r>
        <w:rPr>
          <w:rFonts w:eastAsia="Century Gothic"/>
          <w:sz w:val="24"/>
        </w:rPr>
        <w:t xml:space="preserve"> does block the receptor. Tocilizumab (</w:t>
      </w:r>
      <w:proofErr w:type="spellStart"/>
      <w:r>
        <w:rPr>
          <w:rFonts w:eastAsia="Century Gothic"/>
          <w:sz w:val="24"/>
        </w:rPr>
        <w:t>Actrema</w:t>
      </w:r>
      <w:proofErr w:type="spellEnd"/>
      <w:r>
        <w:rPr>
          <w:rFonts w:eastAsia="Century Gothic"/>
          <w:sz w:val="24"/>
        </w:rPr>
        <w:t xml:space="preserve">) produced by Roche is the most used in the studies in China, Italy and France. </w:t>
      </w:r>
      <w:proofErr w:type="spellStart"/>
      <w:r>
        <w:rPr>
          <w:rFonts w:eastAsia="Century Gothic"/>
          <w:sz w:val="24"/>
        </w:rPr>
        <w:t>Sarilumab</w:t>
      </w:r>
      <w:proofErr w:type="spellEnd"/>
      <w:r>
        <w:rPr>
          <w:rFonts w:eastAsia="Century Gothic"/>
          <w:sz w:val="24"/>
        </w:rPr>
        <w:t xml:space="preserve"> (</w:t>
      </w:r>
      <w:proofErr w:type="spellStart"/>
      <w:r>
        <w:rPr>
          <w:rFonts w:eastAsia="Century Gothic"/>
          <w:sz w:val="24"/>
        </w:rPr>
        <w:t>Kevzara</w:t>
      </w:r>
      <w:proofErr w:type="spellEnd"/>
      <w:r>
        <w:rPr>
          <w:rFonts w:eastAsia="Century Gothic"/>
          <w:sz w:val="24"/>
        </w:rPr>
        <w:t>) produce</w:t>
      </w:r>
      <w:r w:rsidR="00AC15FE">
        <w:rPr>
          <w:rFonts w:eastAsia="Century Gothic"/>
          <w:sz w:val="24"/>
        </w:rPr>
        <w:t>d</w:t>
      </w:r>
      <w:r>
        <w:rPr>
          <w:rFonts w:eastAsia="Century Gothic"/>
          <w:sz w:val="24"/>
        </w:rPr>
        <w:t xml:space="preserve"> by Sanofi/</w:t>
      </w:r>
      <w:proofErr w:type="spellStart"/>
      <w:r>
        <w:rPr>
          <w:rFonts w:eastAsia="Century Gothic"/>
          <w:sz w:val="24"/>
        </w:rPr>
        <w:t>Renegeron</w:t>
      </w:r>
      <w:proofErr w:type="spellEnd"/>
      <w:r>
        <w:rPr>
          <w:rFonts w:eastAsia="Century Gothic"/>
          <w:sz w:val="24"/>
        </w:rPr>
        <w:t xml:space="preserve"> is </w:t>
      </w:r>
      <w:r w:rsidR="00AC15FE">
        <w:rPr>
          <w:rFonts w:eastAsia="Century Gothic"/>
          <w:sz w:val="24"/>
        </w:rPr>
        <w:t xml:space="preserve">a </w:t>
      </w:r>
      <w:proofErr w:type="spellStart"/>
      <w:r>
        <w:rPr>
          <w:rFonts w:eastAsia="Century Gothic"/>
          <w:sz w:val="24"/>
        </w:rPr>
        <w:t>mAbs</w:t>
      </w:r>
      <w:proofErr w:type="spellEnd"/>
      <w:r>
        <w:rPr>
          <w:rFonts w:eastAsia="Century Gothic"/>
          <w:sz w:val="24"/>
        </w:rPr>
        <w:t xml:space="preserve"> binding the IL-6</w:t>
      </w:r>
      <w:r w:rsidR="00E114F6">
        <w:rPr>
          <w:rFonts w:eastAsia="Century Gothic"/>
          <w:sz w:val="24"/>
        </w:rPr>
        <w:t xml:space="preserve"> directly</w:t>
      </w:r>
      <w:r>
        <w:rPr>
          <w:rFonts w:eastAsia="Century Gothic"/>
          <w:sz w:val="24"/>
        </w:rPr>
        <w:t>.</w:t>
      </w:r>
    </w:p>
    <w:p w:rsidR="00314E13" w:rsidRDefault="00AC15FE" w:rsidP="00120CB2">
      <w:pPr>
        <w:spacing w:line="0" w:lineRule="atLeast"/>
        <w:jc w:val="both"/>
        <w:rPr>
          <w:rFonts w:eastAsia="Century Gothic"/>
          <w:sz w:val="24"/>
        </w:rPr>
      </w:pPr>
      <w:r w:rsidRPr="00AC15FE">
        <w:rPr>
          <w:rFonts w:eastAsia="Century Gothic"/>
          <w:b/>
          <w:sz w:val="24"/>
        </w:rPr>
        <w:t xml:space="preserve">2- </w:t>
      </w:r>
      <w:r w:rsidR="00314E13" w:rsidRPr="00AC15FE">
        <w:rPr>
          <w:rFonts w:eastAsia="Century Gothic"/>
          <w:b/>
          <w:sz w:val="24"/>
        </w:rPr>
        <w:t>Chemical drugs:</w:t>
      </w:r>
      <w:r w:rsidR="00314E13">
        <w:rPr>
          <w:rFonts w:eastAsia="Century Gothic"/>
          <w:sz w:val="24"/>
        </w:rPr>
        <w:t xml:space="preserve"> </w:t>
      </w:r>
      <w:r w:rsidR="00314E13" w:rsidRPr="00314E13">
        <w:rPr>
          <w:rFonts w:eastAsia="Century Gothic"/>
          <w:sz w:val="24"/>
        </w:rPr>
        <w:t>Inhibitors of protein kinases Janus kinases (JAK), mammalian target of rapamycin (mTOR),</w:t>
      </w:r>
      <w:r w:rsidR="0001091C">
        <w:rPr>
          <w:rFonts w:eastAsia="Century Gothic"/>
          <w:sz w:val="24"/>
        </w:rPr>
        <w:t xml:space="preserve"> </w:t>
      </w:r>
      <w:proofErr w:type="spellStart"/>
      <w:r w:rsidR="0001091C">
        <w:rPr>
          <w:rFonts w:eastAsia="Century Gothic"/>
          <w:sz w:val="24"/>
        </w:rPr>
        <w:t>Bruton´s</w:t>
      </w:r>
      <w:proofErr w:type="spellEnd"/>
      <w:r w:rsidR="0001091C">
        <w:rPr>
          <w:rFonts w:eastAsia="Century Gothic"/>
          <w:sz w:val="24"/>
        </w:rPr>
        <w:t xml:space="preserve"> tyrosine kinase (BTK). </w:t>
      </w:r>
      <w:r w:rsidR="00314E13" w:rsidRPr="00314E13">
        <w:rPr>
          <w:rFonts w:eastAsia="Century Gothic"/>
          <w:sz w:val="24"/>
        </w:rPr>
        <w:t xml:space="preserve">Inhibitors of </w:t>
      </w:r>
      <w:proofErr w:type="spellStart"/>
      <w:r w:rsidR="00314E13" w:rsidRPr="00314E13">
        <w:rPr>
          <w:rFonts w:eastAsia="Century Gothic"/>
          <w:sz w:val="24"/>
        </w:rPr>
        <w:t>dihydroxyorotate</w:t>
      </w:r>
      <w:proofErr w:type="spellEnd"/>
      <w:r w:rsidR="00314E13" w:rsidRPr="00314E13">
        <w:rPr>
          <w:rFonts w:eastAsia="Century Gothic"/>
          <w:sz w:val="24"/>
        </w:rPr>
        <w:t xml:space="preserve"> dehydrogenase (DHODH)</w:t>
      </w:r>
      <w:r w:rsidR="0001091C">
        <w:rPr>
          <w:rFonts w:eastAsia="Century Gothic"/>
          <w:sz w:val="24"/>
        </w:rPr>
        <w:t xml:space="preserve">. </w:t>
      </w:r>
      <w:r w:rsidR="00314E13" w:rsidRPr="00314E13">
        <w:rPr>
          <w:rFonts w:eastAsia="Century Gothic"/>
          <w:sz w:val="24"/>
        </w:rPr>
        <w:t>Inhibitor of phospholipase A2 (</w:t>
      </w:r>
      <w:proofErr w:type="spellStart"/>
      <w:r w:rsidR="00314E13" w:rsidRPr="00314E13">
        <w:rPr>
          <w:rFonts w:eastAsia="Century Gothic"/>
          <w:sz w:val="24"/>
        </w:rPr>
        <w:t>Varespladib</w:t>
      </w:r>
      <w:proofErr w:type="spellEnd"/>
      <w:r w:rsidR="00314E13" w:rsidRPr="00314E13">
        <w:rPr>
          <w:rFonts w:eastAsia="Century Gothic"/>
          <w:sz w:val="24"/>
        </w:rPr>
        <w:t>)</w:t>
      </w:r>
      <w:r w:rsidR="0001091C">
        <w:rPr>
          <w:rFonts w:eastAsia="Century Gothic"/>
          <w:sz w:val="24"/>
        </w:rPr>
        <w:t xml:space="preserve">. </w:t>
      </w:r>
      <w:r w:rsidR="00314E13" w:rsidRPr="00314E13">
        <w:rPr>
          <w:rFonts w:eastAsia="Century Gothic"/>
          <w:sz w:val="24"/>
        </w:rPr>
        <w:t>Bioactive peptide (</w:t>
      </w:r>
      <w:proofErr w:type="spellStart"/>
      <w:r w:rsidR="00314E13" w:rsidRPr="00314E13">
        <w:rPr>
          <w:rFonts w:eastAsia="Century Gothic"/>
          <w:sz w:val="24"/>
        </w:rPr>
        <w:t>Solnatide</w:t>
      </w:r>
      <w:proofErr w:type="spellEnd"/>
      <w:r w:rsidR="00314E13" w:rsidRPr="00314E13">
        <w:rPr>
          <w:rFonts w:eastAsia="Century Gothic"/>
          <w:sz w:val="24"/>
        </w:rPr>
        <w:t>)</w:t>
      </w:r>
      <w:r w:rsidR="0001091C">
        <w:rPr>
          <w:rFonts w:eastAsia="Century Gothic"/>
          <w:sz w:val="24"/>
        </w:rPr>
        <w:t xml:space="preserve">. </w:t>
      </w:r>
    </w:p>
    <w:p w:rsidR="0001091C" w:rsidRDefault="0001091C" w:rsidP="00120CB2">
      <w:pPr>
        <w:spacing w:line="0" w:lineRule="atLeast"/>
        <w:jc w:val="both"/>
        <w:rPr>
          <w:rFonts w:eastAsia="Century Gothic"/>
          <w:sz w:val="24"/>
        </w:rPr>
      </w:pPr>
      <w:r w:rsidRPr="0001091C">
        <w:rPr>
          <w:rFonts w:eastAsia="Century Gothic"/>
          <w:sz w:val="24"/>
        </w:rPr>
        <w:t xml:space="preserve">Several protein kinase inhibitors are licensed or </w:t>
      </w:r>
      <w:r w:rsidR="00AC15FE">
        <w:rPr>
          <w:rFonts w:eastAsia="Century Gothic"/>
          <w:sz w:val="24"/>
        </w:rPr>
        <w:t xml:space="preserve">are </w:t>
      </w:r>
      <w:r w:rsidRPr="0001091C">
        <w:rPr>
          <w:rFonts w:eastAsia="Century Gothic"/>
          <w:sz w:val="24"/>
        </w:rPr>
        <w:t>under development for a broad spectrum of conditions, including inflammatory diseases (RA, Crohn´s), hematologic malignancies, or as immunosuppressants, etc</w:t>
      </w:r>
      <w:r>
        <w:rPr>
          <w:rFonts w:eastAsia="Century Gothic"/>
          <w:sz w:val="24"/>
        </w:rPr>
        <w:t>.</w:t>
      </w:r>
    </w:p>
    <w:p w:rsidR="003E6E69" w:rsidRDefault="003E6E69" w:rsidP="00120CB2">
      <w:pPr>
        <w:spacing w:line="0" w:lineRule="atLeast"/>
        <w:jc w:val="both"/>
        <w:rPr>
          <w:rFonts w:eastAsia="Century Gothic"/>
          <w:sz w:val="24"/>
        </w:rPr>
      </w:pPr>
      <w:r>
        <w:rPr>
          <w:rFonts w:eastAsia="Century Gothic"/>
          <w:sz w:val="24"/>
        </w:rPr>
        <w:t xml:space="preserve">There is less experience with kinase inhibitor, but </w:t>
      </w:r>
      <w:r w:rsidRPr="003E6E69">
        <w:rPr>
          <w:rFonts w:eastAsia="Century Gothic"/>
          <w:sz w:val="24"/>
        </w:rPr>
        <w:t xml:space="preserve">Lilli´s </w:t>
      </w:r>
      <w:proofErr w:type="spellStart"/>
      <w:r w:rsidRPr="003E6E69">
        <w:rPr>
          <w:rFonts w:eastAsia="Century Gothic"/>
          <w:sz w:val="24"/>
        </w:rPr>
        <w:t>batricinib</w:t>
      </w:r>
      <w:proofErr w:type="spellEnd"/>
      <w:r w:rsidRPr="003E6E69">
        <w:rPr>
          <w:rFonts w:eastAsia="Century Gothic"/>
          <w:sz w:val="24"/>
        </w:rPr>
        <w:t xml:space="preserve"> (</w:t>
      </w:r>
      <w:proofErr w:type="spellStart"/>
      <w:r w:rsidRPr="003E6E69">
        <w:rPr>
          <w:rFonts w:eastAsia="Century Gothic"/>
          <w:sz w:val="24"/>
        </w:rPr>
        <w:t>Olumiant</w:t>
      </w:r>
      <w:proofErr w:type="spellEnd"/>
      <w:r w:rsidRPr="003E6E69">
        <w:rPr>
          <w:rFonts w:eastAsia="Century Gothic"/>
          <w:sz w:val="24"/>
        </w:rPr>
        <w:t>) has been included as an arm in NIAID’s Phase III Adaptive Covid-19 Treatment Trial</w:t>
      </w:r>
    </w:p>
    <w:p w:rsidR="0001091C" w:rsidRDefault="0001091C" w:rsidP="00120CB2">
      <w:pPr>
        <w:spacing w:line="0" w:lineRule="atLeast"/>
        <w:jc w:val="both"/>
        <w:rPr>
          <w:rFonts w:eastAsia="Century Gothic"/>
          <w:sz w:val="24"/>
        </w:rPr>
      </w:pPr>
      <w:r w:rsidRPr="0001091C">
        <w:rPr>
          <w:rFonts w:eastAsia="Century Gothic"/>
          <w:sz w:val="24"/>
        </w:rPr>
        <w:t xml:space="preserve">Advantages </w:t>
      </w:r>
      <w:r>
        <w:rPr>
          <w:rFonts w:eastAsia="Century Gothic"/>
          <w:sz w:val="24"/>
        </w:rPr>
        <w:t>of chemical drugs over biologicals</w:t>
      </w:r>
      <w:r w:rsidR="00AC15FE">
        <w:rPr>
          <w:rFonts w:eastAsia="Century Gothic"/>
          <w:sz w:val="24"/>
        </w:rPr>
        <w:t>:</w:t>
      </w:r>
      <w:r>
        <w:rPr>
          <w:rFonts w:eastAsia="Century Gothic"/>
          <w:sz w:val="24"/>
        </w:rPr>
        <w:t xml:space="preserve"> they are easier to produce and scale up production</w:t>
      </w:r>
      <w:r w:rsidR="00AC15FE">
        <w:rPr>
          <w:rFonts w:eastAsia="Century Gothic"/>
          <w:sz w:val="24"/>
        </w:rPr>
        <w:t>, do</w:t>
      </w:r>
      <w:r>
        <w:rPr>
          <w:rFonts w:eastAsia="Century Gothic"/>
          <w:sz w:val="24"/>
        </w:rPr>
        <w:t xml:space="preserve"> not require cold chai</w:t>
      </w:r>
      <w:r w:rsidR="00E114F6">
        <w:rPr>
          <w:rFonts w:eastAsia="Century Gothic"/>
          <w:sz w:val="24"/>
        </w:rPr>
        <w:t>n</w:t>
      </w:r>
      <w:r>
        <w:rPr>
          <w:rFonts w:eastAsia="Century Gothic"/>
          <w:sz w:val="24"/>
        </w:rPr>
        <w:t>, lower</w:t>
      </w:r>
      <w:r w:rsidRPr="0001091C">
        <w:rPr>
          <w:rFonts w:eastAsia="Century Gothic"/>
          <w:sz w:val="24"/>
        </w:rPr>
        <w:t xml:space="preserve"> price, </w:t>
      </w:r>
      <w:r>
        <w:rPr>
          <w:rFonts w:eastAsia="Century Gothic"/>
          <w:sz w:val="24"/>
        </w:rPr>
        <w:t xml:space="preserve">administration is generally </w:t>
      </w:r>
      <w:r w:rsidR="00AC15FE">
        <w:rPr>
          <w:rFonts w:eastAsia="Century Gothic"/>
          <w:sz w:val="24"/>
        </w:rPr>
        <w:t xml:space="preserve">oral, </w:t>
      </w:r>
      <w:r>
        <w:rPr>
          <w:rFonts w:eastAsia="Century Gothic"/>
          <w:sz w:val="24"/>
        </w:rPr>
        <w:t xml:space="preserve">characteristics are </w:t>
      </w:r>
      <w:r w:rsidRPr="0001091C">
        <w:rPr>
          <w:rFonts w:eastAsia="Century Gothic"/>
          <w:sz w:val="24"/>
        </w:rPr>
        <w:t>particular</w:t>
      </w:r>
      <w:r w:rsidR="00AC15FE">
        <w:rPr>
          <w:rFonts w:eastAsia="Century Gothic"/>
          <w:sz w:val="24"/>
        </w:rPr>
        <w:t>ly</w:t>
      </w:r>
      <w:r w:rsidRPr="0001091C">
        <w:rPr>
          <w:rFonts w:eastAsia="Century Gothic"/>
          <w:sz w:val="24"/>
        </w:rPr>
        <w:t xml:space="preserve"> relevan</w:t>
      </w:r>
      <w:r>
        <w:rPr>
          <w:rFonts w:eastAsia="Century Gothic"/>
          <w:sz w:val="24"/>
        </w:rPr>
        <w:t>t</w:t>
      </w:r>
      <w:r w:rsidRPr="0001091C">
        <w:rPr>
          <w:rFonts w:eastAsia="Century Gothic"/>
          <w:sz w:val="24"/>
        </w:rPr>
        <w:t xml:space="preserve"> for LMIC</w:t>
      </w:r>
      <w:r>
        <w:rPr>
          <w:rFonts w:eastAsia="Century Gothic"/>
          <w:sz w:val="24"/>
        </w:rPr>
        <w:t xml:space="preserve">. </w:t>
      </w:r>
    </w:p>
    <w:p w:rsidR="00A0256D" w:rsidRDefault="00E114F6" w:rsidP="00C80FF8">
      <w:pPr>
        <w:spacing w:line="0" w:lineRule="atLeast"/>
        <w:jc w:val="both"/>
        <w:rPr>
          <w:rFonts w:eastAsia="Century Gothic"/>
          <w:sz w:val="24"/>
        </w:rPr>
      </w:pPr>
      <w:r>
        <w:rPr>
          <w:rFonts w:eastAsia="Century Gothic"/>
          <w:sz w:val="24"/>
        </w:rPr>
        <w:t xml:space="preserve">On the contrary, </w:t>
      </w:r>
      <w:proofErr w:type="spellStart"/>
      <w:r w:rsidR="0001091C">
        <w:rPr>
          <w:rFonts w:eastAsia="Century Gothic"/>
          <w:sz w:val="24"/>
        </w:rPr>
        <w:t>mAbs</w:t>
      </w:r>
      <w:proofErr w:type="spellEnd"/>
      <w:r w:rsidR="0001091C">
        <w:rPr>
          <w:rFonts w:eastAsia="Century Gothic"/>
          <w:sz w:val="24"/>
        </w:rPr>
        <w:t xml:space="preserve"> are expens</w:t>
      </w:r>
      <w:r>
        <w:rPr>
          <w:rFonts w:eastAsia="Century Gothic"/>
          <w:sz w:val="24"/>
        </w:rPr>
        <w:t xml:space="preserve">ive, not immediately available </w:t>
      </w:r>
      <w:r w:rsidR="0001091C">
        <w:rPr>
          <w:rFonts w:eastAsia="Century Gothic"/>
          <w:sz w:val="24"/>
        </w:rPr>
        <w:t xml:space="preserve">and normally given </w:t>
      </w:r>
      <w:r w:rsidR="00C80FF8">
        <w:rPr>
          <w:rFonts w:eastAsia="Century Gothic"/>
          <w:sz w:val="24"/>
        </w:rPr>
        <w:t>by IV route.</w:t>
      </w:r>
    </w:p>
    <w:p w:rsidR="00C80FF8" w:rsidRDefault="00C80FF8" w:rsidP="00C80FF8">
      <w:pPr>
        <w:spacing w:line="0" w:lineRule="atLeast"/>
        <w:jc w:val="both"/>
        <w:rPr>
          <w:rFonts w:eastAsia="Century Gothic"/>
          <w:sz w:val="24"/>
        </w:rPr>
      </w:pPr>
    </w:p>
    <w:p w:rsidR="00DC5F36" w:rsidRPr="00A55B22" w:rsidRDefault="00DB518B" w:rsidP="00696B86">
      <w:pPr>
        <w:pStyle w:val="Numberedlist"/>
        <w:ind w:left="0"/>
        <w:jc w:val="both"/>
      </w:pPr>
      <w:r w:rsidRPr="00A55B22">
        <w:t xml:space="preserve">Discussion on the </w:t>
      </w:r>
      <w:r w:rsidR="009A3E21" w:rsidRPr="00A55B22">
        <w:t>available</w:t>
      </w:r>
      <w:r w:rsidR="00A0256D" w:rsidRPr="00A55B22">
        <w:t xml:space="preserve"> evidence </w:t>
      </w:r>
    </w:p>
    <w:p w:rsidR="00DA44A6" w:rsidRPr="002B1ADF" w:rsidRDefault="00E114F6" w:rsidP="00696B86">
      <w:pPr>
        <w:pStyle w:val="Bodycopy"/>
        <w:jc w:val="both"/>
        <w:rPr>
          <w:bCs/>
          <w:sz w:val="24"/>
          <w:szCs w:val="24"/>
        </w:rPr>
      </w:pPr>
      <w:r>
        <w:rPr>
          <w:sz w:val="24"/>
          <w:szCs w:val="24"/>
        </w:rPr>
        <w:t>There are very few</w:t>
      </w:r>
      <w:r w:rsidR="00CC264F" w:rsidRPr="002B1ADF">
        <w:rPr>
          <w:sz w:val="24"/>
          <w:szCs w:val="24"/>
        </w:rPr>
        <w:t xml:space="preserve"> studies ongoing with TNF</w:t>
      </w:r>
      <w:r>
        <w:rPr>
          <w:sz w:val="24"/>
          <w:szCs w:val="24"/>
        </w:rPr>
        <w:t>α</w:t>
      </w:r>
      <w:r w:rsidR="00CC264F" w:rsidRPr="002B1ADF">
        <w:rPr>
          <w:sz w:val="24"/>
          <w:szCs w:val="24"/>
        </w:rPr>
        <w:t xml:space="preserve"> and ACE-2 receptors</w:t>
      </w:r>
      <w:r>
        <w:rPr>
          <w:sz w:val="24"/>
          <w:szCs w:val="24"/>
        </w:rPr>
        <w:t xml:space="preserve"> antagonist</w:t>
      </w:r>
      <w:r w:rsidR="00CC264F" w:rsidRPr="002B1ADF">
        <w:rPr>
          <w:sz w:val="24"/>
          <w:szCs w:val="24"/>
        </w:rPr>
        <w:t xml:space="preserve">, it is important to </w:t>
      </w:r>
      <w:r w:rsidR="00634A4D" w:rsidRPr="002B1ADF">
        <w:rPr>
          <w:sz w:val="24"/>
          <w:szCs w:val="24"/>
        </w:rPr>
        <w:t xml:space="preserve">consider these type of </w:t>
      </w:r>
      <w:r w:rsidR="00AE07DF" w:rsidRPr="002B1ADF">
        <w:rPr>
          <w:sz w:val="24"/>
          <w:szCs w:val="24"/>
        </w:rPr>
        <w:t>products</w:t>
      </w:r>
      <w:r>
        <w:rPr>
          <w:sz w:val="24"/>
          <w:szCs w:val="24"/>
        </w:rPr>
        <w:t xml:space="preserve">, the relevant role </w:t>
      </w:r>
      <w:r w:rsidR="00AE07DF" w:rsidRPr="002B1ADF">
        <w:rPr>
          <w:sz w:val="24"/>
          <w:szCs w:val="24"/>
        </w:rPr>
        <w:t xml:space="preserve"> </w:t>
      </w:r>
      <w:r>
        <w:rPr>
          <w:sz w:val="24"/>
          <w:szCs w:val="24"/>
        </w:rPr>
        <w:t>in the pathophysiology and</w:t>
      </w:r>
      <w:r w:rsidR="00CC264F" w:rsidRPr="002B1ADF">
        <w:rPr>
          <w:sz w:val="24"/>
          <w:szCs w:val="24"/>
        </w:rPr>
        <w:t xml:space="preserve"> the biologic mechanism of harm associated with COVID-19 infection.</w:t>
      </w:r>
    </w:p>
    <w:p w:rsidR="00DA44A6" w:rsidRPr="002B1ADF" w:rsidRDefault="00AE07DF" w:rsidP="00696B86">
      <w:pPr>
        <w:pStyle w:val="Bodycopy"/>
        <w:jc w:val="both"/>
        <w:rPr>
          <w:sz w:val="24"/>
          <w:szCs w:val="24"/>
        </w:rPr>
      </w:pPr>
      <w:proofErr w:type="spellStart"/>
      <w:r w:rsidRPr="002B1ADF">
        <w:rPr>
          <w:sz w:val="24"/>
          <w:szCs w:val="24"/>
        </w:rPr>
        <w:t>Kinasa</w:t>
      </w:r>
      <w:proofErr w:type="spellEnd"/>
      <w:r w:rsidRPr="002B1ADF">
        <w:rPr>
          <w:sz w:val="24"/>
          <w:szCs w:val="24"/>
        </w:rPr>
        <w:t xml:space="preserve"> inhibitor</w:t>
      </w:r>
      <w:r w:rsidR="00C80FF8">
        <w:rPr>
          <w:sz w:val="24"/>
          <w:szCs w:val="24"/>
        </w:rPr>
        <w:t>s</w:t>
      </w:r>
      <w:r w:rsidRPr="002B1ADF">
        <w:rPr>
          <w:sz w:val="24"/>
          <w:szCs w:val="24"/>
        </w:rPr>
        <w:t xml:space="preserve"> like </w:t>
      </w:r>
      <w:proofErr w:type="spellStart"/>
      <w:r w:rsidRPr="002B1ADF">
        <w:rPr>
          <w:sz w:val="24"/>
          <w:szCs w:val="24"/>
        </w:rPr>
        <w:t>Batricinib</w:t>
      </w:r>
      <w:proofErr w:type="spellEnd"/>
      <w:r w:rsidRPr="002B1ADF">
        <w:rPr>
          <w:sz w:val="24"/>
          <w:szCs w:val="24"/>
        </w:rPr>
        <w:t xml:space="preserve"> </w:t>
      </w:r>
      <w:r w:rsidR="00C80FF8">
        <w:rPr>
          <w:sz w:val="24"/>
          <w:szCs w:val="24"/>
        </w:rPr>
        <w:t>were</w:t>
      </w:r>
      <w:r w:rsidRPr="002B1ADF">
        <w:rPr>
          <w:sz w:val="24"/>
          <w:szCs w:val="24"/>
        </w:rPr>
        <w:t xml:space="preserve"> included in the NIAID trial because it has an antiviral effect</w:t>
      </w:r>
      <w:r w:rsidR="00F80A0F" w:rsidRPr="002B1ADF">
        <w:rPr>
          <w:sz w:val="24"/>
          <w:szCs w:val="24"/>
        </w:rPr>
        <w:t xml:space="preserve"> (tested in vitro by Emory)</w:t>
      </w:r>
      <w:r w:rsidRPr="002B1ADF">
        <w:rPr>
          <w:sz w:val="24"/>
          <w:szCs w:val="24"/>
        </w:rPr>
        <w:t>, is licensed in many countries, widely available, millions</w:t>
      </w:r>
      <w:r w:rsidR="00C80FF8">
        <w:rPr>
          <w:sz w:val="24"/>
          <w:szCs w:val="24"/>
        </w:rPr>
        <w:t xml:space="preserve"> of </w:t>
      </w:r>
      <w:r w:rsidRPr="002B1ADF">
        <w:rPr>
          <w:sz w:val="24"/>
          <w:szCs w:val="24"/>
        </w:rPr>
        <w:t xml:space="preserve">courses </w:t>
      </w:r>
      <w:r w:rsidR="00C80FF8">
        <w:rPr>
          <w:sz w:val="24"/>
          <w:szCs w:val="24"/>
        </w:rPr>
        <w:t>are produced in a year</w:t>
      </w:r>
      <w:r w:rsidRPr="002B1ADF">
        <w:rPr>
          <w:sz w:val="24"/>
          <w:szCs w:val="24"/>
        </w:rPr>
        <w:t xml:space="preserve"> and it is relatively cheap. In </w:t>
      </w:r>
      <w:r w:rsidRPr="002B1ADF">
        <w:rPr>
          <w:sz w:val="24"/>
          <w:szCs w:val="24"/>
        </w:rPr>
        <w:lastRenderedPageBreak/>
        <w:t xml:space="preserve">addition, there were 2 cases treated with </w:t>
      </w:r>
      <w:r w:rsidR="00F80A0F" w:rsidRPr="002B1ADF">
        <w:rPr>
          <w:sz w:val="24"/>
          <w:szCs w:val="24"/>
        </w:rPr>
        <w:t>rapid improvement</w:t>
      </w:r>
      <w:r w:rsidRPr="002B1ADF">
        <w:rPr>
          <w:sz w:val="24"/>
          <w:szCs w:val="24"/>
        </w:rPr>
        <w:t>.</w:t>
      </w:r>
      <w:r w:rsidR="00F80A0F" w:rsidRPr="002B1ADF">
        <w:rPr>
          <w:sz w:val="24"/>
          <w:szCs w:val="24"/>
        </w:rPr>
        <w:t xml:space="preserve"> The current trial is </w:t>
      </w:r>
      <w:r w:rsidR="00C80FF8">
        <w:rPr>
          <w:sz w:val="24"/>
          <w:szCs w:val="24"/>
        </w:rPr>
        <w:t xml:space="preserve">with </w:t>
      </w:r>
      <w:proofErr w:type="spellStart"/>
      <w:r w:rsidR="00F80A0F" w:rsidRPr="002B1ADF">
        <w:rPr>
          <w:sz w:val="24"/>
          <w:szCs w:val="24"/>
        </w:rPr>
        <w:t>Remdesivir</w:t>
      </w:r>
      <w:proofErr w:type="spellEnd"/>
      <w:r w:rsidR="00F80A0F" w:rsidRPr="002B1ADF">
        <w:rPr>
          <w:sz w:val="24"/>
          <w:szCs w:val="24"/>
        </w:rPr>
        <w:t xml:space="preserve"> in both arms and </w:t>
      </w:r>
      <w:proofErr w:type="spellStart"/>
      <w:r w:rsidR="00F80A0F" w:rsidRPr="002B1ADF">
        <w:rPr>
          <w:sz w:val="24"/>
          <w:szCs w:val="24"/>
        </w:rPr>
        <w:t>Batricinib</w:t>
      </w:r>
      <w:proofErr w:type="spellEnd"/>
      <w:r w:rsidR="00F80A0F" w:rsidRPr="002B1ADF">
        <w:rPr>
          <w:sz w:val="24"/>
          <w:szCs w:val="24"/>
        </w:rPr>
        <w:t xml:space="preserve"> in one arm. It </w:t>
      </w:r>
      <w:r w:rsidR="007C7421">
        <w:rPr>
          <w:sz w:val="24"/>
          <w:szCs w:val="24"/>
        </w:rPr>
        <w:t xml:space="preserve">has a short half-life- </w:t>
      </w:r>
      <w:r w:rsidR="00F80A0F" w:rsidRPr="002B1ADF">
        <w:rPr>
          <w:sz w:val="24"/>
          <w:szCs w:val="24"/>
        </w:rPr>
        <w:t xml:space="preserve">in case of sepsis treatment can </w:t>
      </w:r>
      <w:r w:rsidR="007C7421">
        <w:rPr>
          <w:sz w:val="24"/>
          <w:szCs w:val="24"/>
        </w:rPr>
        <w:t xml:space="preserve">be </w:t>
      </w:r>
      <w:r w:rsidR="00F80A0F" w:rsidRPr="002B1ADF">
        <w:rPr>
          <w:sz w:val="24"/>
          <w:szCs w:val="24"/>
        </w:rPr>
        <w:t>stop</w:t>
      </w:r>
      <w:r w:rsidR="007C7421">
        <w:rPr>
          <w:sz w:val="24"/>
          <w:szCs w:val="24"/>
        </w:rPr>
        <w:t>ped</w:t>
      </w:r>
      <w:r w:rsidR="00F80A0F" w:rsidRPr="002B1ADF">
        <w:rPr>
          <w:sz w:val="24"/>
          <w:szCs w:val="24"/>
        </w:rPr>
        <w:t xml:space="preserve"> and the drug is cleared rapidly. </w:t>
      </w:r>
      <w:r w:rsidR="007C7421">
        <w:rPr>
          <w:sz w:val="24"/>
          <w:szCs w:val="24"/>
        </w:rPr>
        <w:t>There are s</w:t>
      </w:r>
      <w:r w:rsidR="00F80A0F" w:rsidRPr="002B1ADF">
        <w:rPr>
          <w:sz w:val="24"/>
          <w:szCs w:val="24"/>
        </w:rPr>
        <w:t>ome safety concerns with long treatments, the drug has been associated with thrombosis and embolism which is particularly relevant in COVID-19.</w:t>
      </w:r>
    </w:p>
    <w:p w:rsidR="00F80A0F" w:rsidRPr="002B1ADF" w:rsidRDefault="000871F9" w:rsidP="00696B86">
      <w:pPr>
        <w:pStyle w:val="Bodycopy"/>
        <w:jc w:val="both"/>
        <w:rPr>
          <w:sz w:val="24"/>
          <w:szCs w:val="24"/>
        </w:rPr>
      </w:pPr>
      <w:r w:rsidRPr="002B1ADF">
        <w:rPr>
          <w:sz w:val="24"/>
          <w:szCs w:val="24"/>
        </w:rPr>
        <w:t xml:space="preserve">There are several ongoing trials with immunomodulators, but looking </w:t>
      </w:r>
      <w:r w:rsidR="00D25CCB" w:rsidRPr="002B1ADF">
        <w:rPr>
          <w:sz w:val="24"/>
          <w:szCs w:val="24"/>
        </w:rPr>
        <w:t xml:space="preserve">at </w:t>
      </w:r>
      <w:r w:rsidRPr="002B1ADF">
        <w:rPr>
          <w:sz w:val="24"/>
          <w:szCs w:val="24"/>
        </w:rPr>
        <w:t>clinical improvement end points</w:t>
      </w:r>
      <w:r w:rsidR="00D25CCB" w:rsidRPr="002B1ADF">
        <w:rPr>
          <w:sz w:val="24"/>
          <w:szCs w:val="24"/>
        </w:rPr>
        <w:t xml:space="preserve"> and</w:t>
      </w:r>
      <w:r w:rsidR="00191E8D" w:rsidRPr="002B1ADF">
        <w:rPr>
          <w:sz w:val="24"/>
          <w:szCs w:val="24"/>
        </w:rPr>
        <w:t xml:space="preserve"> progression of the disease in the ordinal scale. Only the solidarity trial has mortality as primary end point, therefore once clinical data from these studies show clinical benefit</w:t>
      </w:r>
      <w:r w:rsidR="00D25CCB" w:rsidRPr="002B1ADF">
        <w:rPr>
          <w:sz w:val="24"/>
          <w:szCs w:val="24"/>
        </w:rPr>
        <w:t>, these therapies could be included in the solidarity trial. After 20 years of studies immunomodulators therapies have not shown strong benefits and some have shown harm like microangiopathies and in</w:t>
      </w:r>
      <w:r w:rsidR="007C7421">
        <w:rPr>
          <w:sz w:val="24"/>
          <w:szCs w:val="24"/>
        </w:rPr>
        <w:t>-</w:t>
      </w:r>
      <w:r w:rsidR="00D25CCB" w:rsidRPr="002B1ADF">
        <w:rPr>
          <w:sz w:val="24"/>
          <w:szCs w:val="24"/>
        </w:rPr>
        <w:t xml:space="preserve">situ clotting. Autopsies </w:t>
      </w:r>
      <w:r w:rsidR="007C7421">
        <w:rPr>
          <w:sz w:val="24"/>
          <w:szCs w:val="24"/>
        </w:rPr>
        <w:t>made in NY city showed</w:t>
      </w:r>
      <w:r w:rsidR="00D25CCB" w:rsidRPr="002B1ADF">
        <w:rPr>
          <w:sz w:val="24"/>
          <w:szCs w:val="24"/>
        </w:rPr>
        <w:t xml:space="preserve"> massive clotting within the organ damaged, consequently </w:t>
      </w:r>
      <w:r w:rsidR="007C7421">
        <w:rPr>
          <w:sz w:val="24"/>
          <w:szCs w:val="24"/>
        </w:rPr>
        <w:t xml:space="preserve">clotting and thrombosis </w:t>
      </w:r>
      <w:r w:rsidR="00D25CCB" w:rsidRPr="002B1ADF">
        <w:rPr>
          <w:sz w:val="24"/>
          <w:szCs w:val="24"/>
        </w:rPr>
        <w:t>should be the clinical priority</w:t>
      </w:r>
      <w:r w:rsidR="007C7421">
        <w:rPr>
          <w:sz w:val="24"/>
          <w:szCs w:val="24"/>
        </w:rPr>
        <w:t xml:space="preserve"> to treatment</w:t>
      </w:r>
      <w:r w:rsidR="00D25CCB" w:rsidRPr="002B1ADF">
        <w:rPr>
          <w:sz w:val="24"/>
          <w:szCs w:val="24"/>
        </w:rPr>
        <w:t>.</w:t>
      </w:r>
    </w:p>
    <w:p w:rsidR="009B2609" w:rsidRDefault="007C7421" w:rsidP="00696B86">
      <w:pPr>
        <w:pStyle w:val="Bodycopy"/>
        <w:jc w:val="both"/>
        <w:rPr>
          <w:sz w:val="24"/>
          <w:szCs w:val="24"/>
        </w:rPr>
      </w:pPr>
      <w:r w:rsidRPr="007C7421">
        <w:rPr>
          <w:sz w:val="24"/>
          <w:szCs w:val="24"/>
          <w:lang w:val="en-GB"/>
        </w:rPr>
        <w:t xml:space="preserve">Since there are no ongoing trials with TNFα, it may be useful to search the registry that the British society of Rheumatology. There may be data that could </w:t>
      </w:r>
      <w:r>
        <w:rPr>
          <w:sz w:val="24"/>
          <w:szCs w:val="24"/>
          <w:lang w:val="en-GB"/>
        </w:rPr>
        <w:t xml:space="preserve">suggest whether TNFα </w:t>
      </w:r>
      <w:r w:rsidRPr="007C7421">
        <w:rPr>
          <w:sz w:val="24"/>
          <w:szCs w:val="24"/>
          <w:lang w:val="en-GB"/>
        </w:rPr>
        <w:t>inhibitors might be worthwhile.</w:t>
      </w:r>
      <w:r w:rsidRPr="007C7421">
        <w:rPr>
          <w:szCs w:val="20"/>
          <w:lang w:val="en-GB"/>
        </w:rPr>
        <w:t xml:space="preserve"> </w:t>
      </w:r>
      <w:r w:rsidRPr="007C7421">
        <w:rPr>
          <w:sz w:val="24"/>
          <w:szCs w:val="24"/>
          <w:lang w:val="en-GB"/>
        </w:rPr>
        <w:t xml:space="preserve">So, there might be additional retrospective, coincidental clinical data that would be useful to assess if TNFα inhibitors should be tested in some pilot studies. For instance, there are patients under  treatment with TNFα for rheumatoid arthritis, oncology </w:t>
      </w:r>
      <w:proofErr w:type="spellStart"/>
      <w:r w:rsidRPr="007C7421">
        <w:rPr>
          <w:sz w:val="24"/>
          <w:szCs w:val="24"/>
          <w:lang w:val="en-GB"/>
        </w:rPr>
        <w:t>leukemia</w:t>
      </w:r>
      <w:proofErr w:type="spellEnd"/>
      <w:r w:rsidRPr="007C7421">
        <w:rPr>
          <w:sz w:val="24"/>
          <w:szCs w:val="24"/>
          <w:lang w:val="en-GB"/>
        </w:rPr>
        <w:t>, therefore it would be interesting to see what would be the outcome of this population regarding COVID-19.</w:t>
      </w:r>
    </w:p>
    <w:p w:rsidR="002A5381" w:rsidRDefault="00D011AD" w:rsidP="00696B86">
      <w:pPr>
        <w:pStyle w:val="Bodycopy"/>
        <w:jc w:val="both"/>
        <w:rPr>
          <w:sz w:val="24"/>
          <w:szCs w:val="24"/>
        </w:rPr>
      </w:pPr>
      <w:r>
        <w:rPr>
          <w:sz w:val="24"/>
          <w:szCs w:val="24"/>
        </w:rPr>
        <w:t xml:space="preserve">Anti-complement C5 called </w:t>
      </w:r>
      <w:proofErr w:type="spellStart"/>
      <w:r w:rsidR="002A5381" w:rsidRPr="002A5381">
        <w:rPr>
          <w:sz w:val="24"/>
          <w:szCs w:val="24"/>
        </w:rPr>
        <w:t>Zilucopl</w:t>
      </w:r>
      <w:r w:rsidR="007C7421">
        <w:rPr>
          <w:sz w:val="24"/>
          <w:szCs w:val="24"/>
        </w:rPr>
        <w:t>an</w:t>
      </w:r>
      <w:proofErr w:type="spellEnd"/>
      <w:r w:rsidR="007C7421">
        <w:rPr>
          <w:sz w:val="24"/>
          <w:szCs w:val="24"/>
        </w:rPr>
        <w:t xml:space="preserve"> (formerly known as RA101495)</w:t>
      </w:r>
      <w:r>
        <w:rPr>
          <w:sz w:val="24"/>
          <w:szCs w:val="24"/>
        </w:rPr>
        <w:t xml:space="preserve"> is not in the table provided by the secretariat, </w:t>
      </w:r>
      <w:r w:rsidR="007C7421">
        <w:rPr>
          <w:sz w:val="24"/>
          <w:szCs w:val="24"/>
        </w:rPr>
        <w:t xml:space="preserve">it </w:t>
      </w:r>
      <w:r w:rsidR="002A5381" w:rsidRPr="002A5381">
        <w:rPr>
          <w:sz w:val="24"/>
          <w:szCs w:val="24"/>
        </w:rPr>
        <w:t>is an artificial peptide that binds to complement 5 (C5), inhibiting its activity and preventing the overactivation of the complement system —</w:t>
      </w:r>
      <w:r>
        <w:rPr>
          <w:sz w:val="24"/>
          <w:szCs w:val="24"/>
        </w:rPr>
        <w:t xml:space="preserve"> administration is subcutaneous,</w:t>
      </w:r>
      <w:r w:rsidR="002A5381" w:rsidRPr="002A5381">
        <w:rPr>
          <w:sz w:val="24"/>
          <w:szCs w:val="24"/>
        </w:rPr>
        <w:t xml:space="preserve"> </w:t>
      </w:r>
      <w:r>
        <w:rPr>
          <w:sz w:val="24"/>
          <w:szCs w:val="24"/>
        </w:rPr>
        <w:t xml:space="preserve">it </w:t>
      </w:r>
      <w:r w:rsidR="007C7421">
        <w:rPr>
          <w:sz w:val="24"/>
          <w:szCs w:val="24"/>
        </w:rPr>
        <w:t>is</w:t>
      </w:r>
      <w:r>
        <w:rPr>
          <w:sz w:val="24"/>
          <w:szCs w:val="24"/>
        </w:rPr>
        <w:t xml:space="preserve"> easier </w:t>
      </w:r>
      <w:r w:rsidR="007C7421">
        <w:rPr>
          <w:sz w:val="24"/>
          <w:szCs w:val="24"/>
        </w:rPr>
        <w:t xml:space="preserve">administer </w:t>
      </w:r>
      <w:r>
        <w:rPr>
          <w:sz w:val="24"/>
          <w:szCs w:val="24"/>
        </w:rPr>
        <w:t xml:space="preserve">than </w:t>
      </w:r>
      <w:proofErr w:type="spellStart"/>
      <w:r>
        <w:rPr>
          <w:sz w:val="24"/>
          <w:szCs w:val="24"/>
        </w:rPr>
        <w:t>mAbs</w:t>
      </w:r>
      <w:proofErr w:type="spellEnd"/>
      <w:r>
        <w:rPr>
          <w:sz w:val="24"/>
          <w:szCs w:val="24"/>
        </w:rPr>
        <w:t xml:space="preserve">. It is now in phase III for treatment of myasthenia gravis. </w:t>
      </w:r>
    </w:p>
    <w:p w:rsidR="002703C0" w:rsidRPr="007C7421" w:rsidRDefault="007C7421" w:rsidP="007C7421">
      <w:pPr>
        <w:jc w:val="both"/>
        <w:rPr>
          <w:sz w:val="24"/>
          <w:szCs w:val="24"/>
          <w:lang w:val="en-US"/>
        </w:rPr>
      </w:pPr>
      <w:r w:rsidRPr="007C7421">
        <w:rPr>
          <w:sz w:val="24"/>
          <w:szCs w:val="24"/>
          <w:lang w:val="en-US"/>
        </w:rPr>
        <w:t>We need to have more information about the role of C5 in the pathogenesis of COVID-19 before considering antagonist therapies. It seems that patients in France have high level of Complement, the reports have not been yet published. There are some pre-clinical data in mice (also from MERS) suggesting there may be some benefits of the type of C5 antagonists. There is a small ongoing clinical trial in Europe testing anti-complement therapeutics.</w:t>
      </w:r>
    </w:p>
    <w:p w:rsidR="002703C0" w:rsidRPr="009A2749" w:rsidRDefault="009A2749" w:rsidP="009A2749">
      <w:pPr>
        <w:jc w:val="both"/>
        <w:rPr>
          <w:sz w:val="24"/>
          <w:szCs w:val="24"/>
          <w:lang w:val="en-US"/>
        </w:rPr>
      </w:pPr>
      <w:proofErr w:type="spellStart"/>
      <w:r w:rsidRPr="009A2749">
        <w:rPr>
          <w:sz w:val="24"/>
          <w:szCs w:val="24"/>
          <w:lang w:val="en-US"/>
        </w:rPr>
        <w:t>Nafamostat</w:t>
      </w:r>
      <w:proofErr w:type="spellEnd"/>
      <w:r w:rsidRPr="009A2749">
        <w:rPr>
          <w:sz w:val="24"/>
          <w:szCs w:val="24"/>
          <w:lang w:val="en-US"/>
        </w:rPr>
        <w:t xml:space="preserve"> (serine protease inhibitor and anticoagulant), </w:t>
      </w:r>
      <w:proofErr w:type="spellStart"/>
      <w:r w:rsidRPr="009A2749">
        <w:rPr>
          <w:sz w:val="24"/>
          <w:szCs w:val="24"/>
          <w:lang w:val="en-US"/>
        </w:rPr>
        <w:t>Camostat</w:t>
      </w:r>
      <w:proofErr w:type="spellEnd"/>
      <w:r w:rsidRPr="009A2749">
        <w:rPr>
          <w:sz w:val="24"/>
          <w:szCs w:val="24"/>
          <w:lang w:val="en-US"/>
        </w:rPr>
        <w:t xml:space="preserve"> and anticoagulant (heparin) are not immunomodulator therapies, but members suggested they be considered as well in future discussions. There are several trials in Europe with </w:t>
      </w:r>
      <w:proofErr w:type="spellStart"/>
      <w:r w:rsidRPr="009A2749">
        <w:rPr>
          <w:sz w:val="24"/>
          <w:szCs w:val="24"/>
          <w:lang w:val="en-US"/>
        </w:rPr>
        <w:t>Camostat</w:t>
      </w:r>
      <w:proofErr w:type="spellEnd"/>
      <w:r w:rsidRPr="009A2749">
        <w:rPr>
          <w:sz w:val="24"/>
          <w:szCs w:val="24"/>
          <w:lang w:val="en-US"/>
        </w:rPr>
        <w:t>/</w:t>
      </w:r>
      <w:proofErr w:type="spellStart"/>
      <w:r w:rsidRPr="009A2749">
        <w:rPr>
          <w:sz w:val="24"/>
          <w:szCs w:val="24"/>
          <w:lang w:val="en-US"/>
        </w:rPr>
        <w:t>Nafamostast</w:t>
      </w:r>
      <w:proofErr w:type="spellEnd"/>
      <w:r w:rsidRPr="009A2749">
        <w:rPr>
          <w:sz w:val="24"/>
          <w:szCs w:val="24"/>
          <w:lang w:val="en-US"/>
        </w:rPr>
        <w:t xml:space="preserve">  in combination with HCQ/AZM (Denmark, Germany, USA). There </w:t>
      </w:r>
      <w:r>
        <w:rPr>
          <w:sz w:val="24"/>
          <w:szCs w:val="24"/>
          <w:lang w:val="en-US"/>
        </w:rPr>
        <w:t>are might</w:t>
      </w:r>
      <w:r w:rsidRPr="009A2749">
        <w:rPr>
          <w:sz w:val="24"/>
          <w:szCs w:val="24"/>
          <w:lang w:val="en-US"/>
        </w:rPr>
        <w:t xml:space="preserve"> be some supply/availability issues since it is only </w:t>
      </w:r>
      <w:r w:rsidRPr="009A2749">
        <w:rPr>
          <w:sz w:val="24"/>
          <w:szCs w:val="24"/>
          <w:lang w:val="en-US"/>
        </w:rPr>
        <w:lastRenderedPageBreak/>
        <w:t xml:space="preserve">approved in Japan and South Korea. Administration could also be problematic given the very short half-life in plasma and to reach an effective concentration. </w:t>
      </w:r>
      <w:r w:rsidR="00D1752E">
        <w:rPr>
          <w:sz w:val="24"/>
          <w:szCs w:val="24"/>
        </w:rPr>
        <w:t xml:space="preserve"> </w:t>
      </w:r>
    </w:p>
    <w:p w:rsidR="00D1752E" w:rsidRDefault="00D1752E" w:rsidP="009A2749">
      <w:pPr>
        <w:pStyle w:val="Bodycopy"/>
        <w:jc w:val="both"/>
        <w:rPr>
          <w:sz w:val="24"/>
          <w:szCs w:val="24"/>
        </w:rPr>
      </w:pPr>
      <w:r>
        <w:rPr>
          <w:sz w:val="24"/>
          <w:szCs w:val="24"/>
        </w:rPr>
        <w:t xml:space="preserve">Colchicine could be also added to the list. </w:t>
      </w:r>
      <w:r w:rsidR="00EB70D6">
        <w:rPr>
          <w:sz w:val="24"/>
          <w:szCs w:val="24"/>
        </w:rPr>
        <w:t xml:space="preserve">It is widely available, easy to produce and not expensive. </w:t>
      </w:r>
      <w:r>
        <w:rPr>
          <w:sz w:val="24"/>
          <w:szCs w:val="24"/>
        </w:rPr>
        <w:t xml:space="preserve">There are </w:t>
      </w:r>
      <w:r w:rsidR="00EC4E14">
        <w:rPr>
          <w:sz w:val="24"/>
          <w:szCs w:val="24"/>
        </w:rPr>
        <w:t>clinical trials in Italy and Canada.</w:t>
      </w:r>
    </w:p>
    <w:p w:rsidR="00EC4E14" w:rsidRDefault="00EC4E14" w:rsidP="009A2749">
      <w:pPr>
        <w:pStyle w:val="Bodycopy"/>
        <w:jc w:val="both"/>
        <w:rPr>
          <w:sz w:val="24"/>
          <w:szCs w:val="24"/>
        </w:rPr>
      </w:pPr>
      <w:r>
        <w:rPr>
          <w:sz w:val="24"/>
          <w:szCs w:val="24"/>
        </w:rPr>
        <w:t>Human recombinant GM-</w:t>
      </w:r>
      <w:proofErr w:type="spellStart"/>
      <w:r>
        <w:rPr>
          <w:sz w:val="24"/>
          <w:szCs w:val="24"/>
        </w:rPr>
        <w:t>csf</w:t>
      </w:r>
      <w:proofErr w:type="spellEnd"/>
      <w:r>
        <w:rPr>
          <w:sz w:val="24"/>
          <w:szCs w:val="24"/>
        </w:rPr>
        <w:t xml:space="preserve"> should be also added to the list.</w:t>
      </w:r>
    </w:p>
    <w:p w:rsidR="00EC4E14" w:rsidRDefault="00EC4E14" w:rsidP="00AE07DF">
      <w:pPr>
        <w:pStyle w:val="Bodycopy"/>
        <w:rPr>
          <w:sz w:val="24"/>
          <w:szCs w:val="24"/>
        </w:rPr>
      </w:pPr>
    </w:p>
    <w:p w:rsidR="000B5B67" w:rsidRDefault="000B5B67" w:rsidP="0033393B">
      <w:pPr>
        <w:pStyle w:val="Numberedlist"/>
        <w:ind w:left="0"/>
        <w:rPr>
          <w:b w:val="0"/>
        </w:rPr>
      </w:pPr>
      <w:r w:rsidRPr="00A55B22">
        <w:rPr>
          <w:rFonts w:cstheme="majorBidi"/>
          <w:bCs w:val="0"/>
          <w:color w:val="1B4379" w:themeColor="text2"/>
          <w:sz w:val="32"/>
          <w:lang w:val="en-GB" w:eastAsia="zh-CN"/>
        </w:rPr>
        <w:t>Conclusions</w:t>
      </w:r>
      <w:r w:rsidRPr="00A55B22">
        <w:rPr>
          <w:b w:val="0"/>
        </w:rPr>
        <w:t>:</w:t>
      </w:r>
    </w:p>
    <w:p w:rsidR="00EB34D3" w:rsidRDefault="009866B1" w:rsidP="009A2749">
      <w:pPr>
        <w:pStyle w:val="Numberedlist"/>
        <w:ind w:left="0"/>
        <w:jc w:val="both"/>
        <w:rPr>
          <w:b w:val="0"/>
        </w:rPr>
      </w:pPr>
      <w:r>
        <w:rPr>
          <w:b w:val="0"/>
        </w:rPr>
        <w:t>There are many studies ongoing in Europe</w:t>
      </w:r>
      <w:r w:rsidR="00C36174">
        <w:rPr>
          <w:b w:val="0"/>
        </w:rPr>
        <w:t xml:space="preserve"> (Italy and Spain)</w:t>
      </w:r>
      <w:r>
        <w:rPr>
          <w:b w:val="0"/>
        </w:rPr>
        <w:t xml:space="preserve"> testing different types of immunomodulators. </w:t>
      </w:r>
      <w:r w:rsidR="00EB34D3">
        <w:rPr>
          <w:b w:val="0"/>
        </w:rPr>
        <w:t>IL-6 inhibitors (</w:t>
      </w:r>
      <w:r w:rsidR="00475B29">
        <w:rPr>
          <w:b w:val="0"/>
        </w:rPr>
        <w:t xml:space="preserve">e.g. </w:t>
      </w:r>
      <w:proofErr w:type="spellStart"/>
      <w:r w:rsidR="00EB34D3">
        <w:rPr>
          <w:b w:val="0"/>
        </w:rPr>
        <w:t>Tocilizumad</w:t>
      </w:r>
      <w:proofErr w:type="spellEnd"/>
      <w:r w:rsidR="00EB34D3">
        <w:rPr>
          <w:b w:val="0"/>
        </w:rPr>
        <w:t xml:space="preserve">) are the most used in trials, preliminary results from a RCT in France shows some </w:t>
      </w:r>
      <w:r w:rsidR="001E70F5">
        <w:rPr>
          <w:b w:val="0"/>
        </w:rPr>
        <w:t>effect</w:t>
      </w:r>
      <w:r w:rsidR="00475B29">
        <w:rPr>
          <w:b w:val="0"/>
        </w:rPr>
        <w:t xml:space="preserve"> </w:t>
      </w:r>
      <w:hyperlink r:id="rId16" w:history="1">
        <w:r w:rsidR="00475B29" w:rsidRPr="00CA77A3">
          <w:rPr>
            <w:rStyle w:val="Hyperlink"/>
            <w:b w:val="0"/>
          </w:rPr>
          <w:t>https://www.aphp.fr/contenu/tocilizumab-improves-significantly-clinical-outcomes-patients-moderate-or-severe-covid-19</w:t>
        </w:r>
      </w:hyperlink>
      <w:r w:rsidR="00EB34D3">
        <w:rPr>
          <w:b w:val="0"/>
        </w:rPr>
        <w:t xml:space="preserve">. Though </w:t>
      </w:r>
      <w:proofErr w:type="spellStart"/>
      <w:r w:rsidR="00EB34D3" w:rsidRPr="00EB34D3">
        <w:rPr>
          <w:b w:val="0"/>
        </w:rPr>
        <w:t>Sarilumab</w:t>
      </w:r>
      <w:proofErr w:type="spellEnd"/>
      <w:r w:rsidR="00EB34D3">
        <w:rPr>
          <w:b w:val="0"/>
        </w:rPr>
        <w:t xml:space="preserve"> did not show</w:t>
      </w:r>
      <w:r w:rsidR="00213576">
        <w:rPr>
          <w:b w:val="0"/>
        </w:rPr>
        <w:t xml:space="preserve"> a clear clinical benefit</w:t>
      </w:r>
      <w:r w:rsidR="00EB34D3">
        <w:rPr>
          <w:b w:val="0"/>
        </w:rPr>
        <w:t>.</w:t>
      </w:r>
      <w:r w:rsidR="00213576" w:rsidRPr="00213576">
        <w:t xml:space="preserve"> </w:t>
      </w:r>
      <w:hyperlink r:id="rId17" w:history="1">
        <w:r w:rsidR="00213576" w:rsidRPr="00CA77A3">
          <w:rPr>
            <w:rStyle w:val="Hyperlink"/>
            <w:b w:val="0"/>
          </w:rPr>
          <w:t>https://www.sanofi.com/-/media/Project/One-Sanofi-Web/Websites/Global/Sanofi-COM/Home/media-room/press-releases/2020/2020-04-27-12-58-00-2022288-en.pdf</w:t>
        </w:r>
      </w:hyperlink>
      <w:r w:rsidR="00213576">
        <w:rPr>
          <w:b w:val="0"/>
        </w:rPr>
        <w:t xml:space="preserve"> </w:t>
      </w:r>
    </w:p>
    <w:p w:rsidR="00696B86" w:rsidRDefault="00EC4E14" w:rsidP="009A2749">
      <w:pPr>
        <w:pStyle w:val="Numberedlist"/>
        <w:ind w:left="0"/>
        <w:jc w:val="both"/>
        <w:rPr>
          <w:b w:val="0"/>
        </w:rPr>
      </w:pPr>
      <w:r>
        <w:rPr>
          <w:b w:val="0"/>
        </w:rPr>
        <w:t>There are some safety concern</w:t>
      </w:r>
      <w:r w:rsidR="00EB70D6">
        <w:rPr>
          <w:b w:val="0"/>
        </w:rPr>
        <w:t>s</w:t>
      </w:r>
      <w:r>
        <w:rPr>
          <w:b w:val="0"/>
        </w:rPr>
        <w:t xml:space="preserve"> about the use of immunomodulators,</w:t>
      </w:r>
      <w:r w:rsidR="00120CB2">
        <w:rPr>
          <w:b w:val="0"/>
        </w:rPr>
        <w:t xml:space="preserve"> these immunotherapies have been approved for other diseases in a diff</w:t>
      </w:r>
      <w:r w:rsidR="009A2749">
        <w:rPr>
          <w:b w:val="0"/>
        </w:rPr>
        <w:t xml:space="preserve">erent context, and there are </w:t>
      </w:r>
      <w:r w:rsidR="00120CB2">
        <w:rPr>
          <w:b w:val="0"/>
        </w:rPr>
        <w:t xml:space="preserve">some risks in the context of severe pneumonia. </w:t>
      </w:r>
    </w:p>
    <w:p w:rsidR="009866B1" w:rsidRDefault="009A2749" w:rsidP="009A2749">
      <w:pPr>
        <w:spacing w:before="60"/>
        <w:jc w:val="both"/>
        <w:rPr>
          <w:rFonts w:eastAsiaTheme="majorEastAsia" w:cs="Times New Roman"/>
          <w:bCs/>
          <w:sz w:val="24"/>
          <w:szCs w:val="32"/>
          <w:lang w:val="en-US" w:eastAsia="ja-JP"/>
        </w:rPr>
      </w:pPr>
      <w:r w:rsidRPr="009A2749">
        <w:rPr>
          <w:rFonts w:eastAsiaTheme="majorEastAsia" w:cs="Times New Roman"/>
          <w:bCs/>
          <w:sz w:val="24"/>
          <w:szCs w:val="32"/>
          <w:lang w:val="en-US" w:eastAsia="ja-JP"/>
        </w:rPr>
        <w:t xml:space="preserve">Current clinical trials in Italy and Spain showed an increase of infections, however these data are not being collected systemically since is not the main objective of the study. We also need to consider which population would really benefit for the type of therapies. However, </w:t>
      </w:r>
      <w:r w:rsidR="009866B1">
        <w:rPr>
          <w:rFonts w:eastAsiaTheme="majorEastAsia" w:cs="Times New Roman"/>
          <w:bCs/>
          <w:sz w:val="24"/>
          <w:szCs w:val="32"/>
          <w:lang w:val="en-US" w:eastAsia="ja-JP"/>
        </w:rPr>
        <w:t>these therapies may have some benefits in specific patients populations</w:t>
      </w:r>
      <w:r w:rsidR="00703ED9">
        <w:rPr>
          <w:rFonts w:eastAsiaTheme="majorEastAsia" w:cs="Times New Roman"/>
          <w:bCs/>
          <w:sz w:val="24"/>
          <w:szCs w:val="32"/>
          <w:lang w:val="en-US" w:eastAsia="ja-JP"/>
        </w:rPr>
        <w:t xml:space="preserve"> treated at the right stage of illness</w:t>
      </w:r>
      <w:r w:rsidR="009866B1">
        <w:rPr>
          <w:rFonts w:eastAsiaTheme="majorEastAsia" w:cs="Times New Roman"/>
          <w:bCs/>
          <w:sz w:val="24"/>
          <w:szCs w:val="32"/>
          <w:lang w:val="en-US" w:eastAsia="ja-JP"/>
        </w:rPr>
        <w:t xml:space="preserve"> and this </w:t>
      </w:r>
      <w:r w:rsidR="00703ED9">
        <w:rPr>
          <w:rFonts w:eastAsiaTheme="majorEastAsia" w:cs="Times New Roman"/>
          <w:bCs/>
          <w:sz w:val="24"/>
          <w:szCs w:val="32"/>
          <w:lang w:val="en-US" w:eastAsia="ja-JP"/>
        </w:rPr>
        <w:t xml:space="preserve">emphasizes </w:t>
      </w:r>
      <w:r w:rsidR="009866B1">
        <w:rPr>
          <w:rFonts w:eastAsiaTheme="majorEastAsia" w:cs="Times New Roman"/>
          <w:bCs/>
          <w:sz w:val="24"/>
          <w:szCs w:val="32"/>
          <w:lang w:val="en-US" w:eastAsia="ja-JP"/>
        </w:rPr>
        <w:t xml:space="preserve"> the importance of having good quality of data from RCTs. </w:t>
      </w:r>
    </w:p>
    <w:p w:rsidR="00921259" w:rsidRDefault="005F7054" w:rsidP="009A2749">
      <w:pPr>
        <w:spacing w:before="60"/>
        <w:jc w:val="both"/>
        <w:rPr>
          <w:rFonts w:eastAsiaTheme="majorEastAsia" w:cs="Times New Roman"/>
          <w:bCs/>
          <w:sz w:val="24"/>
          <w:szCs w:val="32"/>
          <w:lang w:val="en-US" w:eastAsia="ja-JP"/>
        </w:rPr>
      </w:pPr>
      <w:r>
        <w:rPr>
          <w:rFonts w:eastAsiaTheme="majorEastAsia" w:cs="Times New Roman"/>
          <w:bCs/>
          <w:sz w:val="24"/>
          <w:szCs w:val="32"/>
          <w:lang w:val="en-US" w:eastAsia="ja-JP"/>
        </w:rPr>
        <w:t>The Clinical Trial design Working Group will have a TC on 7</w:t>
      </w:r>
      <w:r w:rsidRPr="005F7054">
        <w:rPr>
          <w:rFonts w:eastAsiaTheme="majorEastAsia" w:cs="Times New Roman"/>
          <w:bCs/>
          <w:sz w:val="24"/>
          <w:szCs w:val="32"/>
          <w:vertAlign w:val="superscript"/>
          <w:lang w:val="en-US" w:eastAsia="ja-JP"/>
        </w:rPr>
        <w:t>th</w:t>
      </w:r>
      <w:r>
        <w:rPr>
          <w:rFonts w:eastAsiaTheme="majorEastAsia" w:cs="Times New Roman"/>
          <w:bCs/>
          <w:sz w:val="24"/>
          <w:szCs w:val="32"/>
          <w:lang w:val="en-US" w:eastAsia="ja-JP"/>
        </w:rPr>
        <w:t xml:space="preserve"> May to review the Solidarity protocol and discuss whether it needs to be adjusted if a new arm with immunomodulators would added including safety as an outcome. </w:t>
      </w:r>
      <w:bookmarkStart w:id="21" w:name="_GoBack"/>
      <w:bookmarkEnd w:id="21"/>
    </w:p>
    <w:p w:rsidR="009A2749" w:rsidRPr="009A2749" w:rsidRDefault="009866B1" w:rsidP="009A2749">
      <w:pPr>
        <w:spacing w:before="60"/>
        <w:jc w:val="both"/>
        <w:rPr>
          <w:rFonts w:eastAsiaTheme="majorEastAsia" w:cs="Times New Roman"/>
          <w:bCs/>
          <w:sz w:val="24"/>
          <w:szCs w:val="32"/>
          <w:lang w:val="en-US" w:eastAsia="ja-JP"/>
        </w:rPr>
      </w:pPr>
      <w:r>
        <w:rPr>
          <w:rFonts w:eastAsiaTheme="majorEastAsia" w:cs="Times New Roman"/>
          <w:bCs/>
          <w:sz w:val="24"/>
          <w:szCs w:val="32"/>
          <w:lang w:val="en-US" w:eastAsia="ja-JP"/>
        </w:rPr>
        <w:t xml:space="preserve">The secretariat reminds </w:t>
      </w:r>
      <w:r w:rsidR="007A75AE">
        <w:rPr>
          <w:rFonts w:eastAsiaTheme="majorEastAsia" w:cs="Times New Roman"/>
          <w:bCs/>
          <w:sz w:val="24"/>
          <w:szCs w:val="32"/>
          <w:lang w:val="en-US" w:eastAsia="ja-JP"/>
        </w:rPr>
        <w:t xml:space="preserve">to </w:t>
      </w:r>
      <w:r>
        <w:rPr>
          <w:rFonts w:eastAsiaTheme="majorEastAsia" w:cs="Times New Roman"/>
          <w:bCs/>
          <w:sz w:val="24"/>
          <w:szCs w:val="32"/>
          <w:lang w:val="en-US" w:eastAsia="ja-JP"/>
        </w:rPr>
        <w:t xml:space="preserve">the members </w:t>
      </w:r>
      <w:r w:rsidR="00C5049F">
        <w:rPr>
          <w:rFonts w:eastAsiaTheme="majorEastAsia" w:cs="Times New Roman"/>
          <w:bCs/>
          <w:sz w:val="24"/>
          <w:szCs w:val="32"/>
          <w:lang w:val="en-US" w:eastAsia="ja-JP"/>
        </w:rPr>
        <w:t xml:space="preserve">of the WG </w:t>
      </w:r>
      <w:r>
        <w:rPr>
          <w:rFonts w:eastAsiaTheme="majorEastAsia" w:cs="Times New Roman"/>
          <w:bCs/>
          <w:sz w:val="24"/>
          <w:szCs w:val="32"/>
          <w:lang w:val="en-US" w:eastAsia="ja-JP"/>
        </w:rPr>
        <w:t xml:space="preserve">that </w:t>
      </w:r>
      <w:r w:rsidR="009A2749" w:rsidRPr="009A2749">
        <w:rPr>
          <w:rFonts w:eastAsiaTheme="majorEastAsia" w:cs="Times New Roman"/>
          <w:bCs/>
          <w:sz w:val="24"/>
          <w:szCs w:val="32"/>
          <w:lang w:val="en-US" w:eastAsia="ja-JP"/>
        </w:rPr>
        <w:t xml:space="preserve">the main objective of the call was not to make any choice at this stage, it is a preliminary step to develop a landscape of immunomodulator therapies. </w:t>
      </w:r>
    </w:p>
    <w:p w:rsidR="00EC4E14" w:rsidRPr="00A55B22" w:rsidRDefault="00EB70D6" w:rsidP="0033393B">
      <w:pPr>
        <w:pStyle w:val="Numberedlist"/>
        <w:ind w:left="0"/>
        <w:rPr>
          <w:b w:val="0"/>
        </w:rPr>
      </w:pPr>
      <w:r>
        <w:rPr>
          <w:b w:val="0"/>
        </w:rPr>
        <w:t xml:space="preserve"> </w:t>
      </w:r>
    </w:p>
    <w:p w:rsidR="005A1CE1" w:rsidRPr="005A1CE1" w:rsidRDefault="005A1CE1" w:rsidP="005A1CE1">
      <w:pPr>
        <w:pStyle w:val="ListParagraph"/>
        <w:spacing w:line="0" w:lineRule="atLeast"/>
        <w:rPr>
          <w:rFonts w:eastAsia="Century Gothic"/>
          <w:sz w:val="24"/>
        </w:rPr>
      </w:pPr>
    </w:p>
    <w:p w:rsidR="000B5B67" w:rsidRPr="000B5B67" w:rsidRDefault="000B5B67" w:rsidP="00BE5288">
      <w:pPr>
        <w:pStyle w:val="Heading1"/>
      </w:pPr>
      <w:bookmarkStart w:id="22" w:name="_Toc40107968"/>
      <w:r w:rsidRPr="000B5B67">
        <w:t>PROPOSED NEXT STEPS</w:t>
      </w:r>
      <w:bookmarkEnd w:id="22"/>
    </w:p>
    <w:p w:rsidR="00EB70D6" w:rsidRDefault="00EB70D6" w:rsidP="009A2749">
      <w:pPr>
        <w:pStyle w:val="ListParagraph"/>
        <w:numPr>
          <w:ilvl w:val="0"/>
          <w:numId w:val="29"/>
        </w:numPr>
        <w:jc w:val="both"/>
        <w:rPr>
          <w:rFonts w:eastAsiaTheme="majorEastAsia" w:cs="Times New Roman"/>
          <w:bCs/>
          <w:sz w:val="24"/>
          <w:szCs w:val="32"/>
          <w:lang w:val="en-US" w:eastAsia="ja-JP"/>
        </w:rPr>
      </w:pPr>
      <w:r w:rsidRPr="009A2749">
        <w:rPr>
          <w:rFonts w:eastAsiaTheme="majorEastAsia" w:cs="Times New Roman"/>
          <w:bCs/>
          <w:sz w:val="24"/>
          <w:szCs w:val="32"/>
          <w:lang w:val="en-US" w:eastAsia="ja-JP"/>
        </w:rPr>
        <w:t xml:space="preserve">The secretariat will update the list with the therapies suggested during the call. (Famotidine, </w:t>
      </w:r>
      <w:proofErr w:type="spellStart"/>
      <w:r w:rsidRPr="009A2749">
        <w:rPr>
          <w:rFonts w:eastAsiaTheme="majorEastAsia" w:cs="Times New Roman"/>
          <w:bCs/>
          <w:sz w:val="24"/>
          <w:szCs w:val="32"/>
          <w:lang w:val="en-US" w:eastAsia="ja-JP"/>
        </w:rPr>
        <w:t>Leronlimab</w:t>
      </w:r>
      <w:proofErr w:type="spellEnd"/>
      <w:r w:rsidRPr="009A2749">
        <w:rPr>
          <w:rFonts w:eastAsiaTheme="majorEastAsia" w:cs="Times New Roman"/>
          <w:bCs/>
          <w:sz w:val="24"/>
          <w:szCs w:val="32"/>
          <w:lang w:val="en-US" w:eastAsia="ja-JP"/>
        </w:rPr>
        <w:t xml:space="preserve">, </w:t>
      </w:r>
      <w:proofErr w:type="spellStart"/>
      <w:r w:rsidRPr="009A2749">
        <w:rPr>
          <w:rFonts w:eastAsiaTheme="majorEastAsia" w:cs="Times New Roman"/>
          <w:bCs/>
          <w:sz w:val="24"/>
          <w:szCs w:val="32"/>
          <w:lang w:val="en-US" w:eastAsia="ja-JP"/>
        </w:rPr>
        <w:t>Zilucoplan</w:t>
      </w:r>
      <w:proofErr w:type="spellEnd"/>
      <w:r w:rsidRPr="009A2749">
        <w:rPr>
          <w:rFonts w:eastAsiaTheme="majorEastAsia" w:cs="Times New Roman"/>
          <w:bCs/>
          <w:sz w:val="24"/>
          <w:szCs w:val="32"/>
          <w:lang w:val="en-US" w:eastAsia="ja-JP"/>
        </w:rPr>
        <w:t>, GM-</w:t>
      </w:r>
      <w:proofErr w:type="spellStart"/>
      <w:r w:rsidRPr="009A2749">
        <w:rPr>
          <w:rFonts w:eastAsiaTheme="majorEastAsia" w:cs="Times New Roman"/>
          <w:bCs/>
          <w:sz w:val="24"/>
          <w:szCs w:val="32"/>
          <w:lang w:val="en-US" w:eastAsia="ja-JP"/>
        </w:rPr>
        <w:t>csf</w:t>
      </w:r>
      <w:proofErr w:type="spellEnd"/>
      <w:r w:rsidRPr="009A2749">
        <w:rPr>
          <w:rFonts w:eastAsiaTheme="majorEastAsia" w:cs="Times New Roman"/>
          <w:bCs/>
          <w:sz w:val="24"/>
          <w:szCs w:val="32"/>
          <w:lang w:val="en-US" w:eastAsia="ja-JP"/>
        </w:rPr>
        <w:t>)</w:t>
      </w:r>
    </w:p>
    <w:p w:rsidR="009A2749" w:rsidRPr="009A2749" w:rsidRDefault="009A2749" w:rsidP="009A2749">
      <w:pPr>
        <w:pStyle w:val="ListParagraph"/>
        <w:jc w:val="both"/>
        <w:rPr>
          <w:rFonts w:eastAsiaTheme="majorEastAsia" w:cs="Times New Roman"/>
          <w:bCs/>
          <w:sz w:val="24"/>
          <w:szCs w:val="32"/>
          <w:lang w:val="en-US" w:eastAsia="ja-JP"/>
        </w:rPr>
      </w:pPr>
    </w:p>
    <w:p w:rsidR="006F08A5" w:rsidRDefault="009A2749" w:rsidP="009A2749">
      <w:pPr>
        <w:pStyle w:val="ListParagraph"/>
        <w:numPr>
          <w:ilvl w:val="0"/>
          <w:numId w:val="29"/>
        </w:numPr>
        <w:jc w:val="both"/>
        <w:rPr>
          <w:rFonts w:eastAsiaTheme="majorEastAsia" w:cs="Times New Roman"/>
          <w:bCs/>
          <w:sz w:val="24"/>
          <w:szCs w:val="32"/>
          <w:lang w:val="en-US" w:eastAsia="ja-JP"/>
        </w:rPr>
      </w:pPr>
      <w:r w:rsidRPr="009A2749">
        <w:rPr>
          <w:rFonts w:eastAsiaTheme="majorEastAsia" w:cs="Times New Roman"/>
          <w:bCs/>
          <w:sz w:val="24"/>
          <w:szCs w:val="32"/>
          <w:lang w:val="en-US" w:eastAsia="ja-JP"/>
        </w:rPr>
        <w:t>Members of the group should provide feedback in writing to the secretariat on what products would be the most suitable to further investigate/discuss, what should not be considered and provide the rationale.  Members prioritize the list before the next call.</w:t>
      </w:r>
    </w:p>
    <w:p w:rsidR="009A2749" w:rsidRPr="009A2749" w:rsidRDefault="009A2749" w:rsidP="009A2749">
      <w:pPr>
        <w:pStyle w:val="ListParagraph"/>
        <w:jc w:val="both"/>
        <w:rPr>
          <w:rFonts w:eastAsiaTheme="majorEastAsia" w:cs="Times New Roman"/>
          <w:bCs/>
          <w:sz w:val="24"/>
          <w:szCs w:val="32"/>
          <w:lang w:val="en-US" w:eastAsia="ja-JP"/>
        </w:rPr>
      </w:pPr>
    </w:p>
    <w:p w:rsidR="000A32F7" w:rsidRDefault="000A32F7" w:rsidP="009A2749">
      <w:pPr>
        <w:pStyle w:val="ListParagraph"/>
        <w:numPr>
          <w:ilvl w:val="0"/>
          <w:numId w:val="29"/>
        </w:numPr>
        <w:jc w:val="both"/>
        <w:rPr>
          <w:rFonts w:eastAsiaTheme="majorEastAsia" w:cs="Times New Roman"/>
          <w:bCs/>
          <w:sz w:val="24"/>
          <w:szCs w:val="32"/>
          <w:lang w:val="en-US" w:eastAsia="ja-JP"/>
        </w:rPr>
      </w:pPr>
      <w:r w:rsidRPr="009A2749">
        <w:rPr>
          <w:rFonts w:eastAsiaTheme="majorEastAsia" w:cs="Times New Roman"/>
          <w:bCs/>
          <w:sz w:val="24"/>
          <w:szCs w:val="32"/>
          <w:lang w:val="en-US" w:eastAsia="ja-JP"/>
        </w:rPr>
        <w:t>In a second round with a sho</w:t>
      </w:r>
      <w:r w:rsidR="009A2749">
        <w:rPr>
          <w:rFonts w:eastAsiaTheme="majorEastAsia" w:cs="Times New Roman"/>
          <w:bCs/>
          <w:sz w:val="24"/>
          <w:szCs w:val="32"/>
          <w:lang w:val="en-US" w:eastAsia="ja-JP"/>
        </w:rPr>
        <w:t xml:space="preserve">rter </w:t>
      </w:r>
      <w:r w:rsidRPr="009A2749">
        <w:rPr>
          <w:rFonts w:eastAsiaTheme="majorEastAsia" w:cs="Times New Roman"/>
          <w:bCs/>
          <w:sz w:val="24"/>
          <w:szCs w:val="32"/>
          <w:lang w:val="en-US" w:eastAsia="ja-JP"/>
        </w:rPr>
        <w:t xml:space="preserve"> list we can create a ranking to select the therapies for clinical trials</w:t>
      </w:r>
    </w:p>
    <w:p w:rsidR="009A2749" w:rsidRPr="009A2749" w:rsidRDefault="009A2749" w:rsidP="009A2749">
      <w:pPr>
        <w:pStyle w:val="ListParagraph"/>
        <w:jc w:val="both"/>
        <w:rPr>
          <w:rFonts w:eastAsiaTheme="majorEastAsia" w:cs="Times New Roman"/>
          <w:bCs/>
          <w:sz w:val="24"/>
          <w:szCs w:val="32"/>
          <w:lang w:val="en-US" w:eastAsia="ja-JP"/>
        </w:rPr>
      </w:pPr>
    </w:p>
    <w:p w:rsidR="00EB70D6" w:rsidRPr="009A2749" w:rsidRDefault="00EB70D6" w:rsidP="009A2749">
      <w:pPr>
        <w:pStyle w:val="ListParagraph"/>
        <w:numPr>
          <w:ilvl w:val="0"/>
          <w:numId w:val="29"/>
        </w:numPr>
        <w:jc w:val="both"/>
        <w:rPr>
          <w:rFonts w:eastAsiaTheme="majorEastAsia" w:cs="Times New Roman"/>
          <w:bCs/>
          <w:sz w:val="24"/>
          <w:szCs w:val="32"/>
          <w:lang w:val="en-US" w:eastAsia="ja-JP"/>
        </w:rPr>
      </w:pPr>
      <w:r w:rsidRPr="009A2749">
        <w:rPr>
          <w:rFonts w:eastAsiaTheme="majorEastAsia" w:cs="Times New Roman"/>
          <w:bCs/>
          <w:sz w:val="24"/>
          <w:szCs w:val="32"/>
          <w:lang w:val="en-US" w:eastAsia="ja-JP"/>
        </w:rPr>
        <w:t xml:space="preserve">Next call in a week time. </w:t>
      </w:r>
    </w:p>
    <w:p w:rsidR="00FA0B2E" w:rsidRDefault="00FA0B2E" w:rsidP="00FA0B2E">
      <w:pPr>
        <w:pStyle w:val="Numberedlist"/>
      </w:pPr>
    </w:p>
    <w:p w:rsidR="008D6A1F" w:rsidRPr="00506077" w:rsidRDefault="006F08A5" w:rsidP="00C841C1">
      <w:pPr>
        <w:pStyle w:val="Numberedlist"/>
        <w:ind w:left="0"/>
      </w:pPr>
      <w:r w:rsidRPr="00506077">
        <w:t>Note that above prioritization decisions are preliminary and may change as further information is provided to WHO.</w:t>
      </w:r>
    </w:p>
    <w:p w:rsidR="00C841C1" w:rsidRDefault="00C841C1">
      <w:pPr>
        <w:spacing w:before="0" w:after="0"/>
        <w:rPr>
          <w:b/>
          <w:sz w:val="24"/>
          <w:szCs w:val="24"/>
        </w:rPr>
      </w:pPr>
      <w:r>
        <w:rPr>
          <w:b/>
          <w:sz w:val="24"/>
          <w:szCs w:val="24"/>
        </w:rPr>
        <w:br w:type="page"/>
      </w:r>
    </w:p>
    <w:p w:rsidR="00C841C1" w:rsidRDefault="00C841C1" w:rsidP="00E7441F">
      <w:pPr>
        <w:tabs>
          <w:tab w:val="left" w:pos="7230"/>
        </w:tabs>
        <w:jc w:val="center"/>
        <w:rPr>
          <w:b/>
          <w:sz w:val="24"/>
          <w:szCs w:val="24"/>
        </w:rPr>
        <w:sectPr w:rsidR="00C841C1" w:rsidSect="00CF138B">
          <w:pgSz w:w="12240" w:h="15840"/>
          <w:pgMar w:top="1440" w:right="1440" w:bottom="1440" w:left="1440" w:header="708" w:footer="708" w:gutter="0"/>
          <w:cols w:space="708"/>
          <w:docGrid w:linePitch="360"/>
        </w:sectPr>
      </w:pPr>
    </w:p>
    <w:p w:rsidR="00E7441F" w:rsidRDefault="00E7441F" w:rsidP="00BE5288">
      <w:pPr>
        <w:pStyle w:val="Heading1"/>
      </w:pPr>
      <w:bookmarkStart w:id="23" w:name="_Toc40107969"/>
      <w:r w:rsidRPr="00E7441F">
        <w:lastRenderedPageBreak/>
        <w:t>A</w:t>
      </w:r>
      <w:r w:rsidR="00BE5288">
        <w:t>NNEX – Criteria for prioritization</w:t>
      </w:r>
      <w:bookmarkEnd w:id="23"/>
    </w:p>
    <w:p w:rsidR="00286750" w:rsidRDefault="00286750" w:rsidP="00286750">
      <w:r>
        <w:t>Prioritisation Therapeutics</w:t>
      </w:r>
    </w:p>
    <w:tbl>
      <w:tblPr>
        <w:tblStyle w:val="TableGrid"/>
        <w:tblW w:w="0" w:type="auto"/>
        <w:tblLook w:val="04A0" w:firstRow="1" w:lastRow="0" w:firstColumn="1" w:lastColumn="0" w:noHBand="0" w:noVBand="1"/>
      </w:tblPr>
      <w:tblGrid>
        <w:gridCol w:w="2391"/>
        <w:gridCol w:w="5343"/>
        <w:gridCol w:w="5216"/>
      </w:tblGrid>
      <w:tr w:rsidR="00286750" w:rsidRPr="0027258A" w:rsidTr="009419ED">
        <w:tc>
          <w:tcPr>
            <w:tcW w:w="3114" w:type="dxa"/>
            <w:shd w:val="clear" w:color="auto" w:fill="BFBFBF" w:themeFill="background1" w:themeFillShade="BF"/>
          </w:tcPr>
          <w:p w:rsidR="00286750" w:rsidRPr="0027258A" w:rsidRDefault="00286750" w:rsidP="009419ED">
            <w:pPr>
              <w:rPr>
                <w:rFonts w:ascii="Calibri Light" w:hAnsi="Calibri Light"/>
                <w:b/>
              </w:rPr>
            </w:pPr>
            <w:r w:rsidRPr="0027258A">
              <w:rPr>
                <w:rFonts w:ascii="Calibri Light" w:hAnsi="Calibri Light"/>
                <w:b/>
              </w:rPr>
              <w:t>Attribute</w:t>
            </w:r>
          </w:p>
        </w:tc>
        <w:tc>
          <w:tcPr>
            <w:tcW w:w="7796" w:type="dxa"/>
            <w:shd w:val="clear" w:color="auto" w:fill="BFBFBF" w:themeFill="background1" w:themeFillShade="BF"/>
          </w:tcPr>
          <w:p w:rsidR="00286750" w:rsidRPr="0027258A" w:rsidRDefault="00286750" w:rsidP="009419ED">
            <w:pPr>
              <w:rPr>
                <w:rFonts w:ascii="Calibri Light" w:hAnsi="Calibri Light"/>
                <w:b/>
              </w:rPr>
            </w:pPr>
          </w:p>
        </w:tc>
        <w:tc>
          <w:tcPr>
            <w:tcW w:w="8930" w:type="dxa"/>
            <w:shd w:val="clear" w:color="auto" w:fill="BFBFBF" w:themeFill="background1" w:themeFillShade="BF"/>
          </w:tcPr>
          <w:p w:rsidR="00286750" w:rsidRPr="0027258A" w:rsidRDefault="00286750" w:rsidP="009419ED">
            <w:pPr>
              <w:rPr>
                <w:rFonts w:ascii="Calibri Light" w:hAnsi="Calibri Light"/>
                <w:b/>
              </w:rPr>
            </w:pPr>
          </w:p>
        </w:tc>
      </w:tr>
      <w:tr w:rsidR="00286750" w:rsidRPr="0027258A" w:rsidTr="009419ED">
        <w:tc>
          <w:tcPr>
            <w:tcW w:w="10910" w:type="dxa"/>
            <w:gridSpan w:val="2"/>
            <w:shd w:val="clear" w:color="auto" w:fill="F2F2F2" w:themeFill="background1" w:themeFillShade="F2"/>
          </w:tcPr>
          <w:p w:rsidR="00286750" w:rsidRPr="0027258A" w:rsidRDefault="00286750" w:rsidP="009419ED">
            <w:pPr>
              <w:rPr>
                <w:rFonts w:ascii="Calibri Light" w:hAnsi="Calibri Light"/>
                <w:b/>
              </w:rPr>
            </w:pPr>
            <w:r>
              <w:rPr>
                <w:rFonts w:ascii="Calibri Light" w:hAnsi="Calibri Light"/>
                <w:b/>
              </w:rPr>
              <w:t>Basic</w:t>
            </w:r>
            <w:r w:rsidRPr="0027258A">
              <w:rPr>
                <w:rFonts w:ascii="Calibri Light" w:hAnsi="Calibri Light"/>
                <w:b/>
              </w:rPr>
              <w:t xml:space="preserve"> criteria</w:t>
            </w:r>
          </w:p>
        </w:tc>
        <w:tc>
          <w:tcPr>
            <w:tcW w:w="8930" w:type="dxa"/>
            <w:shd w:val="clear" w:color="auto" w:fill="F2F2F2" w:themeFill="background1" w:themeFillShade="F2"/>
          </w:tcPr>
          <w:p w:rsidR="00286750" w:rsidRPr="0022256B" w:rsidRDefault="00286750" w:rsidP="009419ED">
            <w:pPr>
              <w:jc w:val="center"/>
              <w:rPr>
                <w:rFonts w:ascii="Calibri Light" w:hAnsi="Calibri Light"/>
                <w:b/>
                <w:i/>
              </w:rPr>
            </w:pPr>
            <w:r w:rsidRPr="0022256B">
              <w:rPr>
                <w:rFonts w:ascii="Calibri Light" w:hAnsi="Calibri Light"/>
                <w:b/>
                <w:i/>
              </w:rPr>
              <w:t>[name of drug]</w:t>
            </w:r>
          </w:p>
        </w:tc>
      </w:tr>
      <w:tr w:rsidR="00286750" w:rsidRPr="0027258A" w:rsidTr="009419ED">
        <w:tc>
          <w:tcPr>
            <w:tcW w:w="3114" w:type="dxa"/>
            <w:shd w:val="clear" w:color="auto" w:fill="FFFFFF" w:themeFill="background1"/>
          </w:tcPr>
          <w:p w:rsidR="00286750" w:rsidRPr="0027258A" w:rsidRDefault="00286750" w:rsidP="009419ED">
            <w:pPr>
              <w:rPr>
                <w:rFonts w:ascii="Calibri Light" w:hAnsi="Calibri Light" w:cstheme="minorHAnsi"/>
                <w:b/>
              </w:rPr>
            </w:pPr>
            <w:r w:rsidRPr="0027258A">
              <w:rPr>
                <w:rFonts w:ascii="Calibri Light" w:hAnsi="Calibri Light" w:cstheme="minorHAnsi"/>
                <w:b/>
              </w:rPr>
              <w:t xml:space="preserve">Preclinical efficacy data in non-human primates (NHP) </w:t>
            </w:r>
            <w:r w:rsidRPr="0027258A">
              <w:rPr>
                <w:rFonts w:ascii="Calibri Light" w:hAnsi="Calibri Light" w:cstheme="minorHAnsi"/>
                <w:b/>
              </w:rPr>
              <w:br/>
            </w:r>
          </w:p>
          <w:p w:rsidR="00286750" w:rsidRPr="0027258A" w:rsidRDefault="00286750" w:rsidP="009419ED">
            <w:pPr>
              <w:rPr>
                <w:rFonts w:ascii="Calibri Light" w:hAnsi="Calibri Light" w:cstheme="minorHAnsi"/>
                <w:b/>
              </w:rPr>
            </w:pPr>
          </w:p>
        </w:tc>
        <w:tc>
          <w:tcPr>
            <w:tcW w:w="7796" w:type="dxa"/>
            <w:shd w:val="clear" w:color="auto" w:fill="FFFFFF" w:themeFill="background1"/>
          </w:tcPr>
          <w:p w:rsidR="00286750" w:rsidRPr="0027258A" w:rsidRDefault="00286750" w:rsidP="009419ED">
            <w:pPr>
              <w:jc w:val="both"/>
              <w:rPr>
                <w:rFonts w:ascii="Calibri Light" w:hAnsi="Calibri Light"/>
              </w:rPr>
            </w:pPr>
            <w:r w:rsidRPr="0027258A">
              <w:rPr>
                <w:rFonts w:ascii="Calibri Light" w:hAnsi="Calibri Light"/>
              </w:rPr>
              <w:t>Pre-clinical efficacy in NHP under well-controlled and documented conditions</w:t>
            </w:r>
          </w:p>
          <w:p w:rsidR="00286750" w:rsidRPr="0027258A" w:rsidRDefault="00286750" w:rsidP="00286750">
            <w:pPr>
              <w:pStyle w:val="ListParagraph"/>
              <w:numPr>
                <w:ilvl w:val="0"/>
                <w:numId w:val="37"/>
              </w:numPr>
              <w:spacing w:before="0" w:after="0"/>
              <w:jc w:val="both"/>
              <w:rPr>
                <w:rFonts w:ascii="Calibri Light" w:hAnsi="Calibri Light"/>
              </w:rPr>
            </w:pPr>
            <w:r w:rsidRPr="0027258A">
              <w:rPr>
                <w:rFonts w:ascii="Calibri Light" w:hAnsi="Calibri Light"/>
              </w:rPr>
              <w:t xml:space="preserve">Evidence of efficacy should include improved survival of COVID-19 inoculated rhesus macaques (or other NHPs) following treatment with the drug versus controls. </w:t>
            </w:r>
          </w:p>
        </w:tc>
        <w:tc>
          <w:tcPr>
            <w:tcW w:w="8930" w:type="dxa"/>
            <w:shd w:val="clear" w:color="auto" w:fill="FFFFFF" w:themeFill="background1"/>
          </w:tcPr>
          <w:p w:rsidR="00286750" w:rsidRPr="0027258A" w:rsidRDefault="00286750" w:rsidP="009419ED">
            <w:pPr>
              <w:jc w:val="center"/>
              <w:rPr>
                <w:rFonts w:ascii="Calibri Light" w:hAnsi="Calibri Light"/>
              </w:rPr>
            </w:pPr>
          </w:p>
        </w:tc>
      </w:tr>
      <w:tr w:rsidR="00286750" w:rsidRPr="0027258A" w:rsidTr="009419ED">
        <w:tc>
          <w:tcPr>
            <w:tcW w:w="3114" w:type="dxa"/>
            <w:shd w:val="clear" w:color="auto" w:fill="FFFFFF" w:themeFill="background1"/>
          </w:tcPr>
          <w:p w:rsidR="00286750" w:rsidRPr="0027258A" w:rsidRDefault="00286750" w:rsidP="009419ED">
            <w:pPr>
              <w:rPr>
                <w:rFonts w:ascii="Calibri Light" w:hAnsi="Calibri Light" w:cstheme="minorHAnsi"/>
                <w:b/>
              </w:rPr>
            </w:pPr>
            <w:r w:rsidRPr="0027258A">
              <w:rPr>
                <w:rFonts w:ascii="Calibri Light" w:hAnsi="Calibri Light" w:cstheme="minorHAnsi"/>
                <w:b/>
              </w:rPr>
              <w:t xml:space="preserve">Safety profile from non-clinical studies </w:t>
            </w:r>
          </w:p>
        </w:tc>
        <w:tc>
          <w:tcPr>
            <w:tcW w:w="7796" w:type="dxa"/>
            <w:shd w:val="clear" w:color="auto" w:fill="FFFFFF" w:themeFill="background1"/>
          </w:tcPr>
          <w:p w:rsidR="00286750" w:rsidRPr="0027258A" w:rsidRDefault="00286750" w:rsidP="009419ED">
            <w:pPr>
              <w:jc w:val="both"/>
              <w:rPr>
                <w:rFonts w:ascii="Calibri Light" w:hAnsi="Calibri Light"/>
              </w:rPr>
            </w:pPr>
            <w:r w:rsidRPr="0027258A">
              <w:rPr>
                <w:rFonts w:ascii="Calibri Light" w:hAnsi="Calibri Light"/>
              </w:rPr>
              <w:t>In the absence of human data, safety results from animal studies, as well as relevant in vitro data should be assessed with respect to safety in humans.</w:t>
            </w:r>
          </w:p>
          <w:p w:rsidR="00286750" w:rsidRPr="0027258A" w:rsidRDefault="00286750" w:rsidP="009419ED">
            <w:pPr>
              <w:jc w:val="both"/>
              <w:rPr>
                <w:rFonts w:ascii="Calibri Light" w:hAnsi="Calibri Light"/>
              </w:rPr>
            </w:pPr>
          </w:p>
        </w:tc>
        <w:tc>
          <w:tcPr>
            <w:tcW w:w="8930" w:type="dxa"/>
            <w:shd w:val="clear" w:color="auto" w:fill="FFFFFF" w:themeFill="background1"/>
          </w:tcPr>
          <w:p w:rsidR="00286750" w:rsidRPr="0027258A" w:rsidRDefault="00286750" w:rsidP="009419ED">
            <w:pPr>
              <w:jc w:val="center"/>
              <w:rPr>
                <w:rFonts w:ascii="Calibri Light" w:hAnsi="Calibri Light"/>
              </w:rPr>
            </w:pPr>
          </w:p>
        </w:tc>
      </w:tr>
      <w:tr w:rsidR="00286750" w:rsidRPr="0027258A" w:rsidTr="009419ED">
        <w:tc>
          <w:tcPr>
            <w:tcW w:w="3114" w:type="dxa"/>
          </w:tcPr>
          <w:p w:rsidR="00286750" w:rsidRPr="0027258A" w:rsidRDefault="00286750" w:rsidP="009419ED">
            <w:pPr>
              <w:rPr>
                <w:rFonts w:ascii="Calibri Light" w:hAnsi="Calibri Light" w:cstheme="minorHAnsi"/>
                <w:b/>
              </w:rPr>
            </w:pPr>
            <w:r w:rsidRPr="0027258A">
              <w:rPr>
                <w:rFonts w:ascii="Calibri Light" w:hAnsi="Calibri Light" w:cstheme="minorHAnsi"/>
                <w:b/>
              </w:rPr>
              <w:t>Quality of manufacturing (cGMP)</w:t>
            </w:r>
          </w:p>
          <w:p w:rsidR="00286750" w:rsidRPr="0027258A" w:rsidRDefault="00286750" w:rsidP="009419ED">
            <w:pPr>
              <w:rPr>
                <w:rFonts w:ascii="Calibri Light" w:hAnsi="Calibri Light"/>
                <w:b/>
              </w:rPr>
            </w:pPr>
          </w:p>
        </w:tc>
        <w:tc>
          <w:tcPr>
            <w:tcW w:w="7796" w:type="dxa"/>
          </w:tcPr>
          <w:p w:rsidR="00286750" w:rsidRPr="0027258A" w:rsidRDefault="00286750" w:rsidP="009419ED">
            <w:pPr>
              <w:jc w:val="both"/>
              <w:rPr>
                <w:rFonts w:ascii="Calibri Light" w:hAnsi="Calibri Light"/>
              </w:rPr>
            </w:pPr>
            <w:r w:rsidRPr="0027258A">
              <w:rPr>
                <w:rFonts w:ascii="Calibri Light" w:hAnsi="Calibri Light"/>
              </w:rPr>
              <w:t>It is expected that the product will be manufactured in compliance with GMP (Good Manufacturing Practice).</w:t>
            </w:r>
          </w:p>
          <w:p w:rsidR="00286750" w:rsidRPr="0027258A" w:rsidRDefault="00286750" w:rsidP="00286750">
            <w:pPr>
              <w:pStyle w:val="ListParagraph"/>
              <w:numPr>
                <w:ilvl w:val="0"/>
                <w:numId w:val="36"/>
              </w:numPr>
              <w:spacing w:before="0" w:after="0"/>
              <w:jc w:val="both"/>
              <w:rPr>
                <w:rFonts w:ascii="Calibri Light" w:hAnsi="Calibri Light"/>
              </w:rPr>
            </w:pPr>
            <w:r w:rsidRPr="0027258A">
              <w:rPr>
                <w:rFonts w:ascii="Calibri Light" w:hAnsi="Calibri Light"/>
              </w:rPr>
              <w:t xml:space="preserve">Information on the active pharmaceutical ingredient (API) and finished pharmaceutical product (FPP) preparation, FPP composition, controls (specifications), known and potential impurities, as well as stability data supporting a reasonable shelf-life should be provided. </w:t>
            </w:r>
          </w:p>
          <w:p w:rsidR="00286750" w:rsidRPr="0027258A" w:rsidRDefault="00286750" w:rsidP="009419ED">
            <w:pPr>
              <w:jc w:val="both"/>
              <w:rPr>
                <w:rFonts w:ascii="Calibri Light" w:hAnsi="Calibri Light"/>
              </w:rPr>
            </w:pPr>
          </w:p>
          <w:p w:rsidR="00286750" w:rsidRPr="0027258A" w:rsidRDefault="00286750" w:rsidP="00286750">
            <w:pPr>
              <w:pStyle w:val="ListParagraph"/>
              <w:numPr>
                <w:ilvl w:val="0"/>
                <w:numId w:val="36"/>
              </w:numPr>
              <w:spacing w:before="0" w:after="0"/>
              <w:jc w:val="both"/>
              <w:rPr>
                <w:rFonts w:ascii="Calibri Light" w:hAnsi="Calibri Light"/>
              </w:rPr>
            </w:pPr>
            <w:r w:rsidRPr="0027258A">
              <w:rPr>
                <w:rFonts w:ascii="Calibri Light" w:hAnsi="Calibri Light"/>
              </w:rPr>
              <w:lastRenderedPageBreak/>
              <w:t xml:space="preserve">A list of intended changes for scale up, if any, along with a discussion on impact of these changes on the safety/efficacy profile of the product should also be provided. </w:t>
            </w:r>
          </w:p>
        </w:tc>
        <w:tc>
          <w:tcPr>
            <w:tcW w:w="8930" w:type="dxa"/>
          </w:tcPr>
          <w:p w:rsidR="00286750" w:rsidRPr="0027258A" w:rsidRDefault="00286750" w:rsidP="009419ED">
            <w:pPr>
              <w:jc w:val="center"/>
              <w:rPr>
                <w:rFonts w:ascii="Calibri Light" w:hAnsi="Calibri Light"/>
              </w:rPr>
            </w:pPr>
          </w:p>
        </w:tc>
      </w:tr>
      <w:tr w:rsidR="00286750" w:rsidRPr="0027258A" w:rsidTr="009419ED">
        <w:tc>
          <w:tcPr>
            <w:tcW w:w="10910" w:type="dxa"/>
            <w:gridSpan w:val="2"/>
            <w:shd w:val="clear" w:color="auto" w:fill="F2F2F2" w:themeFill="background1" w:themeFillShade="F2"/>
          </w:tcPr>
          <w:p w:rsidR="00286750" w:rsidRPr="0027258A" w:rsidRDefault="00286750" w:rsidP="009419ED">
            <w:pPr>
              <w:jc w:val="both"/>
              <w:rPr>
                <w:rFonts w:ascii="Calibri Light" w:hAnsi="Calibri Light"/>
              </w:rPr>
            </w:pPr>
            <w:r w:rsidRPr="0027258A">
              <w:rPr>
                <w:rFonts w:ascii="Calibri Light" w:hAnsi="Calibri Light" w:cstheme="minorHAnsi"/>
                <w:b/>
              </w:rPr>
              <w:t>Prioritization criteria</w:t>
            </w:r>
          </w:p>
        </w:tc>
        <w:tc>
          <w:tcPr>
            <w:tcW w:w="8930" w:type="dxa"/>
            <w:shd w:val="clear" w:color="auto" w:fill="F2F2F2" w:themeFill="background1" w:themeFillShade="F2"/>
          </w:tcPr>
          <w:p w:rsidR="00286750" w:rsidRPr="0027258A" w:rsidRDefault="00286750" w:rsidP="009419ED">
            <w:pPr>
              <w:jc w:val="center"/>
              <w:rPr>
                <w:rFonts w:ascii="Calibri Light" w:hAnsi="Calibri Light" w:cstheme="minorHAnsi"/>
                <w:b/>
              </w:rPr>
            </w:pPr>
          </w:p>
        </w:tc>
      </w:tr>
      <w:tr w:rsidR="00286750" w:rsidRPr="0027258A" w:rsidTr="009419ED">
        <w:tc>
          <w:tcPr>
            <w:tcW w:w="3114" w:type="dxa"/>
            <w:shd w:val="clear" w:color="auto" w:fill="FFFFFF" w:themeFill="background1"/>
          </w:tcPr>
          <w:p w:rsidR="00286750" w:rsidRPr="0027258A" w:rsidRDefault="00286750" w:rsidP="009419ED">
            <w:pPr>
              <w:rPr>
                <w:rFonts w:ascii="Calibri Light" w:hAnsi="Calibri Light" w:cstheme="minorHAnsi"/>
                <w:b/>
              </w:rPr>
            </w:pPr>
            <w:r>
              <w:rPr>
                <w:rFonts w:ascii="Calibri Light" w:hAnsi="Calibri Light" w:cstheme="minorHAnsi"/>
                <w:b/>
              </w:rPr>
              <w:t>Scientific rationale for use in COVID-19 patients</w:t>
            </w:r>
          </w:p>
        </w:tc>
        <w:tc>
          <w:tcPr>
            <w:tcW w:w="7796" w:type="dxa"/>
            <w:shd w:val="clear" w:color="auto" w:fill="FFFFFF" w:themeFill="background1"/>
          </w:tcPr>
          <w:p w:rsidR="00286750" w:rsidRPr="0027258A" w:rsidRDefault="00286750" w:rsidP="009419ED">
            <w:pPr>
              <w:jc w:val="both"/>
              <w:rPr>
                <w:rFonts w:ascii="Calibri Light" w:hAnsi="Calibri Light"/>
              </w:rPr>
            </w:pPr>
            <w:r>
              <w:rPr>
                <w:rFonts w:ascii="Calibri Light" w:hAnsi="Calibri Light"/>
              </w:rPr>
              <w:t>Brief description of the biological mechanism targeted by the drug. In case of a drug that is approved, or has a large clinical trial experience base, for another indication: explanation of why this is an indicator of success for COVID-19 (e.g. in the case of targeting pulmonary pathologies)</w:t>
            </w:r>
          </w:p>
        </w:tc>
        <w:tc>
          <w:tcPr>
            <w:tcW w:w="8930" w:type="dxa"/>
            <w:shd w:val="clear" w:color="auto" w:fill="FFFFFF" w:themeFill="background1"/>
          </w:tcPr>
          <w:p w:rsidR="00286750" w:rsidRPr="0027258A" w:rsidRDefault="00286750" w:rsidP="009419ED">
            <w:pPr>
              <w:jc w:val="center"/>
              <w:rPr>
                <w:rFonts w:ascii="Calibri Light" w:hAnsi="Calibri Light"/>
              </w:rPr>
            </w:pPr>
          </w:p>
        </w:tc>
      </w:tr>
      <w:tr w:rsidR="00286750" w:rsidRPr="0027258A" w:rsidTr="009419ED">
        <w:tc>
          <w:tcPr>
            <w:tcW w:w="3114" w:type="dxa"/>
            <w:shd w:val="clear" w:color="auto" w:fill="FFFFFF" w:themeFill="background1"/>
          </w:tcPr>
          <w:p w:rsidR="00286750" w:rsidRPr="0027258A" w:rsidRDefault="00286750" w:rsidP="009419ED">
            <w:pPr>
              <w:rPr>
                <w:rFonts w:ascii="Calibri Light" w:hAnsi="Calibri Light" w:cstheme="minorHAnsi"/>
                <w:b/>
              </w:rPr>
            </w:pPr>
            <w:r w:rsidRPr="0027258A">
              <w:rPr>
                <w:rFonts w:ascii="Calibri Light" w:hAnsi="Calibri Light" w:cstheme="minorHAnsi"/>
                <w:b/>
              </w:rPr>
              <w:t>Safety in humans single/repeat dose escalation</w:t>
            </w:r>
          </w:p>
          <w:p w:rsidR="00286750" w:rsidRPr="0027258A" w:rsidRDefault="00286750" w:rsidP="009419ED">
            <w:pPr>
              <w:rPr>
                <w:rFonts w:ascii="Calibri Light" w:hAnsi="Calibri Light" w:cstheme="minorHAnsi"/>
                <w:b/>
              </w:rPr>
            </w:pPr>
          </w:p>
        </w:tc>
        <w:tc>
          <w:tcPr>
            <w:tcW w:w="7796" w:type="dxa"/>
            <w:shd w:val="clear" w:color="auto" w:fill="FFFFFF" w:themeFill="background1"/>
          </w:tcPr>
          <w:p w:rsidR="00286750" w:rsidRPr="0027258A" w:rsidRDefault="00286750" w:rsidP="009419ED">
            <w:pPr>
              <w:jc w:val="both"/>
              <w:rPr>
                <w:rFonts w:ascii="Calibri Light" w:hAnsi="Calibri Light"/>
              </w:rPr>
            </w:pPr>
            <w:r w:rsidRPr="0027258A">
              <w:rPr>
                <w:rFonts w:ascii="Calibri Light" w:hAnsi="Calibri Light"/>
              </w:rPr>
              <w:t>Evidence of acceptable risk-benefit profile, i.e. acceptable incidence of SAE, SUSARs or severe AEs with sequelae observed as documented by the DSMB.</w:t>
            </w:r>
          </w:p>
          <w:p w:rsidR="00286750" w:rsidRPr="0027258A" w:rsidRDefault="00286750" w:rsidP="009419ED">
            <w:pPr>
              <w:jc w:val="both"/>
              <w:rPr>
                <w:rFonts w:ascii="Calibri Light" w:hAnsi="Calibri Light"/>
              </w:rPr>
            </w:pPr>
          </w:p>
          <w:p w:rsidR="00286750" w:rsidRPr="0027258A" w:rsidRDefault="00286750" w:rsidP="00286750">
            <w:pPr>
              <w:pStyle w:val="ListParagraph"/>
              <w:numPr>
                <w:ilvl w:val="0"/>
                <w:numId w:val="38"/>
              </w:numPr>
              <w:spacing w:before="0" w:after="0"/>
              <w:jc w:val="both"/>
              <w:rPr>
                <w:rFonts w:ascii="Calibri Light" w:hAnsi="Calibri Light"/>
              </w:rPr>
            </w:pPr>
            <w:r w:rsidRPr="0027258A">
              <w:rPr>
                <w:rFonts w:ascii="Calibri Light" w:hAnsi="Calibri Light"/>
              </w:rPr>
              <w:t>Phase 1 clinical data should available for the drug at the exposure level proposed for treatment of COVID-19</w:t>
            </w:r>
          </w:p>
          <w:p w:rsidR="00286750" w:rsidRPr="0027258A" w:rsidRDefault="00286750" w:rsidP="009419ED">
            <w:pPr>
              <w:pStyle w:val="ListParagraph"/>
              <w:jc w:val="both"/>
              <w:rPr>
                <w:rFonts w:ascii="Calibri Light" w:hAnsi="Calibri Light"/>
              </w:rPr>
            </w:pPr>
          </w:p>
          <w:p w:rsidR="00286750" w:rsidRPr="0027258A" w:rsidRDefault="00286750" w:rsidP="00286750">
            <w:pPr>
              <w:pStyle w:val="ListParagraph"/>
              <w:numPr>
                <w:ilvl w:val="0"/>
                <w:numId w:val="38"/>
              </w:numPr>
              <w:spacing w:before="0" w:after="0"/>
              <w:jc w:val="both"/>
              <w:rPr>
                <w:rFonts w:ascii="Calibri Light" w:hAnsi="Calibri Light"/>
              </w:rPr>
            </w:pPr>
            <w:r w:rsidRPr="0027258A">
              <w:rPr>
                <w:rFonts w:ascii="Calibri Light" w:hAnsi="Calibri Light"/>
              </w:rPr>
              <w:t xml:space="preserve">If evidence on dose escalation is available that would be an advantage. </w:t>
            </w:r>
          </w:p>
          <w:p w:rsidR="00286750" w:rsidRPr="0027258A" w:rsidRDefault="00286750" w:rsidP="009419ED">
            <w:pPr>
              <w:jc w:val="both"/>
              <w:rPr>
                <w:rFonts w:ascii="Calibri Light" w:hAnsi="Calibri Light"/>
              </w:rPr>
            </w:pPr>
          </w:p>
          <w:p w:rsidR="00286750" w:rsidRPr="0027258A" w:rsidRDefault="00286750" w:rsidP="00286750">
            <w:pPr>
              <w:pStyle w:val="ListParagraph"/>
              <w:numPr>
                <w:ilvl w:val="0"/>
                <w:numId w:val="38"/>
              </w:numPr>
              <w:spacing w:before="0" w:after="0"/>
              <w:jc w:val="both"/>
              <w:rPr>
                <w:rFonts w:ascii="Calibri Light" w:hAnsi="Calibri Light"/>
              </w:rPr>
            </w:pPr>
            <w:r w:rsidRPr="0027258A">
              <w:rPr>
                <w:rFonts w:ascii="Calibri Light" w:hAnsi="Calibri Light"/>
              </w:rPr>
              <w:t xml:space="preserve">If human PK trials or studies in other indications at the exposure level proposed for treatment of COVID-19 have been conducted, assessment of safety using standard parameters (adverse events, </w:t>
            </w:r>
            <w:r w:rsidRPr="0027258A">
              <w:rPr>
                <w:rFonts w:ascii="Calibri Light" w:hAnsi="Calibri Light"/>
              </w:rPr>
              <w:lastRenderedPageBreak/>
              <w:t xml:space="preserve">clinical laboratory monitoring, etc.) will serve as the most meaningful assessment of safety. </w:t>
            </w:r>
          </w:p>
          <w:p w:rsidR="00286750" w:rsidRPr="0027258A" w:rsidRDefault="00286750" w:rsidP="009419ED">
            <w:pPr>
              <w:jc w:val="both"/>
              <w:rPr>
                <w:rFonts w:ascii="Calibri Light" w:hAnsi="Calibri Light"/>
              </w:rPr>
            </w:pPr>
          </w:p>
          <w:p w:rsidR="00286750" w:rsidRPr="0027258A" w:rsidRDefault="00286750" w:rsidP="00286750">
            <w:pPr>
              <w:pStyle w:val="ListParagraph"/>
              <w:numPr>
                <w:ilvl w:val="0"/>
                <w:numId w:val="38"/>
              </w:numPr>
              <w:spacing w:before="0" w:after="0"/>
              <w:jc w:val="both"/>
              <w:rPr>
                <w:rFonts w:ascii="Calibri Light" w:hAnsi="Calibri Light"/>
              </w:rPr>
            </w:pPr>
            <w:r w:rsidRPr="0027258A">
              <w:rPr>
                <w:rFonts w:ascii="Calibri Light" w:hAnsi="Calibri Light"/>
              </w:rPr>
              <w:t xml:space="preserve">Clinical data supplemented by customary non-clinical at different exposure levels. </w:t>
            </w:r>
          </w:p>
          <w:p w:rsidR="00286750" w:rsidRPr="0027258A" w:rsidRDefault="00286750" w:rsidP="009419ED">
            <w:pPr>
              <w:jc w:val="both"/>
              <w:rPr>
                <w:rFonts w:ascii="Calibri Light" w:hAnsi="Calibri Light"/>
              </w:rPr>
            </w:pPr>
          </w:p>
        </w:tc>
        <w:tc>
          <w:tcPr>
            <w:tcW w:w="8930" w:type="dxa"/>
            <w:shd w:val="clear" w:color="auto" w:fill="FFFFFF" w:themeFill="background1"/>
          </w:tcPr>
          <w:p w:rsidR="00286750" w:rsidRPr="0027258A" w:rsidRDefault="00286750" w:rsidP="009419ED">
            <w:pPr>
              <w:jc w:val="center"/>
              <w:rPr>
                <w:rFonts w:ascii="Calibri Light" w:hAnsi="Calibri Light"/>
              </w:rPr>
            </w:pPr>
          </w:p>
        </w:tc>
      </w:tr>
      <w:tr w:rsidR="00286750" w:rsidRPr="0027258A" w:rsidTr="009419ED">
        <w:trPr>
          <w:trHeight w:val="3158"/>
        </w:trPr>
        <w:tc>
          <w:tcPr>
            <w:tcW w:w="3114" w:type="dxa"/>
            <w:shd w:val="clear" w:color="auto" w:fill="FFFFFF" w:themeFill="background1"/>
          </w:tcPr>
          <w:p w:rsidR="00286750" w:rsidRPr="0027258A" w:rsidRDefault="00286750" w:rsidP="009419ED">
            <w:pPr>
              <w:rPr>
                <w:rFonts w:ascii="Calibri Light" w:hAnsi="Calibri Light"/>
                <w:b/>
              </w:rPr>
            </w:pPr>
            <w:r w:rsidRPr="0027258A">
              <w:rPr>
                <w:rFonts w:ascii="Calibri Light" w:hAnsi="Calibri Light" w:cstheme="minorHAnsi"/>
                <w:b/>
              </w:rPr>
              <w:t>Time-efficacy window after challenge in animal models</w:t>
            </w:r>
          </w:p>
          <w:p w:rsidR="00286750" w:rsidRPr="0027258A" w:rsidRDefault="00286750" w:rsidP="009419ED">
            <w:pPr>
              <w:rPr>
                <w:rFonts w:ascii="Calibri Light" w:hAnsi="Calibri Light"/>
                <w:b/>
              </w:rPr>
            </w:pPr>
          </w:p>
        </w:tc>
        <w:tc>
          <w:tcPr>
            <w:tcW w:w="7796" w:type="dxa"/>
            <w:shd w:val="clear" w:color="auto" w:fill="FFFFFF" w:themeFill="background1"/>
          </w:tcPr>
          <w:p w:rsidR="00286750" w:rsidRPr="0027258A" w:rsidRDefault="00286750" w:rsidP="009419ED">
            <w:pPr>
              <w:jc w:val="both"/>
              <w:rPr>
                <w:rFonts w:ascii="Calibri Light" w:hAnsi="Calibri Light"/>
              </w:rPr>
            </w:pPr>
            <w:r w:rsidRPr="0027258A">
              <w:rPr>
                <w:rFonts w:ascii="Calibri Light" w:hAnsi="Calibri Light"/>
              </w:rPr>
              <w:t xml:space="preserve">Pre-clinical efficacy in NHP under well-controlled and documented conditions. </w:t>
            </w:r>
          </w:p>
          <w:p w:rsidR="00286750" w:rsidRPr="0027258A" w:rsidRDefault="00286750" w:rsidP="009419ED">
            <w:pPr>
              <w:jc w:val="both"/>
              <w:rPr>
                <w:rFonts w:ascii="Calibri Light" w:hAnsi="Calibri Light"/>
              </w:rPr>
            </w:pPr>
          </w:p>
          <w:p w:rsidR="00286750" w:rsidRPr="0027258A" w:rsidRDefault="00286750" w:rsidP="00286750">
            <w:pPr>
              <w:pStyle w:val="ListParagraph"/>
              <w:numPr>
                <w:ilvl w:val="0"/>
                <w:numId w:val="39"/>
              </w:numPr>
              <w:spacing w:before="0" w:after="0"/>
              <w:jc w:val="both"/>
              <w:rPr>
                <w:rFonts w:ascii="Calibri Light" w:hAnsi="Calibri Light"/>
              </w:rPr>
            </w:pPr>
            <w:r w:rsidRPr="0027258A">
              <w:rPr>
                <w:rFonts w:ascii="Calibri Light" w:hAnsi="Calibri Light"/>
              </w:rPr>
              <w:t xml:space="preserve">Evidence of efficacy should include improved survival of COVID-19 virus inoculated rhesus macaques (or other NHPs) following treatment with the drug versus controls. Surrogate markers, validated or reasonably expected to predict efficacy, e.g. viral load decreases, would be supportive.  </w:t>
            </w:r>
          </w:p>
          <w:p w:rsidR="00286750" w:rsidRPr="0027258A" w:rsidRDefault="00286750" w:rsidP="009419ED">
            <w:pPr>
              <w:pStyle w:val="ListParagraph"/>
              <w:jc w:val="both"/>
              <w:rPr>
                <w:rFonts w:ascii="Calibri Light" w:hAnsi="Calibri Light"/>
              </w:rPr>
            </w:pPr>
          </w:p>
        </w:tc>
        <w:tc>
          <w:tcPr>
            <w:tcW w:w="8930" w:type="dxa"/>
            <w:shd w:val="clear" w:color="auto" w:fill="FFFFFF" w:themeFill="background1"/>
          </w:tcPr>
          <w:p w:rsidR="00286750" w:rsidRPr="0027258A" w:rsidRDefault="00286750" w:rsidP="009419ED">
            <w:pPr>
              <w:jc w:val="center"/>
              <w:rPr>
                <w:rFonts w:ascii="Calibri Light" w:hAnsi="Calibri Light"/>
              </w:rPr>
            </w:pPr>
          </w:p>
        </w:tc>
      </w:tr>
      <w:tr w:rsidR="00286750" w:rsidRPr="0027258A" w:rsidTr="009419ED">
        <w:tc>
          <w:tcPr>
            <w:tcW w:w="3114" w:type="dxa"/>
          </w:tcPr>
          <w:p w:rsidR="00286750" w:rsidRPr="0027258A" w:rsidRDefault="00286750" w:rsidP="009419ED">
            <w:pPr>
              <w:rPr>
                <w:rFonts w:ascii="Calibri Light" w:hAnsi="Calibri Light" w:cstheme="minorHAnsi"/>
                <w:b/>
              </w:rPr>
            </w:pPr>
            <w:r w:rsidRPr="0027258A">
              <w:rPr>
                <w:rFonts w:ascii="Calibri Light" w:hAnsi="Calibri Light" w:cstheme="minorHAnsi"/>
                <w:b/>
              </w:rPr>
              <w:t>Dosing rationale</w:t>
            </w:r>
          </w:p>
          <w:p w:rsidR="00286750" w:rsidRPr="0027258A" w:rsidRDefault="00286750" w:rsidP="009419ED">
            <w:pPr>
              <w:rPr>
                <w:rFonts w:ascii="Calibri Light" w:hAnsi="Calibri Light"/>
              </w:rPr>
            </w:pPr>
          </w:p>
        </w:tc>
        <w:tc>
          <w:tcPr>
            <w:tcW w:w="7796" w:type="dxa"/>
          </w:tcPr>
          <w:p w:rsidR="00286750" w:rsidRPr="0027258A" w:rsidRDefault="00286750" w:rsidP="009419ED">
            <w:pPr>
              <w:jc w:val="both"/>
              <w:rPr>
                <w:rFonts w:ascii="Calibri Light" w:hAnsi="Calibri Light"/>
              </w:rPr>
            </w:pPr>
            <w:r w:rsidRPr="0027258A">
              <w:rPr>
                <w:rFonts w:ascii="Calibri Light" w:hAnsi="Calibri Light"/>
              </w:rPr>
              <w:t>A rationale should be provided for the proposed dosing in humans, with reference to drug exposures shown to be effective in suitable animal models.</w:t>
            </w:r>
          </w:p>
          <w:p w:rsidR="00286750" w:rsidRPr="0027258A" w:rsidRDefault="00286750" w:rsidP="009419ED">
            <w:pPr>
              <w:jc w:val="both"/>
              <w:rPr>
                <w:rFonts w:ascii="Calibri Light" w:hAnsi="Calibri Light"/>
              </w:rPr>
            </w:pPr>
          </w:p>
          <w:p w:rsidR="00286750" w:rsidRPr="0027258A" w:rsidRDefault="00286750" w:rsidP="00286750">
            <w:pPr>
              <w:pStyle w:val="ListParagraph"/>
              <w:numPr>
                <w:ilvl w:val="0"/>
                <w:numId w:val="36"/>
              </w:numPr>
              <w:spacing w:before="0" w:after="0"/>
              <w:jc w:val="both"/>
              <w:rPr>
                <w:rFonts w:ascii="Calibri Light" w:hAnsi="Calibri Light"/>
              </w:rPr>
            </w:pPr>
            <w:r w:rsidRPr="0027258A">
              <w:rPr>
                <w:rFonts w:ascii="Calibri Light" w:hAnsi="Calibri Light"/>
              </w:rPr>
              <w:t>Ideally, human pharmacokinetic data would be available, demonstrating similar levels of the drug following administration at the proposed dose, compared to blood levels seen in NHPs successfully treated with the drug.</w:t>
            </w:r>
          </w:p>
        </w:tc>
        <w:tc>
          <w:tcPr>
            <w:tcW w:w="8930" w:type="dxa"/>
          </w:tcPr>
          <w:p w:rsidR="00286750" w:rsidRPr="0027258A" w:rsidRDefault="00286750" w:rsidP="009419ED">
            <w:pPr>
              <w:jc w:val="center"/>
              <w:rPr>
                <w:rFonts w:ascii="Calibri Light" w:hAnsi="Calibri Light"/>
              </w:rPr>
            </w:pPr>
          </w:p>
        </w:tc>
      </w:tr>
      <w:tr w:rsidR="00286750" w:rsidRPr="0027258A" w:rsidTr="009419ED">
        <w:tc>
          <w:tcPr>
            <w:tcW w:w="3114" w:type="dxa"/>
          </w:tcPr>
          <w:p w:rsidR="00286750" w:rsidRPr="0027258A" w:rsidRDefault="00286750" w:rsidP="009419ED">
            <w:pPr>
              <w:rPr>
                <w:rFonts w:ascii="Calibri Light" w:hAnsi="Calibri Light" w:cstheme="minorHAnsi"/>
                <w:b/>
              </w:rPr>
            </w:pPr>
            <w:r w:rsidRPr="0027258A">
              <w:rPr>
                <w:rFonts w:ascii="Calibri Light" w:hAnsi="Calibri Light" w:cstheme="minorHAnsi"/>
                <w:b/>
              </w:rPr>
              <w:lastRenderedPageBreak/>
              <w:t xml:space="preserve">Route of administration and administration challenges </w:t>
            </w:r>
          </w:p>
        </w:tc>
        <w:tc>
          <w:tcPr>
            <w:tcW w:w="7796" w:type="dxa"/>
          </w:tcPr>
          <w:p w:rsidR="00286750" w:rsidRPr="0027258A" w:rsidRDefault="00286750" w:rsidP="009419ED">
            <w:pPr>
              <w:jc w:val="both"/>
              <w:rPr>
                <w:rFonts w:ascii="Calibri Light" w:hAnsi="Calibri Light"/>
              </w:rPr>
            </w:pPr>
            <w:r w:rsidRPr="0027258A">
              <w:rPr>
                <w:rFonts w:ascii="Calibri Light" w:hAnsi="Calibri Light"/>
              </w:rPr>
              <w:t>What is the route of administration.</w:t>
            </w:r>
          </w:p>
          <w:p w:rsidR="00286750" w:rsidRPr="0027258A" w:rsidRDefault="00286750" w:rsidP="009419ED">
            <w:pPr>
              <w:pStyle w:val="ListParagraph"/>
              <w:jc w:val="both"/>
              <w:rPr>
                <w:rFonts w:ascii="Calibri Light" w:hAnsi="Calibri Light"/>
              </w:rPr>
            </w:pPr>
          </w:p>
          <w:p w:rsidR="00286750" w:rsidRPr="0027258A" w:rsidRDefault="00286750" w:rsidP="00286750">
            <w:pPr>
              <w:pStyle w:val="ListParagraph"/>
              <w:numPr>
                <w:ilvl w:val="0"/>
                <w:numId w:val="36"/>
              </w:numPr>
              <w:spacing w:before="0" w:after="0"/>
              <w:jc w:val="both"/>
              <w:rPr>
                <w:rFonts w:ascii="Calibri Light" w:hAnsi="Calibri Light"/>
              </w:rPr>
            </w:pPr>
            <w:r w:rsidRPr="0027258A">
              <w:rPr>
                <w:rFonts w:ascii="Calibri Light" w:hAnsi="Calibri Light"/>
              </w:rPr>
              <w:t xml:space="preserve">Over how long must the drug be administered, and </w:t>
            </w:r>
          </w:p>
          <w:p w:rsidR="00286750" w:rsidRPr="0027258A" w:rsidRDefault="00286750" w:rsidP="00286750">
            <w:pPr>
              <w:pStyle w:val="ListParagraph"/>
              <w:numPr>
                <w:ilvl w:val="0"/>
                <w:numId w:val="36"/>
              </w:numPr>
              <w:spacing w:before="0" w:after="0"/>
              <w:jc w:val="both"/>
              <w:rPr>
                <w:rFonts w:ascii="Calibri Light" w:hAnsi="Calibri Light"/>
              </w:rPr>
            </w:pPr>
            <w:r w:rsidRPr="0027258A">
              <w:rPr>
                <w:rFonts w:ascii="Calibri Light" w:hAnsi="Calibri Light"/>
              </w:rPr>
              <w:t>How many administrations are required to complete one treatment course?</w:t>
            </w:r>
          </w:p>
          <w:p w:rsidR="00286750" w:rsidRPr="0027258A" w:rsidRDefault="00286750" w:rsidP="009419ED">
            <w:pPr>
              <w:pStyle w:val="ListParagraph"/>
              <w:jc w:val="both"/>
              <w:rPr>
                <w:rFonts w:ascii="Calibri Light" w:hAnsi="Calibri Light"/>
              </w:rPr>
            </w:pPr>
          </w:p>
        </w:tc>
        <w:tc>
          <w:tcPr>
            <w:tcW w:w="8930" w:type="dxa"/>
          </w:tcPr>
          <w:p w:rsidR="00286750" w:rsidRPr="0027258A" w:rsidRDefault="00286750" w:rsidP="009419ED">
            <w:pPr>
              <w:jc w:val="center"/>
              <w:rPr>
                <w:rFonts w:ascii="Calibri Light" w:hAnsi="Calibri Light"/>
              </w:rPr>
            </w:pPr>
          </w:p>
        </w:tc>
      </w:tr>
      <w:tr w:rsidR="00286750" w:rsidRPr="0027258A" w:rsidTr="009419ED">
        <w:tc>
          <w:tcPr>
            <w:tcW w:w="3114" w:type="dxa"/>
          </w:tcPr>
          <w:p w:rsidR="00286750" w:rsidRPr="0027258A" w:rsidRDefault="00286750" w:rsidP="009419ED">
            <w:pPr>
              <w:rPr>
                <w:rFonts w:ascii="Calibri Light" w:hAnsi="Calibri Light" w:cstheme="minorHAnsi"/>
                <w:b/>
              </w:rPr>
            </w:pPr>
            <w:r w:rsidRPr="0027258A">
              <w:rPr>
                <w:rFonts w:ascii="Calibri Light" w:hAnsi="Calibri Light" w:cstheme="minorHAnsi"/>
                <w:b/>
              </w:rPr>
              <w:t>Efficacy data in humans</w:t>
            </w:r>
            <w:r>
              <w:rPr>
                <w:rFonts w:ascii="Calibri Light" w:hAnsi="Calibri Light" w:cstheme="minorHAnsi"/>
                <w:b/>
              </w:rPr>
              <w:t xml:space="preserve"> against COVID-19</w:t>
            </w:r>
          </w:p>
        </w:tc>
        <w:tc>
          <w:tcPr>
            <w:tcW w:w="7796" w:type="dxa"/>
          </w:tcPr>
          <w:p w:rsidR="00286750" w:rsidRPr="0027258A" w:rsidRDefault="00286750" w:rsidP="009419ED">
            <w:pPr>
              <w:jc w:val="both"/>
              <w:rPr>
                <w:rFonts w:ascii="Calibri Light" w:hAnsi="Calibri Light"/>
              </w:rPr>
            </w:pPr>
            <w:r w:rsidRPr="0027258A">
              <w:rPr>
                <w:rFonts w:ascii="Calibri Light" w:hAnsi="Calibri Light"/>
              </w:rPr>
              <w:t>Where clinical efficacy data from randomized controlled trials (RCTs) are available, this is clearly preferable to efficacy in animals.</w:t>
            </w:r>
          </w:p>
          <w:p w:rsidR="00286750" w:rsidRPr="0027258A" w:rsidRDefault="00286750" w:rsidP="00286750">
            <w:pPr>
              <w:pStyle w:val="ListParagraph"/>
              <w:numPr>
                <w:ilvl w:val="0"/>
                <w:numId w:val="40"/>
              </w:numPr>
              <w:spacing w:before="0" w:after="0"/>
              <w:jc w:val="both"/>
              <w:rPr>
                <w:rFonts w:ascii="Calibri Light" w:hAnsi="Calibri Light"/>
              </w:rPr>
            </w:pPr>
            <w:r w:rsidRPr="0027258A">
              <w:rPr>
                <w:rFonts w:ascii="Calibri Light" w:hAnsi="Calibri Light"/>
              </w:rPr>
              <w:t>Administration through MEURI does not generate useful information to support clinical efficacy determination due to the very high risk of bias and confounding factors.</w:t>
            </w:r>
          </w:p>
          <w:p w:rsidR="00286750" w:rsidRPr="00F1297C" w:rsidRDefault="00286750" w:rsidP="009419ED">
            <w:pPr>
              <w:ind w:left="360"/>
              <w:jc w:val="both"/>
              <w:rPr>
                <w:rFonts w:ascii="Calibri Light" w:hAnsi="Calibri Light"/>
              </w:rPr>
            </w:pPr>
          </w:p>
          <w:p w:rsidR="00286750" w:rsidRPr="0027258A" w:rsidRDefault="00286750" w:rsidP="009419ED">
            <w:pPr>
              <w:jc w:val="both"/>
              <w:rPr>
                <w:rFonts w:ascii="Calibri Light" w:hAnsi="Calibri Light"/>
              </w:rPr>
            </w:pPr>
            <w:r w:rsidRPr="0027258A">
              <w:rPr>
                <w:rFonts w:ascii="Calibri Light" w:hAnsi="Calibri Light"/>
              </w:rPr>
              <w:t>Surrogate markers, validated or reasonably expected to predict efficacy, e.g. viral load decreases, would be supportive.</w:t>
            </w:r>
          </w:p>
          <w:p w:rsidR="00286750" w:rsidRPr="0027258A" w:rsidRDefault="00286750" w:rsidP="009419ED">
            <w:pPr>
              <w:jc w:val="both"/>
              <w:rPr>
                <w:rFonts w:ascii="Calibri Light" w:hAnsi="Calibri Light"/>
              </w:rPr>
            </w:pPr>
            <w:r w:rsidRPr="0027258A">
              <w:rPr>
                <w:rFonts w:ascii="Calibri Light" w:hAnsi="Calibri Light"/>
              </w:rPr>
              <w:t>Information on combination with other agents, documented or potential drug and/or vaccine  interactions would be desirable.</w:t>
            </w:r>
          </w:p>
        </w:tc>
        <w:tc>
          <w:tcPr>
            <w:tcW w:w="8930" w:type="dxa"/>
          </w:tcPr>
          <w:p w:rsidR="00286750" w:rsidRPr="0027258A" w:rsidRDefault="00286750" w:rsidP="009419ED">
            <w:pPr>
              <w:jc w:val="center"/>
              <w:rPr>
                <w:rFonts w:ascii="Calibri Light" w:hAnsi="Calibri Light"/>
              </w:rPr>
            </w:pPr>
          </w:p>
        </w:tc>
      </w:tr>
      <w:tr w:rsidR="00286750" w:rsidRPr="0027258A" w:rsidTr="009419ED">
        <w:tc>
          <w:tcPr>
            <w:tcW w:w="3114" w:type="dxa"/>
          </w:tcPr>
          <w:p w:rsidR="00286750" w:rsidRPr="0027258A" w:rsidRDefault="00286750" w:rsidP="009419ED">
            <w:pPr>
              <w:rPr>
                <w:rFonts w:ascii="Calibri Light" w:hAnsi="Calibri Light" w:cstheme="minorHAnsi"/>
                <w:b/>
              </w:rPr>
            </w:pPr>
            <w:r w:rsidRPr="0027258A">
              <w:rPr>
                <w:rFonts w:ascii="Calibri Light" w:hAnsi="Calibri Light" w:cstheme="minorHAnsi"/>
                <w:b/>
              </w:rPr>
              <w:t>Access in event of success</w:t>
            </w:r>
          </w:p>
          <w:p w:rsidR="00286750" w:rsidRPr="0027258A" w:rsidRDefault="00286750" w:rsidP="009419ED">
            <w:pPr>
              <w:rPr>
                <w:rFonts w:ascii="Calibri Light" w:hAnsi="Calibri Light" w:cstheme="minorHAnsi"/>
                <w:b/>
              </w:rPr>
            </w:pPr>
            <w:r w:rsidRPr="0027258A">
              <w:rPr>
                <w:rFonts w:ascii="Calibri Light" w:hAnsi="Calibri Light" w:cstheme="minorHAnsi"/>
                <w:b/>
              </w:rPr>
              <w:t>(mandatory)</w:t>
            </w:r>
          </w:p>
        </w:tc>
        <w:tc>
          <w:tcPr>
            <w:tcW w:w="7796" w:type="dxa"/>
          </w:tcPr>
          <w:p w:rsidR="00286750" w:rsidRPr="0027258A" w:rsidRDefault="00286750" w:rsidP="009419ED">
            <w:pPr>
              <w:jc w:val="both"/>
              <w:rPr>
                <w:rFonts w:ascii="Calibri Light" w:hAnsi="Calibri Light"/>
              </w:rPr>
            </w:pPr>
            <w:r w:rsidRPr="0027258A">
              <w:rPr>
                <w:rFonts w:ascii="Calibri Light" w:hAnsi="Calibri Light"/>
              </w:rPr>
              <w:t xml:space="preserve">Evidence that at least 200 treatment courses compliant with GMP will be available and </w:t>
            </w:r>
            <w:proofErr w:type="spellStart"/>
            <w:r w:rsidRPr="0027258A">
              <w:rPr>
                <w:rFonts w:ascii="Calibri Light" w:hAnsi="Calibri Light"/>
              </w:rPr>
              <w:t>labeled</w:t>
            </w:r>
            <w:proofErr w:type="spellEnd"/>
            <w:r w:rsidRPr="0027258A">
              <w:rPr>
                <w:rFonts w:ascii="Calibri Light" w:hAnsi="Calibri Light"/>
              </w:rPr>
              <w:t xml:space="preserve"> by the trial initiation date (</w:t>
            </w:r>
          </w:p>
          <w:p w:rsidR="00286750" w:rsidRPr="0027258A" w:rsidRDefault="00286750" w:rsidP="009419ED">
            <w:pPr>
              <w:jc w:val="both"/>
              <w:rPr>
                <w:rFonts w:ascii="Calibri Light" w:hAnsi="Calibri Light"/>
              </w:rPr>
            </w:pPr>
          </w:p>
          <w:p w:rsidR="00286750" w:rsidRPr="0027258A" w:rsidRDefault="00286750" w:rsidP="009419ED">
            <w:pPr>
              <w:jc w:val="both"/>
              <w:rPr>
                <w:rFonts w:ascii="Calibri Light" w:hAnsi="Calibri Light"/>
              </w:rPr>
            </w:pPr>
            <w:r w:rsidRPr="0027258A">
              <w:rPr>
                <w:rFonts w:ascii="Calibri Light" w:hAnsi="Calibri Light"/>
              </w:rPr>
              <w:lastRenderedPageBreak/>
              <w:t>Evidence that sufficient numbers of GMP treatment courses doses (&gt;200)  will be available for early implementation for confirmed cases (by May 2020)</w:t>
            </w:r>
          </w:p>
          <w:p w:rsidR="00286750" w:rsidRPr="0027258A" w:rsidRDefault="00286750" w:rsidP="009419ED">
            <w:pPr>
              <w:jc w:val="both"/>
              <w:rPr>
                <w:rFonts w:ascii="Calibri Light" w:hAnsi="Calibri Light"/>
              </w:rPr>
            </w:pPr>
          </w:p>
          <w:p w:rsidR="00286750" w:rsidRPr="0027258A" w:rsidRDefault="00286750" w:rsidP="009419ED">
            <w:pPr>
              <w:jc w:val="both"/>
              <w:rPr>
                <w:rFonts w:ascii="Calibri Light" w:hAnsi="Calibri Light"/>
              </w:rPr>
            </w:pPr>
            <w:r w:rsidRPr="0027258A">
              <w:rPr>
                <w:rFonts w:ascii="Calibri Light" w:hAnsi="Calibri Light"/>
              </w:rPr>
              <w:t>Evidence that production plans are in place to meet the treatments supply demand (thousands of doses) in large-scale implementation in at-risk countries in Africa starting in October 2020.</w:t>
            </w:r>
          </w:p>
          <w:p w:rsidR="00286750" w:rsidRPr="0027258A" w:rsidRDefault="00286750" w:rsidP="009419ED">
            <w:pPr>
              <w:jc w:val="both"/>
              <w:rPr>
                <w:rFonts w:ascii="Calibri Light" w:hAnsi="Calibri Light"/>
              </w:rPr>
            </w:pPr>
          </w:p>
          <w:p w:rsidR="00286750" w:rsidRPr="0027258A" w:rsidRDefault="00286750" w:rsidP="009419ED">
            <w:pPr>
              <w:jc w:val="both"/>
              <w:rPr>
                <w:rFonts w:ascii="Calibri Light" w:hAnsi="Calibri Light"/>
              </w:rPr>
            </w:pPr>
            <w:r w:rsidRPr="0027258A">
              <w:rPr>
                <w:rFonts w:ascii="Calibri Light" w:hAnsi="Calibri Light"/>
              </w:rPr>
              <w:t>Evidence of willingness to ensure that therapeutics will be manufactured and made available to WHO and the public health sector of the COVID-19-affected countries in sufficient amount and at an affordable price.</w:t>
            </w:r>
          </w:p>
        </w:tc>
        <w:tc>
          <w:tcPr>
            <w:tcW w:w="8930" w:type="dxa"/>
          </w:tcPr>
          <w:p w:rsidR="00286750" w:rsidRPr="0027258A" w:rsidRDefault="00286750" w:rsidP="009419ED">
            <w:pPr>
              <w:jc w:val="center"/>
              <w:rPr>
                <w:rFonts w:ascii="Calibri Light" w:hAnsi="Calibri Light"/>
              </w:rPr>
            </w:pPr>
          </w:p>
        </w:tc>
      </w:tr>
      <w:tr w:rsidR="00286750" w:rsidRPr="0027258A" w:rsidTr="009419ED">
        <w:tc>
          <w:tcPr>
            <w:tcW w:w="10910" w:type="dxa"/>
            <w:gridSpan w:val="2"/>
            <w:shd w:val="clear" w:color="auto" w:fill="F2F2F2" w:themeFill="background1" w:themeFillShade="F2"/>
          </w:tcPr>
          <w:p w:rsidR="00286750" w:rsidRPr="0027258A" w:rsidRDefault="00286750" w:rsidP="009419ED">
            <w:pPr>
              <w:jc w:val="both"/>
              <w:rPr>
                <w:rFonts w:ascii="Calibri Light" w:hAnsi="Calibri Light"/>
              </w:rPr>
            </w:pPr>
            <w:r w:rsidRPr="0027258A">
              <w:rPr>
                <w:rFonts w:ascii="Calibri Light" w:hAnsi="Calibri Light" w:cstheme="minorHAnsi"/>
                <w:b/>
              </w:rPr>
              <w:t>Additional prioritization criteria</w:t>
            </w:r>
          </w:p>
        </w:tc>
        <w:tc>
          <w:tcPr>
            <w:tcW w:w="8930" w:type="dxa"/>
            <w:shd w:val="clear" w:color="auto" w:fill="F2F2F2" w:themeFill="background1" w:themeFillShade="F2"/>
          </w:tcPr>
          <w:p w:rsidR="00286750" w:rsidRPr="0027258A" w:rsidRDefault="00286750" w:rsidP="009419ED">
            <w:pPr>
              <w:jc w:val="center"/>
              <w:rPr>
                <w:rFonts w:ascii="Calibri Light" w:hAnsi="Calibri Light" w:cstheme="minorHAnsi"/>
                <w:b/>
              </w:rPr>
            </w:pPr>
          </w:p>
        </w:tc>
      </w:tr>
      <w:tr w:rsidR="00286750" w:rsidRPr="0027258A" w:rsidTr="009419ED">
        <w:trPr>
          <w:trHeight w:val="540"/>
        </w:trPr>
        <w:tc>
          <w:tcPr>
            <w:tcW w:w="3114" w:type="dxa"/>
          </w:tcPr>
          <w:p w:rsidR="00286750" w:rsidRPr="0027258A" w:rsidRDefault="00286750" w:rsidP="009419ED">
            <w:pPr>
              <w:rPr>
                <w:rFonts w:ascii="Calibri Light" w:hAnsi="Calibri Light" w:cstheme="minorHAnsi"/>
                <w:b/>
              </w:rPr>
            </w:pPr>
            <w:r w:rsidRPr="0027258A">
              <w:rPr>
                <w:rFonts w:ascii="Calibri Light" w:hAnsi="Calibri Light" w:cstheme="minorHAnsi"/>
                <w:b/>
              </w:rPr>
              <w:t>Staff training</w:t>
            </w:r>
          </w:p>
        </w:tc>
        <w:tc>
          <w:tcPr>
            <w:tcW w:w="7796" w:type="dxa"/>
          </w:tcPr>
          <w:p w:rsidR="00286750" w:rsidRPr="0027258A" w:rsidRDefault="00286750" w:rsidP="009419ED">
            <w:pPr>
              <w:jc w:val="both"/>
              <w:rPr>
                <w:rFonts w:ascii="Calibri Light" w:hAnsi="Calibri Light"/>
                <w:b/>
              </w:rPr>
            </w:pPr>
            <w:r w:rsidRPr="0027258A">
              <w:rPr>
                <w:rFonts w:ascii="Calibri Light" w:hAnsi="Calibri Light"/>
              </w:rPr>
              <w:t>Information on the specific training that medical staff would need to have received in order to safely and reproducibly administer the agent.</w:t>
            </w:r>
          </w:p>
        </w:tc>
        <w:tc>
          <w:tcPr>
            <w:tcW w:w="8930" w:type="dxa"/>
          </w:tcPr>
          <w:p w:rsidR="00286750" w:rsidRPr="0027258A" w:rsidRDefault="00286750" w:rsidP="009419ED">
            <w:pPr>
              <w:jc w:val="center"/>
              <w:rPr>
                <w:rFonts w:ascii="Calibri Light" w:hAnsi="Calibri Light"/>
              </w:rPr>
            </w:pPr>
          </w:p>
        </w:tc>
      </w:tr>
      <w:tr w:rsidR="00286750" w:rsidRPr="0027258A" w:rsidTr="009419ED">
        <w:tc>
          <w:tcPr>
            <w:tcW w:w="3114" w:type="dxa"/>
          </w:tcPr>
          <w:p w:rsidR="00286750" w:rsidRPr="0027258A" w:rsidRDefault="00286750" w:rsidP="009419ED">
            <w:pPr>
              <w:rPr>
                <w:rFonts w:ascii="Calibri Light" w:hAnsi="Calibri Light"/>
                <w:b/>
              </w:rPr>
            </w:pPr>
            <w:r w:rsidRPr="0027258A">
              <w:rPr>
                <w:rFonts w:ascii="Calibri Light" w:hAnsi="Calibri Light"/>
                <w:b/>
              </w:rPr>
              <w:t>Administration  and monitoring equipment</w:t>
            </w:r>
          </w:p>
          <w:p w:rsidR="00286750" w:rsidRPr="0027258A" w:rsidRDefault="00286750" w:rsidP="009419ED">
            <w:pPr>
              <w:rPr>
                <w:rFonts w:ascii="Calibri Light" w:hAnsi="Calibri Light"/>
              </w:rPr>
            </w:pPr>
          </w:p>
        </w:tc>
        <w:tc>
          <w:tcPr>
            <w:tcW w:w="7796" w:type="dxa"/>
          </w:tcPr>
          <w:p w:rsidR="00286750" w:rsidRPr="0027258A" w:rsidRDefault="00286750" w:rsidP="009419ED">
            <w:pPr>
              <w:jc w:val="both"/>
              <w:rPr>
                <w:rFonts w:ascii="Calibri Light" w:hAnsi="Calibri Light"/>
              </w:rPr>
            </w:pPr>
            <w:r w:rsidRPr="0027258A">
              <w:rPr>
                <w:rFonts w:ascii="Calibri Light" w:hAnsi="Calibri Light"/>
              </w:rPr>
              <w:t>Is specific equipment that would not normally be present at COVID-19 ICUs needed to administer the agent?</w:t>
            </w:r>
          </w:p>
          <w:p w:rsidR="00286750" w:rsidRPr="0027258A" w:rsidRDefault="00286750" w:rsidP="009419ED">
            <w:pPr>
              <w:jc w:val="both"/>
              <w:rPr>
                <w:rFonts w:ascii="Calibri Light" w:hAnsi="Calibri Light"/>
              </w:rPr>
            </w:pPr>
          </w:p>
          <w:p w:rsidR="00286750" w:rsidRPr="0027258A" w:rsidRDefault="00286750" w:rsidP="009419ED">
            <w:pPr>
              <w:jc w:val="both"/>
              <w:rPr>
                <w:rFonts w:ascii="Calibri Light" w:hAnsi="Calibri Light"/>
              </w:rPr>
            </w:pPr>
            <w:r w:rsidRPr="0027258A">
              <w:rPr>
                <w:rFonts w:ascii="Calibri Light" w:hAnsi="Calibri Light"/>
              </w:rPr>
              <w:t xml:space="preserve">Is specific equipment that would not normally be present at  ICUs needed to monitor the agent including laboratory equipment for e.g. </w:t>
            </w:r>
            <w:proofErr w:type="spellStart"/>
            <w:r w:rsidRPr="0027258A">
              <w:rPr>
                <w:rFonts w:ascii="Calibri Light" w:hAnsi="Calibri Light"/>
              </w:rPr>
              <w:t>hematology</w:t>
            </w:r>
            <w:proofErr w:type="spellEnd"/>
            <w:r w:rsidRPr="0027258A">
              <w:rPr>
                <w:rFonts w:ascii="Calibri Light" w:hAnsi="Calibri Light"/>
              </w:rPr>
              <w:t>, biochemistry (e.g. liver, renal function).</w:t>
            </w:r>
          </w:p>
        </w:tc>
        <w:tc>
          <w:tcPr>
            <w:tcW w:w="8930" w:type="dxa"/>
          </w:tcPr>
          <w:p w:rsidR="00286750" w:rsidRPr="0027258A" w:rsidRDefault="00286750" w:rsidP="009419ED">
            <w:pPr>
              <w:jc w:val="center"/>
              <w:rPr>
                <w:rFonts w:ascii="Calibri Light" w:hAnsi="Calibri Light"/>
              </w:rPr>
            </w:pPr>
          </w:p>
        </w:tc>
      </w:tr>
      <w:tr w:rsidR="00286750" w:rsidRPr="0027258A" w:rsidTr="009419ED">
        <w:tc>
          <w:tcPr>
            <w:tcW w:w="3114" w:type="dxa"/>
          </w:tcPr>
          <w:p w:rsidR="00286750" w:rsidRPr="0027258A" w:rsidRDefault="00286750" w:rsidP="009419ED">
            <w:pPr>
              <w:rPr>
                <w:rFonts w:ascii="Calibri Light" w:hAnsi="Calibri Light" w:cstheme="minorHAnsi"/>
                <w:b/>
              </w:rPr>
            </w:pPr>
            <w:r w:rsidRPr="0027258A">
              <w:rPr>
                <w:rFonts w:ascii="Calibri Light" w:hAnsi="Calibri Light" w:cstheme="minorHAnsi"/>
                <w:b/>
              </w:rPr>
              <w:t>Storage &amp; shelf-life</w:t>
            </w:r>
          </w:p>
          <w:p w:rsidR="00286750" w:rsidRPr="0027258A" w:rsidRDefault="00286750" w:rsidP="009419ED">
            <w:pPr>
              <w:rPr>
                <w:rFonts w:ascii="Calibri Light" w:hAnsi="Calibri Light" w:cstheme="minorHAnsi"/>
                <w:b/>
              </w:rPr>
            </w:pPr>
          </w:p>
        </w:tc>
        <w:tc>
          <w:tcPr>
            <w:tcW w:w="7796" w:type="dxa"/>
          </w:tcPr>
          <w:p w:rsidR="00286750" w:rsidRPr="0027258A" w:rsidRDefault="00286750" w:rsidP="009419ED">
            <w:pPr>
              <w:jc w:val="both"/>
              <w:rPr>
                <w:rFonts w:ascii="Calibri Light" w:hAnsi="Calibri Light"/>
              </w:rPr>
            </w:pPr>
            <w:r w:rsidRPr="0027258A">
              <w:rPr>
                <w:rFonts w:ascii="Calibri Light" w:hAnsi="Calibri Light"/>
              </w:rPr>
              <w:lastRenderedPageBreak/>
              <w:t>Temperature, stability at given temperature</w:t>
            </w:r>
          </w:p>
          <w:p w:rsidR="00286750" w:rsidRPr="0027258A" w:rsidRDefault="00286750" w:rsidP="009419ED">
            <w:pPr>
              <w:jc w:val="both"/>
              <w:rPr>
                <w:rFonts w:ascii="Calibri Light" w:hAnsi="Calibri Light"/>
              </w:rPr>
            </w:pPr>
          </w:p>
        </w:tc>
        <w:tc>
          <w:tcPr>
            <w:tcW w:w="8930" w:type="dxa"/>
          </w:tcPr>
          <w:p w:rsidR="00286750" w:rsidRPr="0027258A" w:rsidRDefault="00286750" w:rsidP="009419ED">
            <w:pPr>
              <w:jc w:val="center"/>
              <w:rPr>
                <w:rFonts w:ascii="Calibri Light" w:hAnsi="Calibri Light"/>
              </w:rPr>
            </w:pPr>
          </w:p>
        </w:tc>
      </w:tr>
      <w:tr w:rsidR="00286750" w:rsidRPr="0027258A" w:rsidTr="009419ED">
        <w:trPr>
          <w:trHeight w:val="517"/>
        </w:trPr>
        <w:tc>
          <w:tcPr>
            <w:tcW w:w="3114" w:type="dxa"/>
          </w:tcPr>
          <w:p w:rsidR="00286750" w:rsidRPr="0027258A" w:rsidRDefault="00286750" w:rsidP="009419ED">
            <w:pPr>
              <w:rPr>
                <w:rFonts w:ascii="Calibri Light" w:hAnsi="Calibri Light" w:cstheme="minorHAnsi"/>
                <w:b/>
              </w:rPr>
            </w:pPr>
            <w:r w:rsidRPr="0027258A">
              <w:rPr>
                <w:rFonts w:ascii="Calibri Light" w:hAnsi="Calibri Light" w:cstheme="minorHAnsi"/>
                <w:b/>
              </w:rPr>
              <w:t>Total</w:t>
            </w:r>
          </w:p>
        </w:tc>
        <w:tc>
          <w:tcPr>
            <w:tcW w:w="7796" w:type="dxa"/>
          </w:tcPr>
          <w:p w:rsidR="00286750" w:rsidRPr="0027258A" w:rsidRDefault="00286750" w:rsidP="009419ED">
            <w:pPr>
              <w:jc w:val="both"/>
              <w:rPr>
                <w:rFonts w:ascii="Calibri Light" w:hAnsi="Calibri Light"/>
                <w:b/>
              </w:rPr>
            </w:pPr>
          </w:p>
        </w:tc>
        <w:tc>
          <w:tcPr>
            <w:tcW w:w="8930" w:type="dxa"/>
          </w:tcPr>
          <w:p w:rsidR="00286750" w:rsidRPr="0027258A" w:rsidRDefault="00286750" w:rsidP="009419ED">
            <w:pPr>
              <w:jc w:val="center"/>
              <w:rPr>
                <w:rFonts w:ascii="Calibri Light" w:hAnsi="Calibri Light"/>
                <w:b/>
              </w:rPr>
            </w:pPr>
          </w:p>
        </w:tc>
      </w:tr>
    </w:tbl>
    <w:p w:rsidR="00286750" w:rsidRDefault="00286750" w:rsidP="00286750"/>
    <w:p w:rsidR="00286750" w:rsidRPr="00F1297C" w:rsidRDefault="00286750" w:rsidP="00286750">
      <w:pPr>
        <w:rPr>
          <w:sz w:val="20"/>
        </w:rPr>
      </w:pPr>
      <w:r w:rsidRPr="00F1297C">
        <w:rPr>
          <w:sz w:val="20"/>
        </w:rPr>
        <w:t>Origin of data: Data and evidence necessary to score the attributes will be collected from published data and information provided by the respective manufacturers.</w:t>
      </w:r>
    </w:p>
    <w:p w:rsidR="00286750" w:rsidRPr="00F1297C" w:rsidRDefault="00286750" w:rsidP="00286750">
      <w:pPr>
        <w:rPr>
          <w:sz w:val="20"/>
        </w:rPr>
      </w:pPr>
      <w:r w:rsidRPr="00F1297C">
        <w:rPr>
          <w:sz w:val="20"/>
        </w:rPr>
        <w:t>Weighting/scoring: Scoring: Score 0 to 3 per attribute (0 = no data available; 1= does not meet minimally acceptable profile; 2=meets minimally acceptable profile; 3 likely to exceed minimally acceptable profile).  Descriptive attributes are not weighted.</w:t>
      </w:r>
      <w:r w:rsidRPr="00F1297C">
        <w:rPr>
          <w:sz w:val="20"/>
        </w:rPr>
        <w:tab/>
      </w:r>
    </w:p>
    <w:p w:rsidR="00286750" w:rsidRPr="00F1297C" w:rsidRDefault="00286750" w:rsidP="00286750">
      <w:pPr>
        <w:rPr>
          <w:sz w:val="20"/>
        </w:rPr>
      </w:pPr>
      <w:r w:rsidRPr="00F1297C">
        <w:rPr>
          <w:sz w:val="20"/>
        </w:rPr>
        <w:t>Output: The process based on this framework will result in a report describing the outcome of the assessment of available COVID-19 investigational therapeutics for use by the committee to make the formal decision on recommendations for inclusion in clinical trials at a given point in time. Such decisions are to be revisited upon emergence of significant new information</w:t>
      </w:r>
    </w:p>
    <w:p w:rsidR="007E17AD" w:rsidRDefault="007E17AD" w:rsidP="00286750">
      <w:pPr>
        <w:tabs>
          <w:tab w:val="left" w:pos="7230"/>
        </w:tabs>
        <w:rPr>
          <w:b/>
          <w:sz w:val="24"/>
          <w:szCs w:val="24"/>
        </w:rPr>
      </w:pPr>
    </w:p>
    <w:p w:rsidR="000A32F7" w:rsidRPr="00E7441F" w:rsidRDefault="000A32F7" w:rsidP="000A32F7">
      <w:pPr>
        <w:tabs>
          <w:tab w:val="left" w:pos="7230"/>
        </w:tabs>
        <w:rPr>
          <w:b/>
          <w:sz w:val="24"/>
          <w:szCs w:val="24"/>
        </w:rPr>
      </w:pPr>
    </w:p>
    <w:sectPr w:rsidR="000A32F7" w:rsidRPr="00E7441F" w:rsidSect="00C841C1">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CB3" w:rsidRDefault="007C4CB3" w:rsidP="00F4205A">
      <w:r>
        <w:separator/>
      </w:r>
    </w:p>
    <w:p w:rsidR="007C4CB3" w:rsidRDefault="007C4CB3" w:rsidP="00F4205A"/>
  </w:endnote>
  <w:endnote w:type="continuationSeparator" w:id="0">
    <w:p w:rsidR="007C4CB3" w:rsidRDefault="007C4CB3" w:rsidP="00F4205A">
      <w:r>
        <w:continuationSeparator/>
      </w:r>
    </w:p>
    <w:p w:rsidR="007C4CB3" w:rsidRDefault="007C4CB3" w:rsidP="00F42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Arial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F60" w:rsidRDefault="00A80F60" w:rsidP="00C854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0F60" w:rsidRDefault="00A80F60" w:rsidP="008972A1">
    <w:pPr>
      <w:pStyle w:val="Footer"/>
      <w:ind w:right="360"/>
      <w:rPr>
        <w:rStyle w:val="PageNumber"/>
      </w:rPr>
    </w:pPr>
  </w:p>
  <w:p w:rsidR="00A80F60" w:rsidRDefault="00A80F60" w:rsidP="0089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488669"/>
      <w:docPartObj>
        <w:docPartGallery w:val="Page Numbers (Bottom of Page)"/>
        <w:docPartUnique/>
      </w:docPartObj>
    </w:sdtPr>
    <w:sdtEndPr>
      <w:rPr>
        <w:noProof/>
      </w:rPr>
    </w:sdtEndPr>
    <w:sdtContent>
      <w:p w:rsidR="00A80F60" w:rsidRDefault="00A80F60">
        <w:pPr>
          <w:pStyle w:val="Footer"/>
        </w:pPr>
        <w:r>
          <w:fldChar w:fldCharType="begin"/>
        </w:r>
        <w:r>
          <w:instrText xml:space="preserve"> PAGE   \* MERGEFORMAT </w:instrText>
        </w:r>
        <w:r>
          <w:fldChar w:fldCharType="separate"/>
        </w:r>
        <w:r>
          <w:rPr>
            <w:noProof/>
          </w:rPr>
          <w:t>2</w:t>
        </w:r>
        <w:r>
          <w:rPr>
            <w:noProof/>
          </w:rPr>
          <w:fldChar w:fldCharType="end"/>
        </w:r>
      </w:p>
    </w:sdtContent>
  </w:sdt>
  <w:p w:rsidR="00A80F60" w:rsidRDefault="00A80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F60" w:rsidRDefault="00A80F60">
    <w:pPr>
      <w:pStyle w:val="Footer"/>
    </w:pPr>
    <w:r>
      <w:rPr>
        <w:noProof/>
        <w:lang w:val="en-US" w:eastAsia="en-US"/>
      </w:rPr>
      <w:drawing>
        <wp:anchor distT="0" distB="0" distL="114300" distR="114300" simplePos="0" relativeHeight="251657216" behindDoc="0" locked="0" layoutInCell="1" allowOverlap="1" wp14:anchorId="78596CC9" wp14:editId="4F7687E7">
          <wp:simplePos x="0" y="0"/>
          <wp:positionH relativeFrom="column">
            <wp:posOffset>214989</wp:posOffset>
          </wp:positionH>
          <wp:positionV relativeFrom="paragraph">
            <wp:posOffset>-988350</wp:posOffset>
          </wp:positionV>
          <wp:extent cx="3169189" cy="841815"/>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3169189" cy="84181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CB3" w:rsidRDefault="007C4CB3" w:rsidP="00F4205A">
      <w:r>
        <w:separator/>
      </w:r>
    </w:p>
  </w:footnote>
  <w:footnote w:type="continuationSeparator" w:id="0">
    <w:p w:rsidR="007C4CB3" w:rsidRDefault="007C4CB3" w:rsidP="00F4205A">
      <w:r>
        <w:continuationSeparator/>
      </w:r>
    </w:p>
    <w:p w:rsidR="007C4CB3" w:rsidRDefault="007C4CB3" w:rsidP="00F42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F60" w:rsidRPr="00693E4B" w:rsidRDefault="00A80F60" w:rsidP="004D341F">
    <w:pPr>
      <w:pStyle w:val="Header"/>
      <w:pBdr>
        <w:top w:val="single" w:sz="4" w:space="10" w:color="1B4379" w:themeColor="text2"/>
        <w:left w:val="single" w:sz="4" w:space="10" w:color="1B4379" w:themeColor="text2"/>
        <w:bottom w:val="single" w:sz="4" w:space="31" w:color="1B4379" w:themeColor="text2"/>
        <w:right w:val="single" w:sz="4" w:space="10" w:color="1B4379" w:themeColor="text2"/>
      </w:pBdr>
      <w:shd w:val="clear" w:color="auto" w:fill="1B4379" w:themeFill="text2"/>
      <w:tabs>
        <w:tab w:val="right" w:pos="3402"/>
      </w:tabs>
      <w:ind w:right="-8"/>
      <w:rPr>
        <w:b/>
        <w:bCs/>
        <w:color w:val="FFFFFF" w:themeColor="background2"/>
        <w:sz w:val="24"/>
        <w:szCs w:val="24"/>
      </w:rPr>
    </w:pPr>
    <w:r>
      <w:rPr>
        <w:noProof/>
        <w:lang w:val="en-US" w:eastAsia="en-US"/>
      </w:rPr>
      <mc:AlternateContent>
        <mc:Choice Requires="wps">
          <w:drawing>
            <wp:anchor distT="0" distB="0" distL="114300" distR="114300" simplePos="0" relativeHeight="251658240" behindDoc="0" locked="0" layoutInCell="1" allowOverlap="1" wp14:anchorId="3311CAEF" wp14:editId="796706F5">
              <wp:simplePos x="0" y="0"/>
              <wp:positionH relativeFrom="column">
                <wp:posOffset>-133350</wp:posOffset>
              </wp:positionH>
              <wp:positionV relativeFrom="page">
                <wp:posOffset>571500</wp:posOffset>
              </wp:positionV>
              <wp:extent cx="4632960" cy="5899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4632960" cy="589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80F60" w:rsidRPr="002D390B" w:rsidRDefault="00A80F60" w:rsidP="002D390B">
                          <w:pPr>
                            <w:adjustRightInd w:val="0"/>
                            <w:spacing w:before="0" w:after="0"/>
                            <w:rPr>
                              <w:b/>
                              <w:color w:val="FFFFFF" w:themeColor="background2"/>
                            </w:rPr>
                          </w:pPr>
                          <w:r>
                            <w:rPr>
                              <w:b/>
                              <w:color w:val="FFFFFF" w:themeColor="background2"/>
                            </w:rPr>
                            <w:t xml:space="preserve">COVID-19: Therapeutics Working Group </w:t>
                          </w:r>
                          <w:r w:rsidRPr="00A208B7">
                            <w:rPr>
                              <w:b/>
                              <w:color w:val="FFFFFF" w:themeColor="background2"/>
                            </w:rPr>
                            <w:t>Informal consultation on the po</w:t>
                          </w:r>
                          <w:r>
                            <w:rPr>
                              <w:b/>
                              <w:color w:val="FFFFFF" w:themeColor="background2"/>
                            </w:rPr>
                            <w:t>tential inclusion of Immunomodulators</w:t>
                          </w:r>
                          <w:r w:rsidRPr="00A208B7">
                            <w:rPr>
                              <w:b/>
                              <w:color w:val="FFFFFF" w:themeColor="background2"/>
                            </w:rPr>
                            <w:t xml:space="preserve"> in a clinical trial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1CAEF" id="_x0000_t202" coordsize="21600,21600" o:spt="202" path="m,l,21600r21600,l21600,xe">
              <v:stroke joinstyle="miter"/>
              <v:path gradientshapeok="t" o:connecttype="rect"/>
            </v:shapetype>
            <v:shape id="Text Box 1" o:spid="_x0000_s1027" type="#_x0000_t202" style="position:absolute;margin-left:-10.5pt;margin-top:45pt;width:364.8pt;height:4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" filled="f" stroked="f">
              <v:textbox>
                <w:txbxContent>
                  <w:p w:rsidR="00A80F60" w:rsidRPr="002D390B" w:rsidRDefault="00A80F60" w:rsidP="002D390B">
                    <w:pPr>
                      <w:adjustRightInd w:val="0"/>
                      <w:spacing w:before="0" w:after="0"/>
                      <w:rPr>
                        <w:b/>
                        <w:color w:val="FFFFFF" w:themeColor="background2"/>
                      </w:rPr>
                    </w:pPr>
                    <w:r>
                      <w:rPr>
                        <w:b/>
                        <w:color w:val="FFFFFF" w:themeColor="background2"/>
                      </w:rPr>
                      <w:t xml:space="preserve">COVID-19: Therapeutics Working Group </w:t>
                    </w:r>
                    <w:r w:rsidRPr="00A208B7">
                      <w:rPr>
                        <w:b/>
                        <w:color w:val="FFFFFF" w:themeColor="background2"/>
                      </w:rPr>
                      <w:t>Informal consultation on the po</w:t>
                    </w:r>
                    <w:r>
                      <w:rPr>
                        <w:b/>
                        <w:color w:val="FFFFFF" w:themeColor="background2"/>
                      </w:rPr>
                      <w:t>tential inclusion of Immunomodulators</w:t>
                    </w:r>
                    <w:r w:rsidRPr="00A208B7">
                      <w:rPr>
                        <w:b/>
                        <w:color w:val="FFFFFF" w:themeColor="background2"/>
                      </w:rPr>
                      <w:t xml:space="preserve"> in a clinical trial</w:t>
                    </w:r>
                  </w:p>
                </w:txbxContent>
              </v:textbox>
              <w10:wrap anchory="page"/>
            </v:shape>
          </w:pict>
        </mc:Fallback>
      </mc:AlternateContent>
    </w:r>
    <w:r>
      <w:rPr>
        <w:b/>
        <w:bCs/>
        <w:noProof/>
        <w:color w:val="FFFFFF" w:themeColor="background2"/>
        <w:sz w:val="24"/>
        <w:szCs w:val="24"/>
        <w:lang w:val="en-US" w:eastAsia="en-US"/>
      </w:rPr>
      <w:drawing>
        <wp:anchor distT="0" distB="0" distL="114300" distR="114300" simplePos="0" relativeHeight="251655168" behindDoc="0" locked="0" layoutInCell="1" allowOverlap="1" wp14:anchorId="69061DB1" wp14:editId="16F8D0C0">
          <wp:simplePos x="0" y="0"/>
          <wp:positionH relativeFrom="margin">
            <wp:posOffset>4163695</wp:posOffset>
          </wp:positionH>
          <wp:positionV relativeFrom="page">
            <wp:posOffset>667378</wp:posOffset>
          </wp:positionV>
          <wp:extent cx="1854835" cy="49339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mp;D Blueprint Logo-White.png"/>
                  <pic:cNvPicPr/>
                </pic:nvPicPr>
                <pic:blipFill>
                  <a:blip r:embed="rId1">
                    <a:extLst>
                      <a:ext uri="{28A0092B-C50C-407E-A947-70E740481C1C}">
                        <a14:useLocalDpi xmlns:a14="http://schemas.microsoft.com/office/drawing/2010/main" val="0"/>
                      </a:ext>
                    </a:extLst>
                  </a:blip>
                  <a:stretch>
                    <a:fillRect/>
                  </a:stretch>
                </pic:blipFill>
                <pic:spPr>
                  <a:xfrm>
                    <a:off x="0" y="0"/>
                    <a:ext cx="1854835" cy="493395"/>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FFFFFF" w:themeColor="background2"/>
          <w:sz w:val="24"/>
          <w:szCs w:val="24"/>
        </w:rPr>
        <w:id w:val="-1117752702"/>
        <w:docPartObj>
          <w:docPartGallery w:val="Watermarks"/>
          <w:docPartUnique/>
        </w:docPartObj>
      </w:sdtPr>
      <w:sdtEndPr/>
      <w:sdtContent>
        <w:r w:rsidR="007C4CB3">
          <w:rPr>
            <w:b/>
            <w:bCs/>
            <w:noProof/>
            <w:color w:val="FFFFFF" w:themeColor="background2"/>
            <w:sz w:val="24"/>
            <w:szCs w:val="24"/>
          </w:rPr>
          <w:pict w14:anchorId="3E84D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F60" w:rsidRDefault="00A80F60" w:rsidP="0092629E">
    <w:pPr>
      <w:pStyle w:val="Bodycopy"/>
    </w:pPr>
    <w:r>
      <w:rPr>
        <w:noProof/>
        <w:lang w:eastAsia="en-US"/>
      </w:rPr>
      <w:drawing>
        <wp:anchor distT="0" distB="0" distL="114300" distR="114300" simplePos="0" relativeHeight="251659264" behindDoc="1" locked="0" layoutInCell="1" allowOverlap="1" wp14:anchorId="03641BE2" wp14:editId="41777193">
          <wp:simplePos x="0" y="0"/>
          <wp:positionH relativeFrom="column">
            <wp:posOffset>-550545</wp:posOffset>
          </wp:positionH>
          <wp:positionV relativeFrom="paragraph">
            <wp:posOffset>-488950</wp:posOffset>
          </wp:positionV>
          <wp:extent cx="7533249" cy="10746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 panel_White.2.png"/>
                  <pic:cNvPicPr/>
                </pic:nvPicPr>
                <pic:blipFill>
                  <a:blip r:embed="rId1">
                    <a:extLst>
                      <a:ext uri="{28A0092B-C50C-407E-A947-70E740481C1C}">
                        <a14:useLocalDpi xmlns:a14="http://schemas.microsoft.com/office/drawing/2010/main" val="0"/>
                      </a:ext>
                    </a:extLst>
                  </a:blip>
                  <a:stretch>
                    <a:fillRect/>
                  </a:stretch>
                </pic:blipFill>
                <pic:spPr>
                  <a:xfrm>
                    <a:off x="0" y="0"/>
                    <a:ext cx="7533249" cy="10746000"/>
                  </a:xfrm>
                  <a:prstGeom prst="rect">
                    <a:avLst/>
                  </a:prstGeom>
                  <a:solidFill>
                    <a:schemeClr val="tx2"/>
                  </a:solidFill>
                </pic:spPr>
              </pic:pic>
            </a:graphicData>
          </a:graphic>
          <wp14:sizeRelH relativeFrom="page">
            <wp14:pctWidth>0</wp14:pctWidth>
          </wp14:sizeRelH>
          <wp14:sizeRelV relativeFrom="page">
            <wp14:pctHeight>0</wp14:pctHeight>
          </wp14:sizeRelV>
        </wp:anchor>
      </w:drawing>
    </w:r>
  </w:p>
  <w:p w:rsidR="00A80F60" w:rsidRDefault="00A80F60" w:rsidP="0092629E">
    <w:pPr>
      <w:pStyle w:val="Bodycopy"/>
    </w:pPr>
    <w:r>
      <w:rPr>
        <w:noProof/>
        <w:lang w:eastAsia="en-US"/>
      </w:rPr>
      <w:drawing>
        <wp:anchor distT="0" distB="0" distL="114300" distR="114300" simplePos="0" relativeHeight="251656192" behindDoc="0" locked="0" layoutInCell="1" allowOverlap="1" wp14:anchorId="3DFCDBAD" wp14:editId="5168054E">
          <wp:simplePos x="0" y="0"/>
          <wp:positionH relativeFrom="column">
            <wp:posOffset>216960</wp:posOffset>
          </wp:positionH>
          <wp:positionV relativeFrom="paragraph">
            <wp:posOffset>58006</wp:posOffset>
          </wp:positionV>
          <wp:extent cx="2637658" cy="805180"/>
          <wp:effectExtent l="0" t="0" r="4445" b="0"/>
          <wp:wrapNone/>
          <wp:docPr id="12" name="Picture 1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637658" cy="805180"/>
                  </a:xfrm>
                  <a:prstGeom prst="rect">
                    <a:avLst/>
                  </a:prstGeom>
                </pic:spPr>
              </pic:pic>
            </a:graphicData>
          </a:graphic>
        </wp:anchor>
      </w:drawing>
    </w:r>
  </w:p>
  <w:p w:rsidR="00A80F60" w:rsidRDefault="00A80F60" w:rsidP="0092629E">
    <w:pPr>
      <w:pStyle w:val="Bodycopy"/>
    </w:pPr>
  </w:p>
  <w:p w:rsidR="00A80F60" w:rsidRDefault="00A80F60" w:rsidP="0092629E">
    <w:pPr>
      <w:pStyle w:val="Bodycopy"/>
    </w:pPr>
  </w:p>
  <w:p w:rsidR="00A80F60" w:rsidRDefault="00A80F60" w:rsidP="0092629E">
    <w:pPr>
      <w:pStyle w:val="Bodycopy"/>
    </w:pPr>
  </w:p>
  <w:p w:rsidR="00A80F60" w:rsidRDefault="00A80F60" w:rsidP="0092629E">
    <w:pPr>
      <w:pStyle w:val="Bodycopy"/>
    </w:pPr>
  </w:p>
  <w:p w:rsidR="00A80F60" w:rsidRDefault="00A80F60" w:rsidP="0092629E">
    <w:pPr>
      <w:pStyle w:val="Bodycopy"/>
    </w:pPr>
  </w:p>
  <w:p w:rsidR="00A80F60" w:rsidRDefault="00A80F60" w:rsidP="0092629E">
    <w:pPr>
      <w:pStyle w:val="Bodycopy"/>
    </w:pPr>
  </w:p>
  <w:p w:rsidR="00A80F60" w:rsidRDefault="00A80F60" w:rsidP="0092629E">
    <w:pPr>
      <w:pStyle w:val="Bodycopy"/>
      <w:tabs>
        <w:tab w:val="left" w:pos="932"/>
      </w:tabs>
    </w:pPr>
    <w:r>
      <w:rPr>
        <w:noProof/>
        <w:lang w:eastAsia="en-US"/>
      </w:rPr>
      <w:t xml:space="preserve">                                                    </w:t>
    </w:r>
  </w:p>
  <w:p w:rsidR="00A80F60" w:rsidRDefault="00A80F60" w:rsidP="0092629E">
    <w:pPr>
      <w:pStyle w:val="Bodycopy"/>
      <w:tabs>
        <w:tab w:val="left" w:pos="932"/>
      </w:tabs>
    </w:pPr>
  </w:p>
  <w:p w:rsidR="00A80F60" w:rsidRDefault="00A80F60" w:rsidP="0092629E">
    <w:pPr>
      <w:pStyle w:val="Bodycopy"/>
      <w:tabs>
        <w:tab w:val="left" w:pos="932"/>
      </w:tabs>
    </w:pPr>
    <w:r>
      <w:t xml:space="preserve">                                                                                                    </w:t>
    </w:r>
  </w:p>
  <w:p w:rsidR="00A80F60" w:rsidRDefault="00A80F60" w:rsidP="0092629E">
    <w:pPr>
      <w:pStyle w:val="Bodycopy"/>
      <w:tabs>
        <w:tab w:val="left" w:pos="932"/>
      </w:tabs>
    </w:pPr>
    <w:r>
      <w:tab/>
    </w:r>
    <w:r>
      <w:tab/>
    </w:r>
    <w:r>
      <w:tab/>
    </w:r>
    <w:r>
      <w:tab/>
    </w:r>
    <w:r>
      <w:tab/>
    </w:r>
    <w:r>
      <w:tab/>
    </w:r>
    <w:r>
      <w:tab/>
    </w:r>
    <w:r>
      <w:tab/>
    </w:r>
    <w:r>
      <w:tab/>
    </w:r>
  </w:p>
  <w:p w:rsidR="00A80F60" w:rsidRDefault="00A80F60" w:rsidP="00656AC0">
    <w:pPr>
      <w:pStyle w:val="Bodycopy"/>
      <w:tabs>
        <w:tab w:val="left" w:pos="7313"/>
      </w:tabs>
    </w:pPr>
    <w:r>
      <w:tab/>
    </w:r>
  </w:p>
  <w:p w:rsidR="00A80F60" w:rsidRDefault="00A80F60" w:rsidP="0092629E">
    <w:pPr>
      <w:pStyle w:val="Bodycopy"/>
      <w:tabs>
        <w:tab w:val="left" w:pos="932"/>
      </w:tabs>
    </w:pPr>
  </w:p>
  <w:p w:rsidR="00A80F60" w:rsidRDefault="00A80F60" w:rsidP="0092629E">
    <w:pPr>
      <w:pStyle w:val="Bodycopy"/>
      <w:tabs>
        <w:tab w:val="left" w:pos="932"/>
      </w:tabs>
    </w:pPr>
  </w:p>
  <w:p w:rsidR="00A80F60" w:rsidRDefault="00A80F60" w:rsidP="0048117C">
    <w:pPr>
      <w:pStyle w:val="Bodycopy"/>
      <w:tabs>
        <w:tab w:val="left" w:pos="1309"/>
      </w:tabs>
    </w:pPr>
    <w:r>
      <w:tab/>
    </w:r>
  </w:p>
  <w:p w:rsidR="00A80F60" w:rsidRDefault="00A80F60" w:rsidP="0092629E">
    <w:pPr>
      <w:pStyle w:val="Bodycopy"/>
      <w:tabs>
        <w:tab w:val="left" w:pos="9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420C9B"/>
    <w:multiLevelType w:val="hybridMultilevel"/>
    <w:tmpl w:val="9D4C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7B0D34"/>
    <w:multiLevelType w:val="hybridMultilevel"/>
    <w:tmpl w:val="28BCF72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3A90CFE"/>
    <w:multiLevelType w:val="multilevel"/>
    <w:tmpl w:val="5B10DB78"/>
    <w:lvl w:ilvl="0">
      <w:start w:val="1"/>
      <w:numFmt w:val="bullet"/>
      <w:pStyle w:val="Bulletlist"/>
      <w:lvlText w:val=""/>
      <w:lvlJc w:val="left"/>
      <w:pPr>
        <w:ind w:left="284" w:hanging="284"/>
      </w:pPr>
      <w:rPr>
        <w:rFonts w:ascii="Symbol" w:hAnsi="Symbol" w:hint="default"/>
        <w:color w:val="1E7FB8"/>
      </w:rPr>
    </w:lvl>
    <w:lvl w:ilvl="1">
      <w:start w:val="1"/>
      <w:numFmt w:val="bullet"/>
      <w:lvlText w:val="o"/>
      <w:lvlJc w:val="left"/>
      <w:pPr>
        <w:ind w:left="567" w:hanging="283"/>
      </w:pPr>
      <w:rPr>
        <w:rFonts w:ascii="Courier New" w:hAnsi="Courier New" w:hint="default"/>
        <w:color w:val="1E7FB8"/>
      </w:rPr>
    </w:lvl>
    <w:lvl w:ilvl="2">
      <w:start w:val="1"/>
      <w:numFmt w:val="bullet"/>
      <w:lvlText w:val=""/>
      <w:lvlJc w:val="left"/>
      <w:pPr>
        <w:ind w:left="851" w:hanging="284"/>
      </w:pPr>
      <w:rPr>
        <w:rFonts w:ascii="Wingdings" w:hAnsi="Wingdings" w:hint="default"/>
        <w:color w:val="1E7FB8"/>
      </w:rPr>
    </w:lvl>
    <w:lvl w:ilvl="3">
      <w:start w:val="1"/>
      <w:numFmt w:val="bullet"/>
      <w:lvlText w:val=""/>
      <w:lvlJc w:val="left"/>
      <w:pPr>
        <w:ind w:left="3516" w:hanging="964"/>
      </w:pPr>
      <w:rPr>
        <w:rFonts w:ascii="Symbol" w:hAnsi="Symbol" w:cs="Symbol" w:hint="default"/>
        <w:color w:val="000000" w:themeColor="text1"/>
      </w:rPr>
    </w:lvl>
    <w:lvl w:ilvl="4">
      <w:start w:val="1"/>
      <w:numFmt w:val="bullet"/>
      <w:lvlText w:val=""/>
      <w:lvlJc w:val="left"/>
      <w:pPr>
        <w:ind w:left="4604" w:hanging="360"/>
      </w:pPr>
      <w:rPr>
        <w:rFonts w:ascii="Symbol" w:hAnsi="Symbol" w:cs="Symbol" w:hint="default"/>
        <w:color w:val="000000" w:themeColor="text1"/>
      </w:rPr>
    </w:lvl>
    <w:lvl w:ilvl="5">
      <w:start w:val="1"/>
      <w:numFmt w:val="bullet"/>
      <w:lvlText w:val=""/>
      <w:lvlJc w:val="left"/>
      <w:pPr>
        <w:ind w:left="5324" w:hanging="360"/>
      </w:pPr>
      <w:rPr>
        <w:rFonts w:ascii="Symbol" w:hAnsi="Symbol" w:cs="Times New Roman" w:hint="default"/>
        <w:color w:val="702474"/>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5" w15:restartNumberingAfterBreak="0">
    <w:nsid w:val="040147B3"/>
    <w:multiLevelType w:val="multilevel"/>
    <w:tmpl w:val="C6B23C7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50216E"/>
    <w:multiLevelType w:val="multilevel"/>
    <w:tmpl w:val="C6B23C7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373F2"/>
    <w:multiLevelType w:val="hybridMultilevel"/>
    <w:tmpl w:val="AA90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DB3266"/>
    <w:multiLevelType w:val="hybridMultilevel"/>
    <w:tmpl w:val="7B46AE40"/>
    <w:lvl w:ilvl="0" w:tplc="80E41F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E34A2D"/>
    <w:multiLevelType w:val="hybridMultilevel"/>
    <w:tmpl w:val="867EF6E6"/>
    <w:lvl w:ilvl="0" w:tplc="04090011">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15:restartNumberingAfterBreak="0">
    <w:nsid w:val="1775260F"/>
    <w:multiLevelType w:val="multilevel"/>
    <w:tmpl w:val="C6B23C7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6388C"/>
    <w:multiLevelType w:val="hybridMultilevel"/>
    <w:tmpl w:val="4A145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5B7363"/>
    <w:multiLevelType w:val="hybridMultilevel"/>
    <w:tmpl w:val="15A48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446F98"/>
    <w:multiLevelType w:val="multilevel"/>
    <w:tmpl w:val="A4D631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A45441"/>
    <w:multiLevelType w:val="hybridMultilevel"/>
    <w:tmpl w:val="22B25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51124"/>
    <w:multiLevelType w:val="multilevel"/>
    <w:tmpl w:val="6E74E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E03AA4"/>
    <w:multiLevelType w:val="multilevel"/>
    <w:tmpl w:val="A4D631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565503"/>
    <w:multiLevelType w:val="hybridMultilevel"/>
    <w:tmpl w:val="43B4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410E5C"/>
    <w:multiLevelType w:val="multilevel"/>
    <w:tmpl w:val="A4D631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0F85A54"/>
    <w:multiLevelType w:val="multilevel"/>
    <w:tmpl w:val="C6B23C7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511285"/>
    <w:multiLevelType w:val="multilevel"/>
    <w:tmpl w:val="A4D631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B47668"/>
    <w:multiLevelType w:val="multilevel"/>
    <w:tmpl w:val="AE64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D87983"/>
    <w:multiLevelType w:val="hybridMultilevel"/>
    <w:tmpl w:val="F6223A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180D5D"/>
    <w:multiLevelType w:val="hybridMultilevel"/>
    <w:tmpl w:val="B0FA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80CB1"/>
    <w:multiLevelType w:val="hybridMultilevel"/>
    <w:tmpl w:val="32D81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802442"/>
    <w:multiLevelType w:val="multilevel"/>
    <w:tmpl w:val="A4D631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A6D5D43"/>
    <w:multiLevelType w:val="multilevel"/>
    <w:tmpl w:val="2C04F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A81BC2"/>
    <w:multiLevelType w:val="hybridMultilevel"/>
    <w:tmpl w:val="0ABE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6F1C61"/>
    <w:multiLevelType w:val="hybridMultilevel"/>
    <w:tmpl w:val="C8FC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B162FA"/>
    <w:multiLevelType w:val="multilevel"/>
    <w:tmpl w:val="C6B23C7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8A592C"/>
    <w:multiLevelType w:val="multilevel"/>
    <w:tmpl w:val="DDF6A26E"/>
    <w:lvl w:ilvl="0">
      <w:start w:val="1"/>
      <w:numFmt w:val="bullet"/>
      <w:pStyle w:val="ListBullet"/>
      <w:lvlText w:val=""/>
      <w:lvlJc w:val="left"/>
      <w:pPr>
        <w:tabs>
          <w:tab w:val="num" w:pos="360"/>
        </w:tabs>
        <w:ind w:left="284" w:hanging="284"/>
      </w:pPr>
      <w:rPr>
        <w:rFonts w:ascii="Symbol" w:hAnsi="Symbol" w:cs="Times New Roman" w:hint="default"/>
      </w:rPr>
    </w:lvl>
    <w:lvl w:ilvl="1">
      <w:start w:val="1"/>
      <w:numFmt w:val="bullet"/>
      <w:lvlText w:val=""/>
      <w:lvlJc w:val="left"/>
      <w:pPr>
        <w:ind w:left="851" w:hanging="284"/>
      </w:pPr>
      <w:rPr>
        <w:rFonts w:ascii="Symbol" w:hAnsi="Symbol" w:cs="Times New Roman" w:hint="default"/>
      </w:rPr>
    </w:lvl>
    <w:lvl w:ilvl="2">
      <w:start w:val="1"/>
      <w:numFmt w:val="bullet"/>
      <w:lvlText w:val=""/>
      <w:lvlJc w:val="left"/>
      <w:pPr>
        <w:ind w:left="1418" w:hanging="284"/>
      </w:pPr>
      <w:rPr>
        <w:rFonts w:ascii="Symbol" w:hAnsi="Symbol"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C3275B"/>
    <w:multiLevelType w:val="multilevel"/>
    <w:tmpl w:val="2488E008"/>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0B0C6F"/>
    <w:multiLevelType w:val="multilevel"/>
    <w:tmpl w:val="67AC9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3B16A4"/>
    <w:multiLevelType w:val="hybridMultilevel"/>
    <w:tmpl w:val="9BB86A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C36E02"/>
    <w:multiLevelType w:val="hybridMultilevel"/>
    <w:tmpl w:val="44DAB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4"/>
  </w:num>
  <w:num w:numId="3">
    <w:abstractNumId w:val="0"/>
  </w:num>
  <w:num w:numId="4">
    <w:abstractNumId w:val="1"/>
  </w:num>
  <w:num w:numId="5">
    <w:abstractNumId w:val="20"/>
  </w:num>
  <w:num w:numId="6">
    <w:abstractNumId w:val="13"/>
  </w:num>
  <w:num w:numId="7">
    <w:abstractNumId w:val="25"/>
  </w:num>
  <w:num w:numId="8">
    <w:abstractNumId w:val="18"/>
  </w:num>
  <w:num w:numId="9">
    <w:abstractNumId w:val="16"/>
  </w:num>
  <w:num w:numId="10">
    <w:abstractNumId w:val="15"/>
  </w:num>
  <w:num w:numId="11">
    <w:abstractNumId w:val="32"/>
  </w:num>
  <w:num w:numId="12">
    <w:abstractNumId w:val="21"/>
  </w:num>
  <w:num w:numId="13">
    <w:abstractNumId w:val="26"/>
  </w:num>
  <w:num w:numId="14">
    <w:abstractNumId w:val="29"/>
  </w:num>
  <w:num w:numId="15">
    <w:abstractNumId w:val="27"/>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3"/>
  </w:num>
  <w:num w:numId="21">
    <w:abstractNumId w:val="34"/>
  </w:num>
  <w:num w:numId="22">
    <w:abstractNumId w:val="14"/>
  </w:num>
  <w:num w:numId="23">
    <w:abstractNumId w:val="12"/>
  </w:num>
  <w:num w:numId="24">
    <w:abstractNumId w:val="31"/>
  </w:num>
  <w:num w:numId="25">
    <w:abstractNumId w:val="10"/>
  </w:num>
  <w:num w:numId="26">
    <w:abstractNumId w:val="6"/>
  </w:num>
  <w:num w:numId="27">
    <w:abstractNumId w:val="19"/>
  </w:num>
  <w:num w:numId="28">
    <w:abstractNumId w:val="5"/>
  </w:num>
  <w:num w:numId="29">
    <w:abstractNumId w:val="28"/>
  </w:num>
  <w:num w:numId="30">
    <w:abstractNumId w:val="17"/>
  </w:num>
  <w:num w:numId="31">
    <w:abstractNumId w:val="11"/>
  </w:num>
  <w:num w:numId="32">
    <w:abstractNumId w:val="3"/>
  </w:num>
  <w:num w:numId="33">
    <w:abstractNumId w:val="24"/>
  </w:num>
  <w:num w:numId="34">
    <w:abstractNumId w:val="7"/>
  </w:num>
  <w:num w:numId="35">
    <w:abstractNumId w:val="2"/>
  </w:num>
  <w:num w:numId="36">
    <w:abstractNumId w:val="11"/>
  </w:num>
  <w:num w:numId="37">
    <w:abstractNumId w:val="17"/>
  </w:num>
  <w:num w:numId="38">
    <w:abstractNumId w:val="24"/>
  </w:num>
  <w:num w:numId="39">
    <w:abstractNumId w:val="7"/>
  </w:num>
  <w:num w:numId="4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WHORDTablestyle"/>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2NDM0MzIyMDCwNDdW0lEKTi0uzszPAykwrwUA72t3eSwAAAA="/>
  </w:docVars>
  <w:rsids>
    <w:rsidRoot w:val="005B6F17"/>
    <w:rsid w:val="00000CCA"/>
    <w:rsid w:val="000010EA"/>
    <w:rsid w:val="000016B5"/>
    <w:rsid w:val="00001B7F"/>
    <w:rsid w:val="00002C48"/>
    <w:rsid w:val="000034EA"/>
    <w:rsid w:val="0001091C"/>
    <w:rsid w:val="00010E55"/>
    <w:rsid w:val="0001410A"/>
    <w:rsid w:val="00015F94"/>
    <w:rsid w:val="00016AA3"/>
    <w:rsid w:val="0001777B"/>
    <w:rsid w:val="00020136"/>
    <w:rsid w:val="00020FC9"/>
    <w:rsid w:val="000224DB"/>
    <w:rsid w:val="00023886"/>
    <w:rsid w:val="00023B16"/>
    <w:rsid w:val="00023E26"/>
    <w:rsid w:val="000254B5"/>
    <w:rsid w:val="00027267"/>
    <w:rsid w:val="000309F1"/>
    <w:rsid w:val="0003224E"/>
    <w:rsid w:val="00032ACE"/>
    <w:rsid w:val="000341DC"/>
    <w:rsid w:val="00034282"/>
    <w:rsid w:val="000344DC"/>
    <w:rsid w:val="000352C2"/>
    <w:rsid w:val="000368F0"/>
    <w:rsid w:val="00036C08"/>
    <w:rsid w:val="000379C4"/>
    <w:rsid w:val="000404E0"/>
    <w:rsid w:val="00040540"/>
    <w:rsid w:val="00040987"/>
    <w:rsid w:val="00040A77"/>
    <w:rsid w:val="000413EE"/>
    <w:rsid w:val="00041D56"/>
    <w:rsid w:val="000435AE"/>
    <w:rsid w:val="000444E1"/>
    <w:rsid w:val="00044C9A"/>
    <w:rsid w:val="00046079"/>
    <w:rsid w:val="00046A8C"/>
    <w:rsid w:val="0004789B"/>
    <w:rsid w:val="00047C0A"/>
    <w:rsid w:val="00050102"/>
    <w:rsid w:val="00050F21"/>
    <w:rsid w:val="00050F93"/>
    <w:rsid w:val="000512BA"/>
    <w:rsid w:val="000512C7"/>
    <w:rsid w:val="00053136"/>
    <w:rsid w:val="00053662"/>
    <w:rsid w:val="00053DA1"/>
    <w:rsid w:val="0005468B"/>
    <w:rsid w:val="00055788"/>
    <w:rsid w:val="000577EF"/>
    <w:rsid w:val="00057D4A"/>
    <w:rsid w:val="00061168"/>
    <w:rsid w:val="00061713"/>
    <w:rsid w:val="00061DA1"/>
    <w:rsid w:val="00062394"/>
    <w:rsid w:val="00063CDE"/>
    <w:rsid w:val="00063D43"/>
    <w:rsid w:val="0006453E"/>
    <w:rsid w:val="00064843"/>
    <w:rsid w:val="000649E9"/>
    <w:rsid w:val="00065A79"/>
    <w:rsid w:val="0006746D"/>
    <w:rsid w:val="00067C53"/>
    <w:rsid w:val="0007016B"/>
    <w:rsid w:val="00070C99"/>
    <w:rsid w:val="00072BF6"/>
    <w:rsid w:val="0007460C"/>
    <w:rsid w:val="00075A51"/>
    <w:rsid w:val="000771B3"/>
    <w:rsid w:val="00077C21"/>
    <w:rsid w:val="000803A3"/>
    <w:rsid w:val="00081634"/>
    <w:rsid w:val="00083941"/>
    <w:rsid w:val="00083A28"/>
    <w:rsid w:val="00083C13"/>
    <w:rsid w:val="00083F7D"/>
    <w:rsid w:val="00085675"/>
    <w:rsid w:val="0008598C"/>
    <w:rsid w:val="00086F80"/>
    <w:rsid w:val="000871F9"/>
    <w:rsid w:val="00087F08"/>
    <w:rsid w:val="00090881"/>
    <w:rsid w:val="00090D48"/>
    <w:rsid w:val="00092E78"/>
    <w:rsid w:val="00093727"/>
    <w:rsid w:val="0009393C"/>
    <w:rsid w:val="0009418B"/>
    <w:rsid w:val="00094894"/>
    <w:rsid w:val="00094DEE"/>
    <w:rsid w:val="00094FCF"/>
    <w:rsid w:val="00095B0C"/>
    <w:rsid w:val="000A17CB"/>
    <w:rsid w:val="000A1B55"/>
    <w:rsid w:val="000A32F7"/>
    <w:rsid w:val="000A4C66"/>
    <w:rsid w:val="000A61D0"/>
    <w:rsid w:val="000A6D84"/>
    <w:rsid w:val="000A6EC1"/>
    <w:rsid w:val="000B1D80"/>
    <w:rsid w:val="000B258D"/>
    <w:rsid w:val="000B30C7"/>
    <w:rsid w:val="000B3227"/>
    <w:rsid w:val="000B3786"/>
    <w:rsid w:val="000B5890"/>
    <w:rsid w:val="000B5B67"/>
    <w:rsid w:val="000B738E"/>
    <w:rsid w:val="000B78CE"/>
    <w:rsid w:val="000C18BE"/>
    <w:rsid w:val="000C21DD"/>
    <w:rsid w:val="000C26D1"/>
    <w:rsid w:val="000C303A"/>
    <w:rsid w:val="000C3877"/>
    <w:rsid w:val="000C3FF6"/>
    <w:rsid w:val="000C5B3A"/>
    <w:rsid w:val="000C6DD1"/>
    <w:rsid w:val="000C6E39"/>
    <w:rsid w:val="000C7B17"/>
    <w:rsid w:val="000C7E94"/>
    <w:rsid w:val="000D0C54"/>
    <w:rsid w:val="000D1503"/>
    <w:rsid w:val="000D19A2"/>
    <w:rsid w:val="000D233C"/>
    <w:rsid w:val="000D485D"/>
    <w:rsid w:val="000D4B93"/>
    <w:rsid w:val="000D5992"/>
    <w:rsid w:val="000D6E2B"/>
    <w:rsid w:val="000D7AD1"/>
    <w:rsid w:val="000E0FDD"/>
    <w:rsid w:val="000E116D"/>
    <w:rsid w:val="000E13D5"/>
    <w:rsid w:val="000E1FBE"/>
    <w:rsid w:val="000E2DBA"/>
    <w:rsid w:val="000E7207"/>
    <w:rsid w:val="000E7735"/>
    <w:rsid w:val="000F000F"/>
    <w:rsid w:val="000F3CA0"/>
    <w:rsid w:val="000F5B8E"/>
    <w:rsid w:val="000F66AD"/>
    <w:rsid w:val="001004C5"/>
    <w:rsid w:val="00101D47"/>
    <w:rsid w:val="00101F6B"/>
    <w:rsid w:val="001020F1"/>
    <w:rsid w:val="001030B7"/>
    <w:rsid w:val="001030F1"/>
    <w:rsid w:val="00105C38"/>
    <w:rsid w:val="001075F1"/>
    <w:rsid w:val="00107FEF"/>
    <w:rsid w:val="00111707"/>
    <w:rsid w:val="00113615"/>
    <w:rsid w:val="00117C25"/>
    <w:rsid w:val="0012054F"/>
    <w:rsid w:val="00120B2D"/>
    <w:rsid w:val="00120CB2"/>
    <w:rsid w:val="00122964"/>
    <w:rsid w:val="00124107"/>
    <w:rsid w:val="001247D3"/>
    <w:rsid w:val="001261C2"/>
    <w:rsid w:val="001261E2"/>
    <w:rsid w:val="00130DBE"/>
    <w:rsid w:val="00131E06"/>
    <w:rsid w:val="001348B8"/>
    <w:rsid w:val="00135BBD"/>
    <w:rsid w:val="00137FB3"/>
    <w:rsid w:val="00141A4D"/>
    <w:rsid w:val="00141EBF"/>
    <w:rsid w:val="00145BB0"/>
    <w:rsid w:val="00147699"/>
    <w:rsid w:val="001479A6"/>
    <w:rsid w:val="00153D92"/>
    <w:rsid w:val="00157460"/>
    <w:rsid w:val="001612B6"/>
    <w:rsid w:val="001622F3"/>
    <w:rsid w:val="00163940"/>
    <w:rsid w:val="00163E92"/>
    <w:rsid w:val="00164DCE"/>
    <w:rsid w:val="001660F8"/>
    <w:rsid w:val="00166A19"/>
    <w:rsid w:val="00170048"/>
    <w:rsid w:val="00170C26"/>
    <w:rsid w:val="001733BC"/>
    <w:rsid w:val="001762E0"/>
    <w:rsid w:val="00176F96"/>
    <w:rsid w:val="00180776"/>
    <w:rsid w:val="00180C8E"/>
    <w:rsid w:val="0018125A"/>
    <w:rsid w:val="00181382"/>
    <w:rsid w:val="001818F5"/>
    <w:rsid w:val="00182789"/>
    <w:rsid w:val="001840E6"/>
    <w:rsid w:val="00184170"/>
    <w:rsid w:val="00184890"/>
    <w:rsid w:val="00185770"/>
    <w:rsid w:val="00185B54"/>
    <w:rsid w:val="0019077F"/>
    <w:rsid w:val="001915E5"/>
    <w:rsid w:val="00191E8D"/>
    <w:rsid w:val="00192B75"/>
    <w:rsid w:val="0019315B"/>
    <w:rsid w:val="0019328F"/>
    <w:rsid w:val="0019391E"/>
    <w:rsid w:val="00194128"/>
    <w:rsid w:val="001941A6"/>
    <w:rsid w:val="00194608"/>
    <w:rsid w:val="00195939"/>
    <w:rsid w:val="0019728A"/>
    <w:rsid w:val="001975F2"/>
    <w:rsid w:val="00197DCA"/>
    <w:rsid w:val="001A041D"/>
    <w:rsid w:val="001A05D0"/>
    <w:rsid w:val="001A2785"/>
    <w:rsid w:val="001A35F3"/>
    <w:rsid w:val="001A48B1"/>
    <w:rsid w:val="001A5D5E"/>
    <w:rsid w:val="001B3905"/>
    <w:rsid w:val="001B3BB3"/>
    <w:rsid w:val="001B4B30"/>
    <w:rsid w:val="001B5101"/>
    <w:rsid w:val="001B5322"/>
    <w:rsid w:val="001B5B97"/>
    <w:rsid w:val="001B6185"/>
    <w:rsid w:val="001C0B64"/>
    <w:rsid w:val="001C3DD6"/>
    <w:rsid w:val="001C466A"/>
    <w:rsid w:val="001C50B0"/>
    <w:rsid w:val="001C5BF4"/>
    <w:rsid w:val="001C686E"/>
    <w:rsid w:val="001C6AA0"/>
    <w:rsid w:val="001C7998"/>
    <w:rsid w:val="001D1E54"/>
    <w:rsid w:val="001D2B57"/>
    <w:rsid w:val="001D6AED"/>
    <w:rsid w:val="001E04DD"/>
    <w:rsid w:val="001E1882"/>
    <w:rsid w:val="001E2297"/>
    <w:rsid w:val="001E38BD"/>
    <w:rsid w:val="001E531A"/>
    <w:rsid w:val="001E70F5"/>
    <w:rsid w:val="001E760F"/>
    <w:rsid w:val="001E768C"/>
    <w:rsid w:val="001F0D3B"/>
    <w:rsid w:val="001F1061"/>
    <w:rsid w:val="001F33AE"/>
    <w:rsid w:val="001F3916"/>
    <w:rsid w:val="001F3960"/>
    <w:rsid w:val="001F5E65"/>
    <w:rsid w:val="001F77D8"/>
    <w:rsid w:val="00200DA1"/>
    <w:rsid w:val="00202503"/>
    <w:rsid w:val="00202752"/>
    <w:rsid w:val="00202DF6"/>
    <w:rsid w:val="0020384A"/>
    <w:rsid w:val="0020399A"/>
    <w:rsid w:val="00204E3D"/>
    <w:rsid w:val="002054F9"/>
    <w:rsid w:val="00205B5A"/>
    <w:rsid w:val="00207137"/>
    <w:rsid w:val="00207C88"/>
    <w:rsid w:val="002100A0"/>
    <w:rsid w:val="0021241C"/>
    <w:rsid w:val="00213576"/>
    <w:rsid w:val="00213D02"/>
    <w:rsid w:val="00214D53"/>
    <w:rsid w:val="00220734"/>
    <w:rsid w:val="00223ECD"/>
    <w:rsid w:val="00224075"/>
    <w:rsid w:val="0022463F"/>
    <w:rsid w:val="002251A4"/>
    <w:rsid w:val="002254D5"/>
    <w:rsid w:val="00225E41"/>
    <w:rsid w:val="00226EF0"/>
    <w:rsid w:val="00227635"/>
    <w:rsid w:val="00227928"/>
    <w:rsid w:val="00232166"/>
    <w:rsid w:val="002332B0"/>
    <w:rsid w:val="00235265"/>
    <w:rsid w:val="00236C56"/>
    <w:rsid w:val="00237128"/>
    <w:rsid w:val="002373B6"/>
    <w:rsid w:val="002378A5"/>
    <w:rsid w:val="002378F4"/>
    <w:rsid w:val="00242D90"/>
    <w:rsid w:val="002436E1"/>
    <w:rsid w:val="00244BAD"/>
    <w:rsid w:val="00244C73"/>
    <w:rsid w:val="00245450"/>
    <w:rsid w:val="00245BA7"/>
    <w:rsid w:val="00245F9F"/>
    <w:rsid w:val="00247215"/>
    <w:rsid w:val="002529DE"/>
    <w:rsid w:val="002537B1"/>
    <w:rsid w:val="00254A7D"/>
    <w:rsid w:val="00256D1A"/>
    <w:rsid w:val="00257552"/>
    <w:rsid w:val="00257A6D"/>
    <w:rsid w:val="002614BD"/>
    <w:rsid w:val="002624AD"/>
    <w:rsid w:val="00264AE9"/>
    <w:rsid w:val="0026587F"/>
    <w:rsid w:val="002660DC"/>
    <w:rsid w:val="002663C4"/>
    <w:rsid w:val="002703C0"/>
    <w:rsid w:val="00271C81"/>
    <w:rsid w:val="00272423"/>
    <w:rsid w:val="00272F33"/>
    <w:rsid w:val="0027395E"/>
    <w:rsid w:val="002739C9"/>
    <w:rsid w:val="002743E9"/>
    <w:rsid w:val="0027465B"/>
    <w:rsid w:val="00277CF1"/>
    <w:rsid w:val="00277E75"/>
    <w:rsid w:val="00280A19"/>
    <w:rsid w:val="00283A44"/>
    <w:rsid w:val="00286750"/>
    <w:rsid w:val="002876B0"/>
    <w:rsid w:val="00291A0E"/>
    <w:rsid w:val="00291E89"/>
    <w:rsid w:val="00291F69"/>
    <w:rsid w:val="002920E4"/>
    <w:rsid w:val="00292C4D"/>
    <w:rsid w:val="00297BE0"/>
    <w:rsid w:val="00297DF3"/>
    <w:rsid w:val="002A0E44"/>
    <w:rsid w:val="002A100E"/>
    <w:rsid w:val="002A2A50"/>
    <w:rsid w:val="002A49B5"/>
    <w:rsid w:val="002A5381"/>
    <w:rsid w:val="002A5D5F"/>
    <w:rsid w:val="002A673D"/>
    <w:rsid w:val="002A682C"/>
    <w:rsid w:val="002A6849"/>
    <w:rsid w:val="002A691F"/>
    <w:rsid w:val="002A6D5C"/>
    <w:rsid w:val="002B1ADF"/>
    <w:rsid w:val="002B2C29"/>
    <w:rsid w:val="002B2ED6"/>
    <w:rsid w:val="002B305E"/>
    <w:rsid w:val="002B3435"/>
    <w:rsid w:val="002B3644"/>
    <w:rsid w:val="002B5873"/>
    <w:rsid w:val="002B5A8F"/>
    <w:rsid w:val="002B610C"/>
    <w:rsid w:val="002C0C87"/>
    <w:rsid w:val="002C1299"/>
    <w:rsid w:val="002C21C9"/>
    <w:rsid w:val="002C22AD"/>
    <w:rsid w:val="002C2768"/>
    <w:rsid w:val="002C2F5D"/>
    <w:rsid w:val="002C49D8"/>
    <w:rsid w:val="002C5C4B"/>
    <w:rsid w:val="002C5DA3"/>
    <w:rsid w:val="002C7968"/>
    <w:rsid w:val="002D11B2"/>
    <w:rsid w:val="002D15B2"/>
    <w:rsid w:val="002D1690"/>
    <w:rsid w:val="002D1FB3"/>
    <w:rsid w:val="002D2256"/>
    <w:rsid w:val="002D32FA"/>
    <w:rsid w:val="002D390B"/>
    <w:rsid w:val="002D3A43"/>
    <w:rsid w:val="002D558A"/>
    <w:rsid w:val="002D662C"/>
    <w:rsid w:val="002D7239"/>
    <w:rsid w:val="002D7305"/>
    <w:rsid w:val="002D7D50"/>
    <w:rsid w:val="002E00BD"/>
    <w:rsid w:val="002E041E"/>
    <w:rsid w:val="002E0906"/>
    <w:rsid w:val="002E144A"/>
    <w:rsid w:val="002E1A57"/>
    <w:rsid w:val="002E1C72"/>
    <w:rsid w:val="002E4192"/>
    <w:rsid w:val="002E4B12"/>
    <w:rsid w:val="002E5F66"/>
    <w:rsid w:val="002E751D"/>
    <w:rsid w:val="002E7EBC"/>
    <w:rsid w:val="002F0038"/>
    <w:rsid w:val="002F043F"/>
    <w:rsid w:val="002F14B2"/>
    <w:rsid w:val="002F1534"/>
    <w:rsid w:val="002F2BF7"/>
    <w:rsid w:val="002F4410"/>
    <w:rsid w:val="002F5907"/>
    <w:rsid w:val="002F5EBC"/>
    <w:rsid w:val="002F6BC6"/>
    <w:rsid w:val="0030260F"/>
    <w:rsid w:val="00304817"/>
    <w:rsid w:val="00305EAC"/>
    <w:rsid w:val="003060C5"/>
    <w:rsid w:val="0030662F"/>
    <w:rsid w:val="003071DC"/>
    <w:rsid w:val="00307847"/>
    <w:rsid w:val="00307B60"/>
    <w:rsid w:val="003102DE"/>
    <w:rsid w:val="00310650"/>
    <w:rsid w:val="003118DB"/>
    <w:rsid w:val="00312586"/>
    <w:rsid w:val="00312785"/>
    <w:rsid w:val="00312CE1"/>
    <w:rsid w:val="00314C18"/>
    <w:rsid w:val="00314E13"/>
    <w:rsid w:val="003152A3"/>
    <w:rsid w:val="003157BD"/>
    <w:rsid w:val="00317317"/>
    <w:rsid w:val="00317DC0"/>
    <w:rsid w:val="0032013A"/>
    <w:rsid w:val="00324145"/>
    <w:rsid w:val="00324CE5"/>
    <w:rsid w:val="00327CAC"/>
    <w:rsid w:val="00331CE1"/>
    <w:rsid w:val="00332D61"/>
    <w:rsid w:val="0033393B"/>
    <w:rsid w:val="00334EDA"/>
    <w:rsid w:val="00336977"/>
    <w:rsid w:val="00336E5B"/>
    <w:rsid w:val="003378A9"/>
    <w:rsid w:val="00340A6A"/>
    <w:rsid w:val="00340AC5"/>
    <w:rsid w:val="00340E6D"/>
    <w:rsid w:val="003436C7"/>
    <w:rsid w:val="00344A10"/>
    <w:rsid w:val="00347AEF"/>
    <w:rsid w:val="00353BE4"/>
    <w:rsid w:val="00354E66"/>
    <w:rsid w:val="00356451"/>
    <w:rsid w:val="003573C5"/>
    <w:rsid w:val="00357896"/>
    <w:rsid w:val="0036177C"/>
    <w:rsid w:val="00362328"/>
    <w:rsid w:val="00362799"/>
    <w:rsid w:val="003638EB"/>
    <w:rsid w:val="00364C85"/>
    <w:rsid w:val="0036534A"/>
    <w:rsid w:val="00370732"/>
    <w:rsid w:val="00370ECA"/>
    <w:rsid w:val="003730D1"/>
    <w:rsid w:val="003732E6"/>
    <w:rsid w:val="003748F0"/>
    <w:rsid w:val="00375F08"/>
    <w:rsid w:val="0038162A"/>
    <w:rsid w:val="00382C1A"/>
    <w:rsid w:val="003835E1"/>
    <w:rsid w:val="00384362"/>
    <w:rsid w:val="003856CF"/>
    <w:rsid w:val="00386A2E"/>
    <w:rsid w:val="003873FD"/>
    <w:rsid w:val="003902F3"/>
    <w:rsid w:val="003918DD"/>
    <w:rsid w:val="003919A5"/>
    <w:rsid w:val="00391C7F"/>
    <w:rsid w:val="00393E18"/>
    <w:rsid w:val="0039406A"/>
    <w:rsid w:val="00394400"/>
    <w:rsid w:val="003950C3"/>
    <w:rsid w:val="00395D5C"/>
    <w:rsid w:val="00396D35"/>
    <w:rsid w:val="003A0186"/>
    <w:rsid w:val="003A047D"/>
    <w:rsid w:val="003A1904"/>
    <w:rsid w:val="003A60C7"/>
    <w:rsid w:val="003A7192"/>
    <w:rsid w:val="003A726C"/>
    <w:rsid w:val="003A79F0"/>
    <w:rsid w:val="003A7BDC"/>
    <w:rsid w:val="003B0458"/>
    <w:rsid w:val="003B06E3"/>
    <w:rsid w:val="003B0708"/>
    <w:rsid w:val="003B0986"/>
    <w:rsid w:val="003B1A4F"/>
    <w:rsid w:val="003B24DE"/>
    <w:rsid w:val="003B3F2E"/>
    <w:rsid w:val="003B4129"/>
    <w:rsid w:val="003B54BB"/>
    <w:rsid w:val="003B57AA"/>
    <w:rsid w:val="003B75CD"/>
    <w:rsid w:val="003C0C74"/>
    <w:rsid w:val="003C0DA7"/>
    <w:rsid w:val="003C3D47"/>
    <w:rsid w:val="003C43EA"/>
    <w:rsid w:val="003C4F5F"/>
    <w:rsid w:val="003C5C58"/>
    <w:rsid w:val="003C7DBA"/>
    <w:rsid w:val="003D088D"/>
    <w:rsid w:val="003D1C51"/>
    <w:rsid w:val="003D1CA2"/>
    <w:rsid w:val="003D2BC4"/>
    <w:rsid w:val="003D2F18"/>
    <w:rsid w:val="003D45F1"/>
    <w:rsid w:val="003D5637"/>
    <w:rsid w:val="003D6E8F"/>
    <w:rsid w:val="003D7015"/>
    <w:rsid w:val="003D7775"/>
    <w:rsid w:val="003E24FA"/>
    <w:rsid w:val="003E5E28"/>
    <w:rsid w:val="003E5FB5"/>
    <w:rsid w:val="003E68E2"/>
    <w:rsid w:val="003E6E69"/>
    <w:rsid w:val="003E7F1D"/>
    <w:rsid w:val="003F0091"/>
    <w:rsid w:val="003F0AEC"/>
    <w:rsid w:val="003F1044"/>
    <w:rsid w:val="003F1BFD"/>
    <w:rsid w:val="003F1C70"/>
    <w:rsid w:val="003F5D96"/>
    <w:rsid w:val="003F7228"/>
    <w:rsid w:val="004005C2"/>
    <w:rsid w:val="004010E1"/>
    <w:rsid w:val="0040136D"/>
    <w:rsid w:val="00401A9F"/>
    <w:rsid w:val="00404F55"/>
    <w:rsid w:val="004053F8"/>
    <w:rsid w:val="00406B5A"/>
    <w:rsid w:val="00406B5C"/>
    <w:rsid w:val="00407A93"/>
    <w:rsid w:val="00410684"/>
    <w:rsid w:val="0041170E"/>
    <w:rsid w:val="0041268C"/>
    <w:rsid w:val="00414978"/>
    <w:rsid w:val="00415556"/>
    <w:rsid w:val="004155E8"/>
    <w:rsid w:val="004157E2"/>
    <w:rsid w:val="0041664B"/>
    <w:rsid w:val="0041669C"/>
    <w:rsid w:val="00416ECF"/>
    <w:rsid w:val="00420238"/>
    <w:rsid w:val="0042083E"/>
    <w:rsid w:val="00421EB2"/>
    <w:rsid w:val="004224D8"/>
    <w:rsid w:val="004251EB"/>
    <w:rsid w:val="00426096"/>
    <w:rsid w:val="004265C0"/>
    <w:rsid w:val="004267E1"/>
    <w:rsid w:val="00431A8A"/>
    <w:rsid w:val="0043342A"/>
    <w:rsid w:val="00433B6C"/>
    <w:rsid w:val="004363E2"/>
    <w:rsid w:val="00436A96"/>
    <w:rsid w:val="00437D65"/>
    <w:rsid w:val="0044288F"/>
    <w:rsid w:val="00444D02"/>
    <w:rsid w:val="0044598A"/>
    <w:rsid w:val="00446F36"/>
    <w:rsid w:val="0045050B"/>
    <w:rsid w:val="0045197E"/>
    <w:rsid w:val="00456E76"/>
    <w:rsid w:val="0045714E"/>
    <w:rsid w:val="00457A17"/>
    <w:rsid w:val="004602CB"/>
    <w:rsid w:val="00461C61"/>
    <w:rsid w:val="0046213B"/>
    <w:rsid w:val="00463E7D"/>
    <w:rsid w:val="004644A1"/>
    <w:rsid w:val="004644A6"/>
    <w:rsid w:val="00466283"/>
    <w:rsid w:val="004665F1"/>
    <w:rsid w:val="004668D0"/>
    <w:rsid w:val="00466FC0"/>
    <w:rsid w:val="00467064"/>
    <w:rsid w:val="004678DA"/>
    <w:rsid w:val="004679C0"/>
    <w:rsid w:val="00470224"/>
    <w:rsid w:val="00471301"/>
    <w:rsid w:val="004717B1"/>
    <w:rsid w:val="00471B67"/>
    <w:rsid w:val="004723D0"/>
    <w:rsid w:val="0047267F"/>
    <w:rsid w:val="0047290A"/>
    <w:rsid w:val="00473C54"/>
    <w:rsid w:val="00473F54"/>
    <w:rsid w:val="004749D6"/>
    <w:rsid w:val="00475B29"/>
    <w:rsid w:val="004767A7"/>
    <w:rsid w:val="00476B80"/>
    <w:rsid w:val="00477012"/>
    <w:rsid w:val="00477DA1"/>
    <w:rsid w:val="0048034F"/>
    <w:rsid w:val="0048117C"/>
    <w:rsid w:val="0048135F"/>
    <w:rsid w:val="00481CF0"/>
    <w:rsid w:val="004828D4"/>
    <w:rsid w:val="00482FF6"/>
    <w:rsid w:val="0048362A"/>
    <w:rsid w:val="00483C49"/>
    <w:rsid w:val="0048401D"/>
    <w:rsid w:val="00484A42"/>
    <w:rsid w:val="00484F07"/>
    <w:rsid w:val="0048578E"/>
    <w:rsid w:val="00486BFB"/>
    <w:rsid w:val="0048717F"/>
    <w:rsid w:val="00491E50"/>
    <w:rsid w:val="00492592"/>
    <w:rsid w:val="00494A76"/>
    <w:rsid w:val="00494C09"/>
    <w:rsid w:val="004A0F95"/>
    <w:rsid w:val="004A1B92"/>
    <w:rsid w:val="004A3553"/>
    <w:rsid w:val="004A3755"/>
    <w:rsid w:val="004A5C14"/>
    <w:rsid w:val="004A5C86"/>
    <w:rsid w:val="004A60E0"/>
    <w:rsid w:val="004A7F2D"/>
    <w:rsid w:val="004B0328"/>
    <w:rsid w:val="004B12C4"/>
    <w:rsid w:val="004B1D12"/>
    <w:rsid w:val="004B2616"/>
    <w:rsid w:val="004B2946"/>
    <w:rsid w:val="004B39A0"/>
    <w:rsid w:val="004B4F0C"/>
    <w:rsid w:val="004B73AD"/>
    <w:rsid w:val="004C057A"/>
    <w:rsid w:val="004C09D8"/>
    <w:rsid w:val="004C21B6"/>
    <w:rsid w:val="004C2AD6"/>
    <w:rsid w:val="004C471E"/>
    <w:rsid w:val="004C510E"/>
    <w:rsid w:val="004C5548"/>
    <w:rsid w:val="004C61BC"/>
    <w:rsid w:val="004D068A"/>
    <w:rsid w:val="004D2440"/>
    <w:rsid w:val="004D341F"/>
    <w:rsid w:val="004D4690"/>
    <w:rsid w:val="004D59BB"/>
    <w:rsid w:val="004D65D2"/>
    <w:rsid w:val="004D6DEF"/>
    <w:rsid w:val="004D708D"/>
    <w:rsid w:val="004D7B01"/>
    <w:rsid w:val="004E094C"/>
    <w:rsid w:val="004E1170"/>
    <w:rsid w:val="004E1327"/>
    <w:rsid w:val="004E1463"/>
    <w:rsid w:val="004E1618"/>
    <w:rsid w:val="004E3691"/>
    <w:rsid w:val="004E402A"/>
    <w:rsid w:val="004E5818"/>
    <w:rsid w:val="004E695B"/>
    <w:rsid w:val="004E74FA"/>
    <w:rsid w:val="004F1DC8"/>
    <w:rsid w:val="004F4243"/>
    <w:rsid w:val="004F50C1"/>
    <w:rsid w:val="00500F1D"/>
    <w:rsid w:val="00502CA0"/>
    <w:rsid w:val="00502F04"/>
    <w:rsid w:val="00506077"/>
    <w:rsid w:val="005061CB"/>
    <w:rsid w:val="005068B2"/>
    <w:rsid w:val="005111F5"/>
    <w:rsid w:val="00513776"/>
    <w:rsid w:val="00516405"/>
    <w:rsid w:val="005164C5"/>
    <w:rsid w:val="00516632"/>
    <w:rsid w:val="00517E7E"/>
    <w:rsid w:val="00520384"/>
    <w:rsid w:val="00521BE8"/>
    <w:rsid w:val="0052212C"/>
    <w:rsid w:val="0052266D"/>
    <w:rsid w:val="005242AF"/>
    <w:rsid w:val="0052577C"/>
    <w:rsid w:val="00527102"/>
    <w:rsid w:val="00527A20"/>
    <w:rsid w:val="0053047E"/>
    <w:rsid w:val="00530D2B"/>
    <w:rsid w:val="00532557"/>
    <w:rsid w:val="00535349"/>
    <w:rsid w:val="005354F6"/>
    <w:rsid w:val="00536433"/>
    <w:rsid w:val="00536D6F"/>
    <w:rsid w:val="00540463"/>
    <w:rsid w:val="00541C8E"/>
    <w:rsid w:val="005429D5"/>
    <w:rsid w:val="005437F2"/>
    <w:rsid w:val="00544263"/>
    <w:rsid w:val="00545814"/>
    <w:rsid w:val="005475AA"/>
    <w:rsid w:val="005479F1"/>
    <w:rsid w:val="00547CF3"/>
    <w:rsid w:val="005514E0"/>
    <w:rsid w:val="005520B1"/>
    <w:rsid w:val="0055265A"/>
    <w:rsid w:val="00554520"/>
    <w:rsid w:val="005545CC"/>
    <w:rsid w:val="005547A4"/>
    <w:rsid w:val="005555AB"/>
    <w:rsid w:val="0055632F"/>
    <w:rsid w:val="00556627"/>
    <w:rsid w:val="0055767A"/>
    <w:rsid w:val="00561EA1"/>
    <w:rsid w:val="0056203E"/>
    <w:rsid w:val="00563571"/>
    <w:rsid w:val="00563865"/>
    <w:rsid w:val="005648C4"/>
    <w:rsid w:val="00564FE1"/>
    <w:rsid w:val="0056613C"/>
    <w:rsid w:val="005665F6"/>
    <w:rsid w:val="00566916"/>
    <w:rsid w:val="00567B6A"/>
    <w:rsid w:val="00570EFC"/>
    <w:rsid w:val="00571B15"/>
    <w:rsid w:val="0057228E"/>
    <w:rsid w:val="00573A35"/>
    <w:rsid w:val="00573FA2"/>
    <w:rsid w:val="00576193"/>
    <w:rsid w:val="005772BB"/>
    <w:rsid w:val="0058182E"/>
    <w:rsid w:val="0058316A"/>
    <w:rsid w:val="00586D0F"/>
    <w:rsid w:val="00590651"/>
    <w:rsid w:val="005907E0"/>
    <w:rsid w:val="005909EF"/>
    <w:rsid w:val="00590BEB"/>
    <w:rsid w:val="00590C8D"/>
    <w:rsid w:val="00590FB3"/>
    <w:rsid w:val="005916B8"/>
    <w:rsid w:val="005917CE"/>
    <w:rsid w:val="00592090"/>
    <w:rsid w:val="0059467A"/>
    <w:rsid w:val="00595001"/>
    <w:rsid w:val="005952B6"/>
    <w:rsid w:val="0059570B"/>
    <w:rsid w:val="00596C81"/>
    <w:rsid w:val="00596F87"/>
    <w:rsid w:val="005975EA"/>
    <w:rsid w:val="005977BC"/>
    <w:rsid w:val="005A1258"/>
    <w:rsid w:val="005A1727"/>
    <w:rsid w:val="005A1CE1"/>
    <w:rsid w:val="005A4315"/>
    <w:rsid w:val="005A4C05"/>
    <w:rsid w:val="005A65A4"/>
    <w:rsid w:val="005A6795"/>
    <w:rsid w:val="005A6BE8"/>
    <w:rsid w:val="005B1278"/>
    <w:rsid w:val="005B1768"/>
    <w:rsid w:val="005B2DC4"/>
    <w:rsid w:val="005B2DD7"/>
    <w:rsid w:val="005B4D5A"/>
    <w:rsid w:val="005B6F17"/>
    <w:rsid w:val="005C085D"/>
    <w:rsid w:val="005C0FC7"/>
    <w:rsid w:val="005C180A"/>
    <w:rsid w:val="005C3C6B"/>
    <w:rsid w:val="005C3C6E"/>
    <w:rsid w:val="005C4786"/>
    <w:rsid w:val="005C48CA"/>
    <w:rsid w:val="005C48F9"/>
    <w:rsid w:val="005C7205"/>
    <w:rsid w:val="005C7556"/>
    <w:rsid w:val="005C79B3"/>
    <w:rsid w:val="005C7DAA"/>
    <w:rsid w:val="005D04A1"/>
    <w:rsid w:val="005D1782"/>
    <w:rsid w:val="005D1D38"/>
    <w:rsid w:val="005D2093"/>
    <w:rsid w:val="005D3504"/>
    <w:rsid w:val="005D3523"/>
    <w:rsid w:val="005D430C"/>
    <w:rsid w:val="005D59C8"/>
    <w:rsid w:val="005D7041"/>
    <w:rsid w:val="005E0570"/>
    <w:rsid w:val="005E1142"/>
    <w:rsid w:val="005E2514"/>
    <w:rsid w:val="005E2686"/>
    <w:rsid w:val="005E3A90"/>
    <w:rsid w:val="005E3C5D"/>
    <w:rsid w:val="005E4A66"/>
    <w:rsid w:val="005E66FF"/>
    <w:rsid w:val="005E6FFC"/>
    <w:rsid w:val="005E7DAF"/>
    <w:rsid w:val="005F0720"/>
    <w:rsid w:val="005F221D"/>
    <w:rsid w:val="005F28C5"/>
    <w:rsid w:val="005F3934"/>
    <w:rsid w:val="005F47A6"/>
    <w:rsid w:val="005F4F2E"/>
    <w:rsid w:val="005F5068"/>
    <w:rsid w:val="005F5DB3"/>
    <w:rsid w:val="005F67C3"/>
    <w:rsid w:val="005F6A52"/>
    <w:rsid w:val="005F7054"/>
    <w:rsid w:val="005F7BF5"/>
    <w:rsid w:val="00600446"/>
    <w:rsid w:val="00600A39"/>
    <w:rsid w:val="00600ACC"/>
    <w:rsid w:val="00603493"/>
    <w:rsid w:val="00604648"/>
    <w:rsid w:val="006065CA"/>
    <w:rsid w:val="00606ECF"/>
    <w:rsid w:val="00606FFA"/>
    <w:rsid w:val="00607974"/>
    <w:rsid w:val="006103F6"/>
    <w:rsid w:val="00611363"/>
    <w:rsid w:val="00612C48"/>
    <w:rsid w:val="006130B8"/>
    <w:rsid w:val="006131CF"/>
    <w:rsid w:val="00614339"/>
    <w:rsid w:val="00615110"/>
    <w:rsid w:val="00615C80"/>
    <w:rsid w:val="0061723B"/>
    <w:rsid w:val="00620F40"/>
    <w:rsid w:val="0062197F"/>
    <w:rsid w:val="00621B78"/>
    <w:rsid w:val="006222B4"/>
    <w:rsid w:val="00622727"/>
    <w:rsid w:val="00622933"/>
    <w:rsid w:val="00622C93"/>
    <w:rsid w:val="00623114"/>
    <w:rsid w:val="00623A15"/>
    <w:rsid w:val="0062418C"/>
    <w:rsid w:val="006317AC"/>
    <w:rsid w:val="006349A8"/>
    <w:rsid w:val="00634A4D"/>
    <w:rsid w:val="006353E8"/>
    <w:rsid w:val="0064129B"/>
    <w:rsid w:val="00641676"/>
    <w:rsid w:val="0064188E"/>
    <w:rsid w:val="00643F79"/>
    <w:rsid w:val="00644C5B"/>
    <w:rsid w:val="0064606B"/>
    <w:rsid w:val="00646609"/>
    <w:rsid w:val="00646BFF"/>
    <w:rsid w:val="00646D58"/>
    <w:rsid w:val="006527A8"/>
    <w:rsid w:val="0065307A"/>
    <w:rsid w:val="006535DC"/>
    <w:rsid w:val="006546F6"/>
    <w:rsid w:val="00654B27"/>
    <w:rsid w:val="00655C19"/>
    <w:rsid w:val="00656AC0"/>
    <w:rsid w:val="0065798D"/>
    <w:rsid w:val="00660D13"/>
    <w:rsid w:val="00661034"/>
    <w:rsid w:val="006610DC"/>
    <w:rsid w:val="00661C59"/>
    <w:rsid w:val="0066318F"/>
    <w:rsid w:val="00665A54"/>
    <w:rsid w:val="00670A7F"/>
    <w:rsid w:val="00671658"/>
    <w:rsid w:val="006726F5"/>
    <w:rsid w:val="00673849"/>
    <w:rsid w:val="00673929"/>
    <w:rsid w:val="0067425E"/>
    <w:rsid w:val="006743A8"/>
    <w:rsid w:val="006772B3"/>
    <w:rsid w:val="00677359"/>
    <w:rsid w:val="0068057D"/>
    <w:rsid w:val="00680ADA"/>
    <w:rsid w:val="00680C87"/>
    <w:rsid w:val="00680C92"/>
    <w:rsid w:val="00681889"/>
    <w:rsid w:val="00684389"/>
    <w:rsid w:val="00685D45"/>
    <w:rsid w:val="00686AE3"/>
    <w:rsid w:val="00687807"/>
    <w:rsid w:val="00687B94"/>
    <w:rsid w:val="00690353"/>
    <w:rsid w:val="00690DA2"/>
    <w:rsid w:val="006913E1"/>
    <w:rsid w:val="00693E4B"/>
    <w:rsid w:val="006944DC"/>
    <w:rsid w:val="00694A34"/>
    <w:rsid w:val="00695AD4"/>
    <w:rsid w:val="006963D5"/>
    <w:rsid w:val="0069645D"/>
    <w:rsid w:val="00696B86"/>
    <w:rsid w:val="00696CCC"/>
    <w:rsid w:val="00697630"/>
    <w:rsid w:val="00697C89"/>
    <w:rsid w:val="00697FBA"/>
    <w:rsid w:val="006A0C06"/>
    <w:rsid w:val="006A0C14"/>
    <w:rsid w:val="006A21FB"/>
    <w:rsid w:val="006A28A4"/>
    <w:rsid w:val="006A2C21"/>
    <w:rsid w:val="006A3A63"/>
    <w:rsid w:val="006B3DFC"/>
    <w:rsid w:val="006B3FDE"/>
    <w:rsid w:val="006B4725"/>
    <w:rsid w:val="006B5C0E"/>
    <w:rsid w:val="006C1D1D"/>
    <w:rsid w:val="006C1D42"/>
    <w:rsid w:val="006C4953"/>
    <w:rsid w:val="006C49C4"/>
    <w:rsid w:val="006C4E3B"/>
    <w:rsid w:val="006C5034"/>
    <w:rsid w:val="006C59D6"/>
    <w:rsid w:val="006C5C33"/>
    <w:rsid w:val="006D0400"/>
    <w:rsid w:val="006D0F60"/>
    <w:rsid w:val="006D3822"/>
    <w:rsid w:val="006D4B39"/>
    <w:rsid w:val="006D560D"/>
    <w:rsid w:val="006D5FB5"/>
    <w:rsid w:val="006D66C0"/>
    <w:rsid w:val="006D6DE9"/>
    <w:rsid w:val="006D7F8A"/>
    <w:rsid w:val="006E2DF0"/>
    <w:rsid w:val="006E33B3"/>
    <w:rsid w:val="006E525C"/>
    <w:rsid w:val="006F00D9"/>
    <w:rsid w:val="006F00F4"/>
    <w:rsid w:val="006F08A5"/>
    <w:rsid w:val="006F13E9"/>
    <w:rsid w:val="006F1C6A"/>
    <w:rsid w:val="006F1EB1"/>
    <w:rsid w:val="006F3FA9"/>
    <w:rsid w:val="00700185"/>
    <w:rsid w:val="0070067F"/>
    <w:rsid w:val="0070342C"/>
    <w:rsid w:val="00703ED9"/>
    <w:rsid w:val="0070484B"/>
    <w:rsid w:val="00705547"/>
    <w:rsid w:val="007069C8"/>
    <w:rsid w:val="00706DA6"/>
    <w:rsid w:val="00710565"/>
    <w:rsid w:val="0071156A"/>
    <w:rsid w:val="00711BB9"/>
    <w:rsid w:val="00713696"/>
    <w:rsid w:val="007144EA"/>
    <w:rsid w:val="00714582"/>
    <w:rsid w:val="00715B22"/>
    <w:rsid w:val="00715C69"/>
    <w:rsid w:val="00716F8F"/>
    <w:rsid w:val="00716FFB"/>
    <w:rsid w:val="00720F43"/>
    <w:rsid w:val="00720F7E"/>
    <w:rsid w:val="00720FB5"/>
    <w:rsid w:val="007229AF"/>
    <w:rsid w:val="007232AB"/>
    <w:rsid w:val="00723FAC"/>
    <w:rsid w:val="0072410D"/>
    <w:rsid w:val="00724F7D"/>
    <w:rsid w:val="00725568"/>
    <w:rsid w:val="007319C7"/>
    <w:rsid w:val="00731FE1"/>
    <w:rsid w:val="00732C73"/>
    <w:rsid w:val="007332BC"/>
    <w:rsid w:val="00734EE1"/>
    <w:rsid w:val="007371DD"/>
    <w:rsid w:val="00737472"/>
    <w:rsid w:val="00737630"/>
    <w:rsid w:val="00737EA2"/>
    <w:rsid w:val="007446C2"/>
    <w:rsid w:val="00744A49"/>
    <w:rsid w:val="00744A6E"/>
    <w:rsid w:val="007455B4"/>
    <w:rsid w:val="00746564"/>
    <w:rsid w:val="0074764B"/>
    <w:rsid w:val="00750BB4"/>
    <w:rsid w:val="00751282"/>
    <w:rsid w:val="0075258E"/>
    <w:rsid w:val="00752CB1"/>
    <w:rsid w:val="00754593"/>
    <w:rsid w:val="00755BAD"/>
    <w:rsid w:val="00755D54"/>
    <w:rsid w:val="00756C4A"/>
    <w:rsid w:val="00760D2C"/>
    <w:rsid w:val="00762063"/>
    <w:rsid w:val="0076365F"/>
    <w:rsid w:val="00766551"/>
    <w:rsid w:val="0077391E"/>
    <w:rsid w:val="00773D31"/>
    <w:rsid w:val="00773FB5"/>
    <w:rsid w:val="00775CBF"/>
    <w:rsid w:val="00776243"/>
    <w:rsid w:val="00776C39"/>
    <w:rsid w:val="007773FE"/>
    <w:rsid w:val="00777BBA"/>
    <w:rsid w:val="00780F11"/>
    <w:rsid w:val="00781608"/>
    <w:rsid w:val="007816F0"/>
    <w:rsid w:val="007818C9"/>
    <w:rsid w:val="0078344E"/>
    <w:rsid w:val="00783624"/>
    <w:rsid w:val="007840B2"/>
    <w:rsid w:val="00784A49"/>
    <w:rsid w:val="007852CE"/>
    <w:rsid w:val="00791471"/>
    <w:rsid w:val="00791C3E"/>
    <w:rsid w:val="00791E8F"/>
    <w:rsid w:val="00792BC0"/>
    <w:rsid w:val="007930F6"/>
    <w:rsid w:val="007948DF"/>
    <w:rsid w:val="007954E0"/>
    <w:rsid w:val="007A09AF"/>
    <w:rsid w:val="007A14ED"/>
    <w:rsid w:val="007A3619"/>
    <w:rsid w:val="007A486E"/>
    <w:rsid w:val="007A52E8"/>
    <w:rsid w:val="007A53EB"/>
    <w:rsid w:val="007A5439"/>
    <w:rsid w:val="007A5679"/>
    <w:rsid w:val="007A75AE"/>
    <w:rsid w:val="007A77A8"/>
    <w:rsid w:val="007B044D"/>
    <w:rsid w:val="007B0E1B"/>
    <w:rsid w:val="007B14DA"/>
    <w:rsid w:val="007B22EF"/>
    <w:rsid w:val="007B2640"/>
    <w:rsid w:val="007B3A66"/>
    <w:rsid w:val="007B3C8D"/>
    <w:rsid w:val="007B3E01"/>
    <w:rsid w:val="007B3E4C"/>
    <w:rsid w:val="007C02E6"/>
    <w:rsid w:val="007C079D"/>
    <w:rsid w:val="007C1AC3"/>
    <w:rsid w:val="007C2208"/>
    <w:rsid w:val="007C424C"/>
    <w:rsid w:val="007C4CB3"/>
    <w:rsid w:val="007C5240"/>
    <w:rsid w:val="007C52BF"/>
    <w:rsid w:val="007C6D3C"/>
    <w:rsid w:val="007C7421"/>
    <w:rsid w:val="007C7EA2"/>
    <w:rsid w:val="007D0611"/>
    <w:rsid w:val="007D0677"/>
    <w:rsid w:val="007D0E80"/>
    <w:rsid w:val="007D135F"/>
    <w:rsid w:val="007D1490"/>
    <w:rsid w:val="007D155D"/>
    <w:rsid w:val="007D21C6"/>
    <w:rsid w:val="007D2588"/>
    <w:rsid w:val="007D3236"/>
    <w:rsid w:val="007D5B2E"/>
    <w:rsid w:val="007D5FC1"/>
    <w:rsid w:val="007D6192"/>
    <w:rsid w:val="007D689C"/>
    <w:rsid w:val="007E025B"/>
    <w:rsid w:val="007E07C1"/>
    <w:rsid w:val="007E17AD"/>
    <w:rsid w:val="007E1EF3"/>
    <w:rsid w:val="007E2A51"/>
    <w:rsid w:val="007E4D8A"/>
    <w:rsid w:val="007E62A0"/>
    <w:rsid w:val="007F0FE9"/>
    <w:rsid w:val="007F42AC"/>
    <w:rsid w:val="007F5107"/>
    <w:rsid w:val="007F56D6"/>
    <w:rsid w:val="007F7814"/>
    <w:rsid w:val="0080018F"/>
    <w:rsid w:val="00800AA8"/>
    <w:rsid w:val="00802E2A"/>
    <w:rsid w:val="0080362A"/>
    <w:rsid w:val="00803CFD"/>
    <w:rsid w:val="00804D2B"/>
    <w:rsid w:val="00806632"/>
    <w:rsid w:val="0080682D"/>
    <w:rsid w:val="00806C67"/>
    <w:rsid w:val="00811454"/>
    <w:rsid w:val="00812D3F"/>
    <w:rsid w:val="00813988"/>
    <w:rsid w:val="008141C2"/>
    <w:rsid w:val="00815A34"/>
    <w:rsid w:val="0081672A"/>
    <w:rsid w:val="008171A7"/>
    <w:rsid w:val="0082642C"/>
    <w:rsid w:val="0082651E"/>
    <w:rsid w:val="00826944"/>
    <w:rsid w:val="00826A47"/>
    <w:rsid w:val="00827854"/>
    <w:rsid w:val="00830425"/>
    <w:rsid w:val="008322F5"/>
    <w:rsid w:val="00832C3F"/>
    <w:rsid w:val="0083306E"/>
    <w:rsid w:val="0083350B"/>
    <w:rsid w:val="00835196"/>
    <w:rsid w:val="00835736"/>
    <w:rsid w:val="0084006E"/>
    <w:rsid w:val="00841B63"/>
    <w:rsid w:val="00841EE5"/>
    <w:rsid w:val="00843866"/>
    <w:rsid w:val="00844E76"/>
    <w:rsid w:val="0084650A"/>
    <w:rsid w:val="00846E36"/>
    <w:rsid w:val="00846FFF"/>
    <w:rsid w:val="0084710B"/>
    <w:rsid w:val="00847C8B"/>
    <w:rsid w:val="0085000E"/>
    <w:rsid w:val="00850930"/>
    <w:rsid w:val="00850D63"/>
    <w:rsid w:val="00850F2B"/>
    <w:rsid w:val="0085178A"/>
    <w:rsid w:val="00851E61"/>
    <w:rsid w:val="00852B23"/>
    <w:rsid w:val="00853A55"/>
    <w:rsid w:val="00853EC1"/>
    <w:rsid w:val="00856C97"/>
    <w:rsid w:val="00857669"/>
    <w:rsid w:val="008617E1"/>
    <w:rsid w:val="00862617"/>
    <w:rsid w:val="00862772"/>
    <w:rsid w:val="00862D5A"/>
    <w:rsid w:val="00863848"/>
    <w:rsid w:val="008653C1"/>
    <w:rsid w:val="00865D20"/>
    <w:rsid w:val="00867321"/>
    <w:rsid w:val="008678D0"/>
    <w:rsid w:val="00871C41"/>
    <w:rsid w:val="00872C3E"/>
    <w:rsid w:val="00872F16"/>
    <w:rsid w:val="00873558"/>
    <w:rsid w:val="00877192"/>
    <w:rsid w:val="0087732C"/>
    <w:rsid w:val="008819B1"/>
    <w:rsid w:val="0088314F"/>
    <w:rsid w:val="00884BCC"/>
    <w:rsid w:val="00886545"/>
    <w:rsid w:val="00886BC0"/>
    <w:rsid w:val="008907E3"/>
    <w:rsid w:val="008931B5"/>
    <w:rsid w:val="00893ABD"/>
    <w:rsid w:val="00893D17"/>
    <w:rsid w:val="0089543E"/>
    <w:rsid w:val="00895541"/>
    <w:rsid w:val="008955C4"/>
    <w:rsid w:val="00896618"/>
    <w:rsid w:val="00896C01"/>
    <w:rsid w:val="008972A1"/>
    <w:rsid w:val="008A0E6A"/>
    <w:rsid w:val="008A13BF"/>
    <w:rsid w:val="008A224A"/>
    <w:rsid w:val="008A5922"/>
    <w:rsid w:val="008A6AC8"/>
    <w:rsid w:val="008A6D15"/>
    <w:rsid w:val="008A7C15"/>
    <w:rsid w:val="008B17EF"/>
    <w:rsid w:val="008B24BA"/>
    <w:rsid w:val="008B2C44"/>
    <w:rsid w:val="008B3625"/>
    <w:rsid w:val="008B676B"/>
    <w:rsid w:val="008B7B82"/>
    <w:rsid w:val="008C0B05"/>
    <w:rsid w:val="008C20C3"/>
    <w:rsid w:val="008C23CF"/>
    <w:rsid w:val="008C36F8"/>
    <w:rsid w:val="008C4C1B"/>
    <w:rsid w:val="008C67F0"/>
    <w:rsid w:val="008D050B"/>
    <w:rsid w:val="008D085A"/>
    <w:rsid w:val="008D1625"/>
    <w:rsid w:val="008D1FC8"/>
    <w:rsid w:val="008D26C6"/>
    <w:rsid w:val="008D3E87"/>
    <w:rsid w:val="008D444B"/>
    <w:rsid w:val="008D470E"/>
    <w:rsid w:val="008D4A3F"/>
    <w:rsid w:val="008D4BD9"/>
    <w:rsid w:val="008D604A"/>
    <w:rsid w:val="008D6A1F"/>
    <w:rsid w:val="008D7857"/>
    <w:rsid w:val="008E2F3F"/>
    <w:rsid w:val="008E3AA5"/>
    <w:rsid w:val="008E3F53"/>
    <w:rsid w:val="008E4B06"/>
    <w:rsid w:val="008E4DF2"/>
    <w:rsid w:val="008E4EF1"/>
    <w:rsid w:val="008E6CD2"/>
    <w:rsid w:val="008E77AF"/>
    <w:rsid w:val="008F0118"/>
    <w:rsid w:val="008F0A0A"/>
    <w:rsid w:val="008F1DB3"/>
    <w:rsid w:val="008F3A00"/>
    <w:rsid w:val="008F3C43"/>
    <w:rsid w:val="008F7877"/>
    <w:rsid w:val="0090074D"/>
    <w:rsid w:val="009018AA"/>
    <w:rsid w:val="00902778"/>
    <w:rsid w:val="00903098"/>
    <w:rsid w:val="0090478E"/>
    <w:rsid w:val="00904DA7"/>
    <w:rsid w:val="00906EE5"/>
    <w:rsid w:val="00910118"/>
    <w:rsid w:val="009118B6"/>
    <w:rsid w:val="0091215D"/>
    <w:rsid w:val="0091287F"/>
    <w:rsid w:val="0091297A"/>
    <w:rsid w:val="00912D99"/>
    <w:rsid w:val="00913EB0"/>
    <w:rsid w:val="00913FFF"/>
    <w:rsid w:val="00915765"/>
    <w:rsid w:val="00915933"/>
    <w:rsid w:val="00921259"/>
    <w:rsid w:val="009219D0"/>
    <w:rsid w:val="0092273A"/>
    <w:rsid w:val="00923B40"/>
    <w:rsid w:val="009258FD"/>
    <w:rsid w:val="00925CE3"/>
    <w:rsid w:val="0092629E"/>
    <w:rsid w:val="00926E8B"/>
    <w:rsid w:val="00927102"/>
    <w:rsid w:val="00927C90"/>
    <w:rsid w:val="009320CD"/>
    <w:rsid w:val="009323C7"/>
    <w:rsid w:val="009323D8"/>
    <w:rsid w:val="00932AF3"/>
    <w:rsid w:val="00935AF2"/>
    <w:rsid w:val="0093640B"/>
    <w:rsid w:val="009371BE"/>
    <w:rsid w:val="00940206"/>
    <w:rsid w:val="00941708"/>
    <w:rsid w:val="0094211B"/>
    <w:rsid w:val="00945477"/>
    <w:rsid w:val="00945685"/>
    <w:rsid w:val="00945EE6"/>
    <w:rsid w:val="00946B32"/>
    <w:rsid w:val="00952AF4"/>
    <w:rsid w:val="0095359D"/>
    <w:rsid w:val="00955607"/>
    <w:rsid w:val="00955867"/>
    <w:rsid w:val="009567EC"/>
    <w:rsid w:val="009630DF"/>
    <w:rsid w:val="0096435E"/>
    <w:rsid w:val="009644A8"/>
    <w:rsid w:val="00964F41"/>
    <w:rsid w:val="00966539"/>
    <w:rsid w:val="00966916"/>
    <w:rsid w:val="00966A09"/>
    <w:rsid w:val="00966CFD"/>
    <w:rsid w:val="00966F56"/>
    <w:rsid w:val="009674C7"/>
    <w:rsid w:val="00967F73"/>
    <w:rsid w:val="00970027"/>
    <w:rsid w:val="009708B5"/>
    <w:rsid w:val="009731EC"/>
    <w:rsid w:val="00973856"/>
    <w:rsid w:val="00975A6E"/>
    <w:rsid w:val="00976B97"/>
    <w:rsid w:val="009800F6"/>
    <w:rsid w:val="00980673"/>
    <w:rsid w:val="00980899"/>
    <w:rsid w:val="00982135"/>
    <w:rsid w:val="009831DC"/>
    <w:rsid w:val="0098359D"/>
    <w:rsid w:val="0098389F"/>
    <w:rsid w:val="00984249"/>
    <w:rsid w:val="009864A7"/>
    <w:rsid w:val="009866B1"/>
    <w:rsid w:val="009868F7"/>
    <w:rsid w:val="00987217"/>
    <w:rsid w:val="00990F65"/>
    <w:rsid w:val="0099126A"/>
    <w:rsid w:val="00991650"/>
    <w:rsid w:val="009927BB"/>
    <w:rsid w:val="00992904"/>
    <w:rsid w:val="00992E54"/>
    <w:rsid w:val="009932AC"/>
    <w:rsid w:val="0099366C"/>
    <w:rsid w:val="00993B40"/>
    <w:rsid w:val="00993F51"/>
    <w:rsid w:val="0099437C"/>
    <w:rsid w:val="00995529"/>
    <w:rsid w:val="00996354"/>
    <w:rsid w:val="009966AF"/>
    <w:rsid w:val="009970BB"/>
    <w:rsid w:val="009A070F"/>
    <w:rsid w:val="009A0DE9"/>
    <w:rsid w:val="009A2749"/>
    <w:rsid w:val="009A31EF"/>
    <w:rsid w:val="009A333A"/>
    <w:rsid w:val="009A3DB2"/>
    <w:rsid w:val="009A3E21"/>
    <w:rsid w:val="009A48E9"/>
    <w:rsid w:val="009A6A1D"/>
    <w:rsid w:val="009A6F53"/>
    <w:rsid w:val="009B2609"/>
    <w:rsid w:val="009B2B46"/>
    <w:rsid w:val="009B32E8"/>
    <w:rsid w:val="009B7D72"/>
    <w:rsid w:val="009C0A4C"/>
    <w:rsid w:val="009C1073"/>
    <w:rsid w:val="009C1FCF"/>
    <w:rsid w:val="009C281B"/>
    <w:rsid w:val="009C3434"/>
    <w:rsid w:val="009C4A4F"/>
    <w:rsid w:val="009C6D1B"/>
    <w:rsid w:val="009C727A"/>
    <w:rsid w:val="009D086A"/>
    <w:rsid w:val="009D191F"/>
    <w:rsid w:val="009D2059"/>
    <w:rsid w:val="009D248C"/>
    <w:rsid w:val="009D2879"/>
    <w:rsid w:val="009D2D38"/>
    <w:rsid w:val="009D3025"/>
    <w:rsid w:val="009D52FE"/>
    <w:rsid w:val="009D557E"/>
    <w:rsid w:val="009E2F4D"/>
    <w:rsid w:val="009E32C3"/>
    <w:rsid w:val="009E5333"/>
    <w:rsid w:val="009E5536"/>
    <w:rsid w:val="009E5815"/>
    <w:rsid w:val="009E70A6"/>
    <w:rsid w:val="009F142B"/>
    <w:rsid w:val="009F1AAE"/>
    <w:rsid w:val="009F3542"/>
    <w:rsid w:val="009F5CDB"/>
    <w:rsid w:val="009F641E"/>
    <w:rsid w:val="009F698F"/>
    <w:rsid w:val="009F7703"/>
    <w:rsid w:val="00A00BCB"/>
    <w:rsid w:val="00A01C34"/>
    <w:rsid w:val="00A0256D"/>
    <w:rsid w:val="00A02AC2"/>
    <w:rsid w:val="00A036C1"/>
    <w:rsid w:val="00A043E6"/>
    <w:rsid w:val="00A04C5E"/>
    <w:rsid w:val="00A07B18"/>
    <w:rsid w:val="00A103BC"/>
    <w:rsid w:val="00A106DD"/>
    <w:rsid w:val="00A10D02"/>
    <w:rsid w:val="00A1135E"/>
    <w:rsid w:val="00A116E2"/>
    <w:rsid w:val="00A11B75"/>
    <w:rsid w:val="00A132CF"/>
    <w:rsid w:val="00A145A8"/>
    <w:rsid w:val="00A15D74"/>
    <w:rsid w:val="00A17268"/>
    <w:rsid w:val="00A208B7"/>
    <w:rsid w:val="00A20F96"/>
    <w:rsid w:val="00A2197C"/>
    <w:rsid w:val="00A24189"/>
    <w:rsid w:val="00A25E45"/>
    <w:rsid w:val="00A26CBC"/>
    <w:rsid w:val="00A2710E"/>
    <w:rsid w:val="00A27824"/>
    <w:rsid w:val="00A30616"/>
    <w:rsid w:val="00A3105D"/>
    <w:rsid w:val="00A33CFB"/>
    <w:rsid w:val="00A34347"/>
    <w:rsid w:val="00A34EF0"/>
    <w:rsid w:val="00A36E61"/>
    <w:rsid w:val="00A3771C"/>
    <w:rsid w:val="00A377BF"/>
    <w:rsid w:val="00A412AE"/>
    <w:rsid w:val="00A41587"/>
    <w:rsid w:val="00A43047"/>
    <w:rsid w:val="00A43EE7"/>
    <w:rsid w:val="00A43F68"/>
    <w:rsid w:val="00A45113"/>
    <w:rsid w:val="00A4697E"/>
    <w:rsid w:val="00A46C01"/>
    <w:rsid w:val="00A47A62"/>
    <w:rsid w:val="00A50BD0"/>
    <w:rsid w:val="00A53343"/>
    <w:rsid w:val="00A534FA"/>
    <w:rsid w:val="00A5383C"/>
    <w:rsid w:val="00A54BB3"/>
    <w:rsid w:val="00A55B22"/>
    <w:rsid w:val="00A56421"/>
    <w:rsid w:val="00A56A39"/>
    <w:rsid w:val="00A57971"/>
    <w:rsid w:val="00A57FBA"/>
    <w:rsid w:val="00A6050F"/>
    <w:rsid w:val="00A619B6"/>
    <w:rsid w:val="00A6242E"/>
    <w:rsid w:val="00A63FF1"/>
    <w:rsid w:val="00A6513D"/>
    <w:rsid w:val="00A6712D"/>
    <w:rsid w:val="00A677CB"/>
    <w:rsid w:val="00A67BE8"/>
    <w:rsid w:val="00A67BEF"/>
    <w:rsid w:val="00A7067C"/>
    <w:rsid w:val="00A71053"/>
    <w:rsid w:val="00A71C37"/>
    <w:rsid w:val="00A71E8A"/>
    <w:rsid w:val="00A72E1C"/>
    <w:rsid w:val="00A73067"/>
    <w:rsid w:val="00A7329C"/>
    <w:rsid w:val="00A73726"/>
    <w:rsid w:val="00A73736"/>
    <w:rsid w:val="00A74369"/>
    <w:rsid w:val="00A74FA8"/>
    <w:rsid w:val="00A753D1"/>
    <w:rsid w:val="00A75ACB"/>
    <w:rsid w:val="00A75D2E"/>
    <w:rsid w:val="00A75F20"/>
    <w:rsid w:val="00A75FD1"/>
    <w:rsid w:val="00A7628E"/>
    <w:rsid w:val="00A809A4"/>
    <w:rsid w:val="00A80F60"/>
    <w:rsid w:val="00A83FCA"/>
    <w:rsid w:val="00A85B0D"/>
    <w:rsid w:val="00A86CCC"/>
    <w:rsid w:val="00A872ED"/>
    <w:rsid w:val="00A90794"/>
    <w:rsid w:val="00A90AC6"/>
    <w:rsid w:val="00A91148"/>
    <w:rsid w:val="00A91B7F"/>
    <w:rsid w:val="00A925FD"/>
    <w:rsid w:val="00A942E4"/>
    <w:rsid w:val="00A96071"/>
    <w:rsid w:val="00A96362"/>
    <w:rsid w:val="00A96BDB"/>
    <w:rsid w:val="00A9740E"/>
    <w:rsid w:val="00A97E4F"/>
    <w:rsid w:val="00AA081E"/>
    <w:rsid w:val="00AA1EA9"/>
    <w:rsid w:val="00AA2521"/>
    <w:rsid w:val="00AA2C20"/>
    <w:rsid w:val="00AA333E"/>
    <w:rsid w:val="00AA5E11"/>
    <w:rsid w:val="00AA6D6D"/>
    <w:rsid w:val="00AA7D34"/>
    <w:rsid w:val="00AB00AD"/>
    <w:rsid w:val="00AB32C3"/>
    <w:rsid w:val="00AB3512"/>
    <w:rsid w:val="00AB3D18"/>
    <w:rsid w:val="00AB41D9"/>
    <w:rsid w:val="00AB5192"/>
    <w:rsid w:val="00AB589C"/>
    <w:rsid w:val="00AB5C5B"/>
    <w:rsid w:val="00AB6D4B"/>
    <w:rsid w:val="00AB70E5"/>
    <w:rsid w:val="00AB725C"/>
    <w:rsid w:val="00AC15FE"/>
    <w:rsid w:val="00AC2055"/>
    <w:rsid w:val="00AC54E5"/>
    <w:rsid w:val="00AC696B"/>
    <w:rsid w:val="00AC7D78"/>
    <w:rsid w:val="00AD111A"/>
    <w:rsid w:val="00AD1373"/>
    <w:rsid w:val="00AD2D86"/>
    <w:rsid w:val="00AE07DF"/>
    <w:rsid w:val="00AE1437"/>
    <w:rsid w:val="00AE3ACC"/>
    <w:rsid w:val="00AE5F13"/>
    <w:rsid w:val="00AE7161"/>
    <w:rsid w:val="00AE77B5"/>
    <w:rsid w:val="00AF0451"/>
    <w:rsid w:val="00AF35D3"/>
    <w:rsid w:val="00AF412A"/>
    <w:rsid w:val="00AF4E4C"/>
    <w:rsid w:val="00AF5E07"/>
    <w:rsid w:val="00AF6892"/>
    <w:rsid w:val="00AF6A3E"/>
    <w:rsid w:val="00AF6D8A"/>
    <w:rsid w:val="00AF7E0E"/>
    <w:rsid w:val="00B0123F"/>
    <w:rsid w:val="00B0184B"/>
    <w:rsid w:val="00B0215D"/>
    <w:rsid w:val="00B03177"/>
    <w:rsid w:val="00B031F4"/>
    <w:rsid w:val="00B03FFA"/>
    <w:rsid w:val="00B05210"/>
    <w:rsid w:val="00B055D9"/>
    <w:rsid w:val="00B05AAA"/>
    <w:rsid w:val="00B062AF"/>
    <w:rsid w:val="00B071BD"/>
    <w:rsid w:val="00B07C3B"/>
    <w:rsid w:val="00B105E8"/>
    <w:rsid w:val="00B10ADF"/>
    <w:rsid w:val="00B113F1"/>
    <w:rsid w:val="00B118B8"/>
    <w:rsid w:val="00B13BF8"/>
    <w:rsid w:val="00B1485C"/>
    <w:rsid w:val="00B1635B"/>
    <w:rsid w:val="00B1725D"/>
    <w:rsid w:val="00B17B51"/>
    <w:rsid w:val="00B17CA8"/>
    <w:rsid w:val="00B244E7"/>
    <w:rsid w:val="00B24580"/>
    <w:rsid w:val="00B30A59"/>
    <w:rsid w:val="00B32279"/>
    <w:rsid w:val="00B33CA0"/>
    <w:rsid w:val="00B34296"/>
    <w:rsid w:val="00B3472B"/>
    <w:rsid w:val="00B369E8"/>
    <w:rsid w:val="00B36A21"/>
    <w:rsid w:val="00B3775A"/>
    <w:rsid w:val="00B405A3"/>
    <w:rsid w:val="00B422EB"/>
    <w:rsid w:val="00B42D1D"/>
    <w:rsid w:val="00B434A5"/>
    <w:rsid w:val="00B43885"/>
    <w:rsid w:val="00B454BA"/>
    <w:rsid w:val="00B45C59"/>
    <w:rsid w:val="00B4639C"/>
    <w:rsid w:val="00B46768"/>
    <w:rsid w:val="00B470DC"/>
    <w:rsid w:val="00B4757F"/>
    <w:rsid w:val="00B477DB"/>
    <w:rsid w:val="00B50113"/>
    <w:rsid w:val="00B509C3"/>
    <w:rsid w:val="00B5419C"/>
    <w:rsid w:val="00B54782"/>
    <w:rsid w:val="00B54B73"/>
    <w:rsid w:val="00B54B75"/>
    <w:rsid w:val="00B602E9"/>
    <w:rsid w:val="00B609A5"/>
    <w:rsid w:val="00B60AD2"/>
    <w:rsid w:val="00B62F7A"/>
    <w:rsid w:val="00B6451B"/>
    <w:rsid w:val="00B66AC3"/>
    <w:rsid w:val="00B66CC9"/>
    <w:rsid w:val="00B66DB3"/>
    <w:rsid w:val="00B6725F"/>
    <w:rsid w:val="00B67DDD"/>
    <w:rsid w:val="00B70206"/>
    <w:rsid w:val="00B70CCD"/>
    <w:rsid w:val="00B70EEA"/>
    <w:rsid w:val="00B71109"/>
    <w:rsid w:val="00B713F2"/>
    <w:rsid w:val="00B71678"/>
    <w:rsid w:val="00B723FF"/>
    <w:rsid w:val="00B73142"/>
    <w:rsid w:val="00B744A9"/>
    <w:rsid w:val="00B76174"/>
    <w:rsid w:val="00B76630"/>
    <w:rsid w:val="00B7692A"/>
    <w:rsid w:val="00B77BEE"/>
    <w:rsid w:val="00B803E3"/>
    <w:rsid w:val="00B819F2"/>
    <w:rsid w:val="00B82987"/>
    <w:rsid w:val="00B84DC5"/>
    <w:rsid w:val="00B84F37"/>
    <w:rsid w:val="00B90C6B"/>
    <w:rsid w:val="00B9152C"/>
    <w:rsid w:val="00B9199D"/>
    <w:rsid w:val="00B91AC1"/>
    <w:rsid w:val="00B91BB7"/>
    <w:rsid w:val="00B929EF"/>
    <w:rsid w:val="00B93518"/>
    <w:rsid w:val="00B94BE3"/>
    <w:rsid w:val="00B958E4"/>
    <w:rsid w:val="00B95E26"/>
    <w:rsid w:val="00B968CE"/>
    <w:rsid w:val="00BA06EF"/>
    <w:rsid w:val="00BA0716"/>
    <w:rsid w:val="00BA0B3A"/>
    <w:rsid w:val="00BA29EB"/>
    <w:rsid w:val="00BA3100"/>
    <w:rsid w:val="00BA388C"/>
    <w:rsid w:val="00BA4511"/>
    <w:rsid w:val="00BA4C3B"/>
    <w:rsid w:val="00BA5429"/>
    <w:rsid w:val="00BA58E4"/>
    <w:rsid w:val="00BA6A38"/>
    <w:rsid w:val="00BA728B"/>
    <w:rsid w:val="00BB06F4"/>
    <w:rsid w:val="00BB18A7"/>
    <w:rsid w:val="00BB202A"/>
    <w:rsid w:val="00BB4407"/>
    <w:rsid w:val="00BB52D3"/>
    <w:rsid w:val="00BB6610"/>
    <w:rsid w:val="00BB7A56"/>
    <w:rsid w:val="00BC3000"/>
    <w:rsid w:val="00BC3D5E"/>
    <w:rsid w:val="00BC3D90"/>
    <w:rsid w:val="00BC4FBD"/>
    <w:rsid w:val="00BD0231"/>
    <w:rsid w:val="00BD032C"/>
    <w:rsid w:val="00BD0440"/>
    <w:rsid w:val="00BD04CE"/>
    <w:rsid w:val="00BD0669"/>
    <w:rsid w:val="00BD06C4"/>
    <w:rsid w:val="00BD21AE"/>
    <w:rsid w:val="00BD28C1"/>
    <w:rsid w:val="00BD3813"/>
    <w:rsid w:val="00BD71A0"/>
    <w:rsid w:val="00BD7951"/>
    <w:rsid w:val="00BD7DC1"/>
    <w:rsid w:val="00BE1F95"/>
    <w:rsid w:val="00BE2E33"/>
    <w:rsid w:val="00BE4411"/>
    <w:rsid w:val="00BE5288"/>
    <w:rsid w:val="00BE56A7"/>
    <w:rsid w:val="00BE5EF2"/>
    <w:rsid w:val="00BF0886"/>
    <w:rsid w:val="00BF23CC"/>
    <w:rsid w:val="00BF2A23"/>
    <w:rsid w:val="00BF2BF7"/>
    <w:rsid w:val="00BF5355"/>
    <w:rsid w:val="00BF5A01"/>
    <w:rsid w:val="00BF71E7"/>
    <w:rsid w:val="00BF798D"/>
    <w:rsid w:val="00C002CB"/>
    <w:rsid w:val="00C00C32"/>
    <w:rsid w:val="00C02A77"/>
    <w:rsid w:val="00C032FE"/>
    <w:rsid w:val="00C05057"/>
    <w:rsid w:val="00C05FF0"/>
    <w:rsid w:val="00C0743A"/>
    <w:rsid w:val="00C110E8"/>
    <w:rsid w:val="00C120D1"/>
    <w:rsid w:val="00C12348"/>
    <w:rsid w:val="00C13249"/>
    <w:rsid w:val="00C1338E"/>
    <w:rsid w:val="00C15504"/>
    <w:rsid w:val="00C1592B"/>
    <w:rsid w:val="00C15F1E"/>
    <w:rsid w:val="00C17D4F"/>
    <w:rsid w:val="00C17D69"/>
    <w:rsid w:val="00C211AC"/>
    <w:rsid w:val="00C225E3"/>
    <w:rsid w:val="00C22687"/>
    <w:rsid w:val="00C22AF5"/>
    <w:rsid w:val="00C22B49"/>
    <w:rsid w:val="00C24903"/>
    <w:rsid w:val="00C26316"/>
    <w:rsid w:val="00C26934"/>
    <w:rsid w:val="00C270EA"/>
    <w:rsid w:val="00C2796A"/>
    <w:rsid w:val="00C3008E"/>
    <w:rsid w:val="00C306E6"/>
    <w:rsid w:val="00C30D3F"/>
    <w:rsid w:val="00C316CE"/>
    <w:rsid w:val="00C36174"/>
    <w:rsid w:val="00C36E8F"/>
    <w:rsid w:val="00C3779F"/>
    <w:rsid w:val="00C377B1"/>
    <w:rsid w:val="00C379F2"/>
    <w:rsid w:val="00C37A24"/>
    <w:rsid w:val="00C401F7"/>
    <w:rsid w:val="00C404AC"/>
    <w:rsid w:val="00C407E1"/>
    <w:rsid w:val="00C415A2"/>
    <w:rsid w:val="00C417FE"/>
    <w:rsid w:val="00C41F70"/>
    <w:rsid w:val="00C42A59"/>
    <w:rsid w:val="00C43A57"/>
    <w:rsid w:val="00C43A90"/>
    <w:rsid w:val="00C445DA"/>
    <w:rsid w:val="00C500DC"/>
    <w:rsid w:val="00C5049F"/>
    <w:rsid w:val="00C50D70"/>
    <w:rsid w:val="00C5167B"/>
    <w:rsid w:val="00C53922"/>
    <w:rsid w:val="00C53D72"/>
    <w:rsid w:val="00C57C88"/>
    <w:rsid w:val="00C626ED"/>
    <w:rsid w:val="00C62E27"/>
    <w:rsid w:val="00C62E8A"/>
    <w:rsid w:val="00C630D1"/>
    <w:rsid w:val="00C63898"/>
    <w:rsid w:val="00C64D9E"/>
    <w:rsid w:val="00C655F7"/>
    <w:rsid w:val="00C65699"/>
    <w:rsid w:val="00C65D2C"/>
    <w:rsid w:val="00C67C5D"/>
    <w:rsid w:val="00C67FFE"/>
    <w:rsid w:val="00C7010D"/>
    <w:rsid w:val="00C704B9"/>
    <w:rsid w:val="00C70C9D"/>
    <w:rsid w:val="00C7569A"/>
    <w:rsid w:val="00C767FD"/>
    <w:rsid w:val="00C80027"/>
    <w:rsid w:val="00C80E88"/>
    <w:rsid w:val="00C80FF8"/>
    <w:rsid w:val="00C81FCD"/>
    <w:rsid w:val="00C841C1"/>
    <w:rsid w:val="00C84D18"/>
    <w:rsid w:val="00C85402"/>
    <w:rsid w:val="00C8541D"/>
    <w:rsid w:val="00C87345"/>
    <w:rsid w:val="00C91C01"/>
    <w:rsid w:val="00C91CEF"/>
    <w:rsid w:val="00C920E2"/>
    <w:rsid w:val="00C92552"/>
    <w:rsid w:val="00C9303F"/>
    <w:rsid w:val="00C93B1D"/>
    <w:rsid w:val="00C941B0"/>
    <w:rsid w:val="00C951AC"/>
    <w:rsid w:val="00CA0530"/>
    <w:rsid w:val="00CA2DF9"/>
    <w:rsid w:val="00CA3068"/>
    <w:rsid w:val="00CA33E3"/>
    <w:rsid w:val="00CA44AC"/>
    <w:rsid w:val="00CA542E"/>
    <w:rsid w:val="00CB08B7"/>
    <w:rsid w:val="00CB09EA"/>
    <w:rsid w:val="00CB0B96"/>
    <w:rsid w:val="00CB0F56"/>
    <w:rsid w:val="00CB1260"/>
    <w:rsid w:val="00CB1A62"/>
    <w:rsid w:val="00CB22FB"/>
    <w:rsid w:val="00CB30F8"/>
    <w:rsid w:val="00CB4AAB"/>
    <w:rsid w:val="00CB50F7"/>
    <w:rsid w:val="00CB5130"/>
    <w:rsid w:val="00CB6F10"/>
    <w:rsid w:val="00CB730C"/>
    <w:rsid w:val="00CB7540"/>
    <w:rsid w:val="00CC11AB"/>
    <w:rsid w:val="00CC1C22"/>
    <w:rsid w:val="00CC2024"/>
    <w:rsid w:val="00CC264F"/>
    <w:rsid w:val="00CC528A"/>
    <w:rsid w:val="00CC5565"/>
    <w:rsid w:val="00CC5E86"/>
    <w:rsid w:val="00CC6553"/>
    <w:rsid w:val="00CC72DA"/>
    <w:rsid w:val="00CD0765"/>
    <w:rsid w:val="00CD17EC"/>
    <w:rsid w:val="00CD1857"/>
    <w:rsid w:val="00CD31D5"/>
    <w:rsid w:val="00CD66F0"/>
    <w:rsid w:val="00CD69A7"/>
    <w:rsid w:val="00CE0312"/>
    <w:rsid w:val="00CE07BF"/>
    <w:rsid w:val="00CE1287"/>
    <w:rsid w:val="00CE1BFA"/>
    <w:rsid w:val="00CE215A"/>
    <w:rsid w:val="00CE2314"/>
    <w:rsid w:val="00CE4875"/>
    <w:rsid w:val="00CF019E"/>
    <w:rsid w:val="00CF0922"/>
    <w:rsid w:val="00CF0A89"/>
    <w:rsid w:val="00CF138B"/>
    <w:rsid w:val="00CF195D"/>
    <w:rsid w:val="00CF2B9E"/>
    <w:rsid w:val="00CF3E6A"/>
    <w:rsid w:val="00CF4562"/>
    <w:rsid w:val="00CF4928"/>
    <w:rsid w:val="00CF606C"/>
    <w:rsid w:val="00CF6E33"/>
    <w:rsid w:val="00CF7090"/>
    <w:rsid w:val="00CF7991"/>
    <w:rsid w:val="00CF7AAF"/>
    <w:rsid w:val="00D002C1"/>
    <w:rsid w:val="00D00863"/>
    <w:rsid w:val="00D00C3F"/>
    <w:rsid w:val="00D011AD"/>
    <w:rsid w:val="00D023F1"/>
    <w:rsid w:val="00D0419F"/>
    <w:rsid w:val="00D04F59"/>
    <w:rsid w:val="00D060C0"/>
    <w:rsid w:val="00D0636E"/>
    <w:rsid w:val="00D06433"/>
    <w:rsid w:val="00D07378"/>
    <w:rsid w:val="00D078FA"/>
    <w:rsid w:val="00D0799E"/>
    <w:rsid w:val="00D07A13"/>
    <w:rsid w:val="00D1304E"/>
    <w:rsid w:val="00D1307F"/>
    <w:rsid w:val="00D14F0F"/>
    <w:rsid w:val="00D1752E"/>
    <w:rsid w:val="00D17FD3"/>
    <w:rsid w:val="00D203E3"/>
    <w:rsid w:val="00D21F9D"/>
    <w:rsid w:val="00D22798"/>
    <w:rsid w:val="00D23A87"/>
    <w:rsid w:val="00D23A8D"/>
    <w:rsid w:val="00D24090"/>
    <w:rsid w:val="00D24D64"/>
    <w:rsid w:val="00D25CCB"/>
    <w:rsid w:val="00D262A4"/>
    <w:rsid w:val="00D269BD"/>
    <w:rsid w:val="00D306BD"/>
    <w:rsid w:val="00D30D4A"/>
    <w:rsid w:val="00D310D9"/>
    <w:rsid w:val="00D33343"/>
    <w:rsid w:val="00D33E1E"/>
    <w:rsid w:val="00D34663"/>
    <w:rsid w:val="00D34B35"/>
    <w:rsid w:val="00D34B61"/>
    <w:rsid w:val="00D3536B"/>
    <w:rsid w:val="00D36D80"/>
    <w:rsid w:val="00D37043"/>
    <w:rsid w:val="00D37067"/>
    <w:rsid w:val="00D37407"/>
    <w:rsid w:val="00D37483"/>
    <w:rsid w:val="00D37EAB"/>
    <w:rsid w:val="00D41237"/>
    <w:rsid w:val="00D423EB"/>
    <w:rsid w:val="00D46D43"/>
    <w:rsid w:val="00D477ED"/>
    <w:rsid w:val="00D507E0"/>
    <w:rsid w:val="00D511FA"/>
    <w:rsid w:val="00D51461"/>
    <w:rsid w:val="00D51F6B"/>
    <w:rsid w:val="00D52104"/>
    <w:rsid w:val="00D526A0"/>
    <w:rsid w:val="00D53C03"/>
    <w:rsid w:val="00D540DA"/>
    <w:rsid w:val="00D5665E"/>
    <w:rsid w:val="00D572EC"/>
    <w:rsid w:val="00D57904"/>
    <w:rsid w:val="00D60D16"/>
    <w:rsid w:val="00D61490"/>
    <w:rsid w:val="00D61C57"/>
    <w:rsid w:val="00D63938"/>
    <w:rsid w:val="00D640EB"/>
    <w:rsid w:val="00D64827"/>
    <w:rsid w:val="00D65477"/>
    <w:rsid w:val="00D67E02"/>
    <w:rsid w:val="00D70C90"/>
    <w:rsid w:val="00D7128A"/>
    <w:rsid w:val="00D716AB"/>
    <w:rsid w:val="00D72744"/>
    <w:rsid w:val="00D72A27"/>
    <w:rsid w:val="00D737CC"/>
    <w:rsid w:val="00D73A5F"/>
    <w:rsid w:val="00D7429C"/>
    <w:rsid w:val="00D751D6"/>
    <w:rsid w:val="00D764CF"/>
    <w:rsid w:val="00D7666C"/>
    <w:rsid w:val="00D76E43"/>
    <w:rsid w:val="00D81D8C"/>
    <w:rsid w:val="00D81FFE"/>
    <w:rsid w:val="00D83914"/>
    <w:rsid w:val="00D87D3F"/>
    <w:rsid w:val="00D908CC"/>
    <w:rsid w:val="00D92AB8"/>
    <w:rsid w:val="00D94759"/>
    <w:rsid w:val="00D949ED"/>
    <w:rsid w:val="00D964A5"/>
    <w:rsid w:val="00D96FC7"/>
    <w:rsid w:val="00DA093F"/>
    <w:rsid w:val="00DA0C91"/>
    <w:rsid w:val="00DA0DB0"/>
    <w:rsid w:val="00DA117A"/>
    <w:rsid w:val="00DA1BAA"/>
    <w:rsid w:val="00DA44A6"/>
    <w:rsid w:val="00DA620C"/>
    <w:rsid w:val="00DB3FC5"/>
    <w:rsid w:val="00DB46D0"/>
    <w:rsid w:val="00DB4CE4"/>
    <w:rsid w:val="00DB4F1A"/>
    <w:rsid w:val="00DB518B"/>
    <w:rsid w:val="00DB5238"/>
    <w:rsid w:val="00DB524A"/>
    <w:rsid w:val="00DB5A12"/>
    <w:rsid w:val="00DB6398"/>
    <w:rsid w:val="00DC10AA"/>
    <w:rsid w:val="00DC1CA2"/>
    <w:rsid w:val="00DC2B65"/>
    <w:rsid w:val="00DC331A"/>
    <w:rsid w:val="00DC419E"/>
    <w:rsid w:val="00DC5CD0"/>
    <w:rsid w:val="00DC5F36"/>
    <w:rsid w:val="00DC629A"/>
    <w:rsid w:val="00DC62A9"/>
    <w:rsid w:val="00DC6D5D"/>
    <w:rsid w:val="00DD00BD"/>
    <w:rsid w:val="00DD13FE"/>
    <w:rsid w:val="00DD2A33"/>
    <w:rsid w:val="00DD2C5F"/>
    <w:rsid w:val="00DD3243"/>
    <w:rsid w:val="00DD3AB5"/>
    <w:rsid w:val="00DD3BF1"/>
    <w:rsid w:val="00DD4044"/>
    <w:rsid w:val="00DD40BA"/>
    <w:rsid w:val="00DD482C"/>
    <w:rsid w:val="00DD491F"/>
    <w:rsid w:val="00DD5845"/>
    <w:rsid w:val="00DD5E02"/>
    <w:rsid w:val="00DD75C9"/>
    <w:rsid w:val="00DE0201"/>
    <w:rsid w:val="00DE0409"/>
    <w:rsid w:val="00DE205D"/>
    <w:rsid w:val="00DE38B8"/>
    <w:rsid w:val="00DE3E75"/>
    <w:rsid w:val="00DE4A65"/>
    <w:rsid w:val="00DE4B1B"/>
    <w:rsid w:val="00DE5CA5"/>
    <w:rsid w:val="00DE64EC"/>
    <w:rsid w:val="00DE69B3"/>
    <w:rsid w:val="00DE7BEC"/>
    <w:rsid w:val="00DF0305"/>
    <w:rsid w:val="00DF27E9"/>
    <w:rsid w:val="00DF33A4"/>
    <w:rsid w:val="00DF38A9"/>
    <w:rsid w:val="00DF4080"/>
    <w:rsid w:val="00DF4459"/>
    <w:rsid w:val="00DF645E"/>
    <w:rsid w:val="00DF69E3"/>
    <w:rsid w:val="00DF6E7D"/>
    <w:rsid w:val="00DF7093"/>
    <w:rsid w:val="00E02769"/>
    <w:rsid w:val="00E02790"/>
    <w:rsid w:val="00E03B9A"/>
    <w:rsid w:val="00E059B0"/>
    <w:rsid w:val="00E05CDF"/>
    <w:rsid w:val="00E06B4B"/>
    <w:rsid w:val="00E07362"/>
    <w:rsid w:val="00E073CE"/>
    <w:rsid w:val="00E079C9"/>
    <w:rsid w:val="00E07F74"/>
    <w:rsid w:val="00E10712"/>
    <w:rsid w:val="00E108B0"/>
    <w:rsid w:val="00E10EA1"/>
    <w:rsid w:val="00E114F6"/>
    <w:rsid w:val="00E12C30"/>
    <w:rsid w:val="00E12C84"/>
    <w:rsid w:val="00E14193"/>
    <w:rsid w:val="00E16BA5"/>
    <w:rsid w:val="00E2171F"/>
    <w:rsid w:val="00E21B1B"/>
    <w:rsid w:val="00E24628"/>
    <w:rsid w:val="00E26AB2"/>
    <w:rsid w:val="00E275D0"/>
    <w:rsid w:val="00E303C0"/>
    <w:rsid w:val="00E31DAE"/>
    <w:rsid w:val="00E321B8"/>
    <w:rsid w:val="00E32352"/>
    <w:rsid w:val="00E33875"/>
    <w:rsid w:val="00E35DD9"/>
    <w:rsid w:val="00E36069"/>
    <w:rsid w:val="00E3752A"/>
    <w:rsid w:val="00E37CF9"/>
    <w:rsid w:val="00E41DE6"/>
    <w:rsid w:val="00E41F4A"/>
    <w:rsid w:val="00E425E7"/>
    <w:rsid w:val="00E42D13"/>
    <w:rsid w:val="00E439A6"/>
    <w:rsid w:val="00E44052"/>
    <w:rsid w:val="00E44274"/>
    <w:rsid w:val="00E45050"/>
    <w:rsid w:val="00E469A0"/>
    <w:rsid w:val="00E50468"/>
    <w:rsid w:val="00E50D26"/>
    <w:rsid w:val="00E53587"/>
    <w:rsid w:val="00E53BA7"/>
    <w:rsid w:val="00E5576E"/>
    <w:rsid w:val="00E55A97"/>
    <w:rsid w:val="00E56431"/>
    <w:rsid w:val="00E568CC"/>
    <w:rsid w:val="00E5713E"/>
    <w:rsid w:val="00E605A3"/>
    <w:rsid w:val="00E623C3"/>
    <w:rsid w:val="00E62DCF"/>
    <w:rsid w:val="00E6513D"/>
    <w:rsid w:val="00E67323"/>
    <w:rsid w:val="00E67CB1"/>
    <w:rsid w:val="00E67CBE"/>
    <w:rsid w:val="00E7071E"/>
    <w:rsid w:val="00E708EC"/>
    <w:rsid w:val="00E7246F"/>
    <w:rsid w:val="00E72748"/>
    <w:rsid w:val="00E7441F"/>
    <w:rsid w:val="00E75209"/>
    <w:rsid w:val="00E75C9F"/>
    <w:rsid w:val="00E75E08"/>
    <w:rsid w:val="00E761A6"/>
    <w:rsid w:val="00E7790C"/>
    <w:rsid w:val="00E80398"/>
    <w:rsid w:val="00E81674"/>
    <w:rsid w:val="00E81881"/>
    <w:rsid w:val="00E81EDE"/>
    <w:rsid w:val="00E83CF8"/>
    <w:rsid w:val="00E8430D"/>
    <w:rsid w:val="00E8470A"/>
    <w:rsid w:val="00E855B7"/>
    <w:rsid w:val="00E868ED"/>
    <w:rsid w:val="00E90A54"/>
    <w:rsid w:val="00E91946"/>
    <w:rsid w:val="00E9221E"/>
    <w:rsid w:val="00E9260F"/>
    <w:rsid w:val="00E92A2F"/>
    <w:rsid w:val="00E93A96"/>
    <w:rsid w:val="00E93B26"/>
    <w:rsid w:val="00E951AF"/>
    <w:rsid w:val="00E95AE7"/>
    <w:rsid w:val="00E976AE"/>
    <w:rsid w:val="00E97788"/>
    <w:rsid w:val="00E97EE5"/>
    <w:rsid w:val="00E97FAC"/>
    <w:rsid w:val="00EA023A"/>
    <w:rsid w:val="00EA0292"/>
    <w:rsid w:val="00EA0788"/>
    <w:rsid w:val="00EA1CE0"/>
    <w:rsid w:val="00EA29FC"/>
    <w:rsid w:val="00EA2A54"/>
    <w:rsid w:val="00EA37DF"/>
    <w:rsid w:val="00EB097B"/>
    <w:rsid w:val="00EB1738"/>
    <w:rsid w:val="00EB34D3"/>
    <w:rsid w:val="00EB46E1"/>
    <w:rsid w:val="00EB5276"/>
    <w:rsid w:val="00EB6E57"/>
    <w:rsid w:val="00EB70D6"/>
    <w:rsid w:val="00EC0F8F"/>
    <w:rsid w:val="00EC1BA9"/>
    <w:rsid w:val="00EC4329"/>
    <w:rsid w:val="00EC4E14"/>
    <w:rsid w:val="00EC6C3D"/>
    <w:rsid w:val="00ED290D"/>
    <w:rsid w:val="00ED3C07"/>
    <w:rsid w:val="00ED3CC0"/>
    <w:rsid w:val="00ED66FB"/>
    <w:rsid w:val="00ED70EF"/>
    <w:rsid w:val="00EE12FB"/>
    <w:rsid w:val="00EE6007"/>
    <w:rsid w:val="00EE6D64"/>
    <w:rsid w:val="00EF59B3"/>
    <w:rsid w:val="00EF6C8C"/>
    <w:rsid w:val="00EF74E5"/>
    <w:rsid w:val="00F00C16"/>
    <w:rsid w:val="00F027E7"/>
    <w:rsid w:val="00F0340E"/>
    <w:rsid w:val="00F05C49"/>
    <w:rsid w:val="00F05FF8"/>
    <w:rsid w:val="00F06420"/>
    <w:rsid w:val="00F101E1"/>
    <w:rsid w:val="00F105A5"/>
    <w:rsid w:val="00F120E6"/>
    <w:rsid w:val="00F1255C"/>
    <w:rsid w:val="00F130D4"/>
    <w:rsid w:val="00F13334"/>
    <w:rsid w:val="00F13D50"/>
    <w:rsid w:val="00F150CA"/>
    <w:rsid w:val="00F15775"/>
    <w:rsid w:val="00F15976"/>
    <w:rsid w:val="00F15E10"/>
    <w:rsid w:val="00F1613F"/>
    <w:rsid w:val="00F20EF2"/>
    <w:rsid w:val="00F210C4"/>
    <w:rsid w:val="00F21E45"/>
    <w:rsid w:val="00F25935"/>
    <w:rsid w:val="00F25C8D"/>
    <w:rsid w:val="00F26BE7"/>
    <w:rsid w:val="00F27005"/>
    <w:rsid w:val="00F30B16"/>
    <w:rsid w:val="00F30E5C"/>
    <w:rsid w:val="00F31335"/>
    <w:rsid w:val="00F31A53"/>
    <w:rsid w:val="00F32037"/>
    <w:rsid w:val="00F32979"/>
    <w:rsid w:val="00F32F0F"/>
    <w:rsid w:val="00F34754"/>
    <w:rsid w:val="00F347F0"/>
    <w:rsid w:val="00F36D38"/>
    <w:rsid w:val="00F40A21"/>
    <w:rsid w:val="00F40CD8"/>
    <w:rsid w:val="00F40ECC"/>
    <w:rsid w:val="00F410E0"/>
    <w:rsid w:val="00F41603"/>
    <w:rsid w:val="00F4205A"/>
    <w:rsid w:val="00F445D7"/>
    <w:rsid w:val="00F445ED"/>
    <w:rsid w:val="00F455BA"/>
    <w:rsid w:val="00F46693"/>
    <w:rsid w:val="00F4741E"/>
    <w:rsid w:val="00F47EEE"/>
    <w:rsid w:val="00F514CC"/>
    <w:rsid w:val="00F51C71"/>
    <w:rsid w:val="00F521C5"/>
    <w:rsid w:val="00F5340E"/>
    <w:rsid w:val="00F53EA3"/>
    <w:rsid w:val="00F548F3"/>
    <w:rsid w:val="00F54E60"/>
    <w:rsid w:val="00F554B5"/>
    <w:rsid w:val="00F554E5"/>
    <w:rsid w:val="00F56606"/>
    <w:rsid w:val="00F57127"/>
    <w:rsid w:val="00F57ED3"/>
    <w:rsid w:val="00F605D0"/>
    <w:rsid w:val="00F60AC5"/>
    <w:rsid w:val="00F61D4F"/>
    <w:rsid w:val="00F61D58"/>
    <w:rsid w:val="00F61D7B"/>
    <w:rsid w:val="00F65FD0"/>
    <w:rsid w:val="00F70CAA"/>
    <w:rsid w:val="00F70D4B"/>
    <w:rsid w:val="00F71D05"/>
    <w:rsid w:val="00F74845"/>
    <w:rsid w:val="00F74DD6"/>
    <w:rsid w:val="00F76EBF"/>
    <w:rsid w:val="00F803FF"/>
    <w:rsid w:val="00F80940"/>
    <w:rsid w:val="00F80A0F"/>
    <w:rsid w:val="00F84205"/>
    <w:rsid w:val="00F84CBB"/>
    <w:rsid w:val="00F855C3"/>
    <w:rsid w:val="00F8695C"/>
    <w:rsid w:val="00F86B53"/>
    <w:rsid w:val="00F86DB3"/>
    <w:rsid w:val="00F87F99"/>
    <w:rsid w:val="00F90E83"/>
    <w:rsid w:val="00F91FD0"/>
    <w:rsid w:val="00F934E0"/>
    <w:rsid w:val="00F94825"/>
    <w:rsid w:val="00F95D54"/>
    <w:rsid w:val="00F9695C"/>
    <w:rsid w:val="00FA06F8"/>
    <w:rsid w:val="00FA0B2E"/>
    <w:rsid w:val="00FA27D3"/>
    <w:rsid w:val="00FA3189"/>
    <w:rsid w:val="00FA359F"/>
    <w:rsid w:val="00FA4A6B"/>
    <w:rsid w:val="00FA7660"/>
    <w:rsid w:val="00FA7703"/>
    <w:rsid w:val="00FB0693"/>
    <w:rsid w:val="00FB17A4"/>
    <w:rsid w:val="00FB296C"/>
    <w:rsid w:val="00FB507D"/>
    <w:rsid w:val="00FB59E1"/>
    <w:rsid w:val="00FB660C"/>
    <w:rsid w:val="00FC1327"/>
    <w:rsid w:val="00FC1CF6"/>
    <w:rsid w:val="00FC6249"/>
    <w:rsid w:val="00FC6E7A"/>
    <w:rsid w:val="00FC7522"/>
    <w:rsid w:val="00FC79C1"/>
    <w:rsid w:val="00FD10E2"/>
    <w:rsid w:val="00FD145A"/>
    <w:rsid w:val="00FD3039"/>
    <w:rsid w:val="00FD3175"/>
    <w:rsid w:val="00FD367C"/>
    <w:rsid w:val="00FD3F7A"/>
    <w:rsid w:val="00FD5070"/>
    <w:rsid w:val="00FD71A1"/>
    <w:rsid w:val="00FD761D"/>
    <w:rsid w:val="00FE0142"/>
    <w:rsid w:val="00FE101C"/>
    <w:rsid w:val="00FE24E1"/>
    <w:rsid w:val="00FE2902"/>
    <w:rsid w:val="00FE3824"/>
    <w:rsid w:val="00FE464B"/>
    <w:rsid w:val="00FE4AD9"/>
    <w:rsid w:val="00FE53B9"/>
    <w:rsid w:val="00FE5A99"/>
    <w:rsid w:val="00FE6FEB"/>
    <w:rsid w:val="00FE70EB"/>
    <w:rsid w:val="00FF2403"/>
    <w:rsid w:val="00FF52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1F09B"/>
  <w15:docId w15:val="{E3900B46-C98F-4F6F-B2B4-9F01EEF3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109"/>
    <w:pPr>
      <w:spacing w:before="120" w:after="120"/>
    </w:pPr>
    <w:rPr>
      <w:rFonts w:ascii="Century Gothic" w:hAnsi="Century Gothic"/>
      <w:sz w:val="22"/>
      <w:szCs w:val="20"/>
    </w:rPr>
  </w:style>
  <w:style w:type="paragraph" w:styleId="Heading1">
    <w:name w:val="heading 1"/>
    <w:basedOn w:val="Normal"/>
    <w:next w:val="Normal"/>
    <w:link w:val="Heading1Char"/>
    <w:autoRedefine/>
    <w:uiPriority w:val="9"/>
    <w:qFormat/>
    <w:rsid w:val="00BE5288"/>
    <w:pPr>
      <w:spacing w:after="240"/>
      <w:outlineLvl w:val="0"/>
    </w:pPr>
    <w:rPr>
      <w:rFonts w:eastAsiaTheme="majorEastAsia" w:cstheme="majorBidi"/>
      <w:b/>
      <w:color w:val="1B4379" w:themeColor="text2"/>
      <w:sz w:val="32"/>
      <w:szCs w:val="32"/>
    </w:rPr>
  </w:style>
  <w:style w:type="paragraph" w:styleId="Heading2">
    <w:name w:val="heading 2"/>
    <w:basedOn w:val="Normal"/>
    <w:next w:val="Normal"/>
    <w:link w:val="Heading2Char"/>
    <w:uiPriority w:val="9"/>
    <w:unhideWhenUsed/>
    <w:qFormat/>
    <w:rsid w:val="00A6242E"/>
    <w:pPr>
      <w:outlineLvl w:val="1"/>
    </w:pPr>
    <w:rPr>
      <w:rFonts w:eastAsiaTheme="majorEastAsia" w:cstheme="majorBidi"/>
      <w:b/>
      <w:color w:val="000000" w:themeColor="text1"/>
      <w:sz w:val="24"/>
      <w:szCs w:val="32"/>
      <w:lang w:eastAsia="ja-JP"/>
    </w:rPr>
  </w:style>
  <w:style w:type="paragraph" w:styleId="Heading3">
    <w:name w:val="heading 3"/>
    <w:basedOn w:val="Normal"/>
    <w:next w:val="Normal"/>
    <w:link w:val="Heading3Char"/>
    <w:uiPriority w:val="9"/>
    <w:unhideWhenUsed/>
    <w:qFormat/>
    <w:rsid w:val="00B95E26"/>
    <w:pPr>
      <w:outlineLvl w:val="2"/>
    </w:pPr>
    <w:rPr>
      <w:b/>
      <w:color w:val="1B4379" w:themeColor="text2"/>
      <w:szCs w:val="26"/>
      <w:lang w:eastAsia="ja-JP"/>
    </w:rPr>
  </w:style>
  <w:style w:type="paragraph" w:styleId="Heading4">
    <w:name w:val="heading 4"/>
    <w:basedOn w:val="Normal"/>
    <w:next w:val="Normal"/>
    <w:link w:val="Heading4Char"/>
    <w:uiPriority w:val="9"/>
    <w:unhideWhenUsed/>
    <w:qFormat/>
    <w:rsid w:val="00B713F2"/>
    <w:pPr>
      <w:outlineLvl w:val="3"/>
    </w:pPr>
    <w:rPr>
      <w:rFonts w:asciiTheme="majorHAnsi" w:eastAsiaTheme="majorEastAsia" w:hAnsiTheme="majorHAnsi" w:cstheme="majorBidi"/>
      <w:b/>
      <w:iCs/>
      <w:color w:val="1B4379" w:themeColor="text2"/>
    </w:rPr>
  </w:style>
  <w:style w:type="paragraph" w:styleId="Heading5">
    <w:name w:val="heading 5"/>
    <w:basedOn w:val="Normal"/>
    <w:next w:val="Normal"/>
    <w:link w:val="Heading5Char"/>
    <w:uiPriority w:val="9"/>
    <w:semiHidden/>
    <w:unhideWhenUsed/>
    <w:qFormat/>
    <w:rsid w:val="00F4205A"/>
    <w:pPr>
      <w:keepNext/>
      <w:keepLines/>
      <w:spacing w:before="40"/>
      <w:outlineLvl w:val="4"/>
    </w:pPr>
    <w:rPr>
      <w:rFonts w:asciiTheme="majorHAnsi" w:eastAsiaTheme="majorEastAsia" w:hAnsiTheme="majorHAnsi" w:cstheme="majorBidi"/>
      <w:color w:val="1B4379" w:themeColor="text2"/>
    </w:rPr>
  </w:style>
  <w:style w:type="paragraph" w:styleId="Heading6">
    <w:name w:val="heading 6"/>
    <w:basedOn w:val="Normal"/>
    <w:next w:val="Normal"/>
    <w:link w:val="Heading6Char"/>
    <w:uiPriority w:val="9"/>
    <w:semiHidden/>
    <w:unhideWhenUsed/>
    <w:qFormat/>
    <w:rsid w:val="00D37407"/>
    <w:pPr>
      <w:keepNext/>
      <w:keepLines/>
      <w:spacing w:before="40"/>
      <w:outlineLvl w:val="5"/>
    </w:pPr>
    <w:rPr>
      <w:rFonts w:asciiTheme="majorHAnsi" w:eastAsiaTheme="majorEastAsia" w:hAnsiTheme="majorHAnsi" w:cstheme="majorBidi"/>
      <w:color w:val="1B4379" w:themeColor="text2"/>
    </w:rPr>
  </w:style>
  <w:style w:type="paragraph" w:styleId="Heading7">
    <w:name w:val="heading 7"/>
    <w:basedOn w:val="Normal"/>
    <w:next w:val="Normal"/>
    <w:link w:val="Heading7Char"/>
    <w:uiPriority w:val="9"/>
    <w:semiHidden/>
    <w:unhideWhenUsed/>
    <w:qFormat/>
    <w:rsid w:val="00D37407"/>
    <w:pPr>
      <w:keepNext/>
      <w:keepLines/>
      <w:spacing w:before="40"/>
      <w:outlineLvl w:val="6"/>
    </w:pPr>
    <w:rPr>
      <w:rFonts w:asciiTheme="majorHAnsi" w:eastAsiaTheme="majorEastAsia" w:hAnsiTheme="majorHAnsi" w:cstheme="majorBidi"/>
      <w:i/>
      <w:iCs/>
      <w:color w:val="1B4379" w:themeColor="text2"/>
    </w:rPr>
  </w:style>
  <w:style w:type="paragraph" w:styleId="Heading8">
    <w:name w:val="heading 8"/>
    <w:basedOn w:val="Normal"/>
    <w:next w:val="Normal"/>
    <w:link w:val="Heading8Char"/>
    <w:uiPriority w:val="9"/>
    <w:semiHidden/>
    <w:unhideWhenUsed/>
    <w:qFormat/>
    <w:rsid w:val="00D374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88"/>
    <w:rPr>
      <w:rFonts w:ascii="Century Gothic" w:eastAsiaTheme="majorEastAsia" w:hAnsi="Century Gothic" w:cstheme="majorBidi"/>
      <w:b/>
      <w:color w:val="1B4379" w:themeColor="text2"/>
      <w:sz w:val="32"/>
      <w:szCs w:val="32"/>
    </w:rPr>
  </w:style>
  <w:style w:type="paragraph" w:styleId="Header">
    <w:name w:val="header"/>
    <w:basedOn w:val="Normal"/>
    <w:link w:val="HeaderChar"/>
    <w:uiPriority w:val="99"/>
    <w:unhideWhenUsed/>
    <w:rsid w:val="008972A1"/>
    <w:pPr>
      <w:pBdr>
        <w:bottom w:val="single" w:sz="6" w:space="3" w:color="000000" w:themeColor="text1"/>
      </w:pBdr>
    </w:pPr>
    <w:rPr>
      <w:color w:val="1B4379" w:themeColor="text2"/>
      <w:sz w:val="18"/>
      <w:szCs w:val="18"/>
    </w:rPr>
  </w:style>
  <w:style w:type="character" w:customStyle="1" w:styleId="HeaderChar">
    <w:name w:val="Header Char"/>
    <w:basedOn w:val="DefaultParagraphFont"/>
    <w:link w:val="Header"/>
    <w:uiPriority w:val="99"/>
    <w:rsid w:val="008972A1"/>
    <w:rPr>
      <w:color w:val="1B4379" w:themeColor="text2"/>
      <w:sz w:val="18"/>
      <w:szCs w:val="18"/>
    </w:rPr>
  </w:style>
  <w:style w:type="paragraph" w:styleId="Footer">
    <w:name w:val="footer"/>
    <w:basedOn w:val="Normal"/>
    <w:link w:val="FooterChar"/>
    <w:uiPriority w:val="99"/>
    <w:unhideWhenUsed/>
    <w:rsid w:val="008972A1"/>
    <w:pPr>
      <w:tabs>
        <w:tab w:val="center" w:pos="4513"/>
        <w:tab w:val="right" w:pos="9026"/>
      </w:tabs>
    </w:pPr>
    <w:rPr>
      <w:b/>
      <w:color w:val="1B4379" w:themeColor="text2"/>
      <w:sz w:val="18"/>
      <w:szCs w:val="18"/>
    </w:rPr>
  </w:style>
  <w:style w:type="character" w:customStyle="1" w:styleId="FooterChar">
    <w:name w:val="Footer Char"/>
    <w:basedOn w:val="DefaultParagraphFont"/>
    <w:link w:val="Footer"/>
    <w:uiPriority w:val="99"/>
    <w:rsid w:val="008972A1"/>
    <w:rPr>
      <w:b/>
      <w:color w:val="1B4379" w:themeColor="text2"/>
      <w:sz w:val="18"/>
      <w:szCs w:val="18"/>
    </w:rPr>
  </w:style>
  <w:style w:type="paragraph" w:customStyle="1" w:styleId="BasicParagraph">
    <w:name w:val="[Basic Paragraph]"/>
    <w:basedOn w:val="Normal"/>
    <w:uiPriority w:val="99"/>
    <w:rsid w:val="005E2514"/>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7232AB"/>
  </w:style>
  <w:style w:type="paragraph" w:styleId="Title">
    <w:name w:val="Title"/>
    <w:basedOn w:val="Normal"/>
    <w:next w:val="Normal"/>
    <w:link w:val="TitleChar"/>
    <w:uiPriority w:val="10"/>
    <w:qFormat/>
    <w:rsid w:val="00D0419F"/>
    <w:pPr>
      <w:ind w:left="284"/>
    </w:pPr>
    <w:rPr>
      <w:rFonts w:asciiTheme="majorHAnsi" w:hAnsiTheme="majorHAnsi" w:cstheme="majorHAnsi"/>
      <w:b/>
      <w:color w:val="FFFFFF" w:themeColor="background2"/>
      <w:sz w:val="80"/>
      <w:szCs w:val="80"/>
    </w:rPr>
  </w:style>
  <w:style w:type="character" w:customStyle="1" w:styleId="TitleChar">
    <w:name w:val="Title Char"/>
    <w:basedOn w:val="DefaultParagraphFont"/>
    <w:link w:val="Title"/>
    <w:uiPriority w:val="10"/>
    <w:rsid w:val="00D0419F"/>
    <w:rPr>
      <w:rFonts w:asciiTheme="majorHAnsi" w:hAnsiTheme="majorHAnsi" w:cstheme="majorHAnsi"/>
      <w:b/>
      <w:color w:val="FFFFFF" w:themeColor="background2"/>
      <w:sz w:val="80"/>
      <w:szCs w:val="80"/>
    </w:rPr>
  </w:style>
  <w:style w:type="character" w:customStyle="1" w:styleId="Heading4Char">
    <w:name w:val="Heading 4 Char"/>
    <w:basedOn w:val="DefaultParagraphFont"/>
    <w:link w:val="Heading4"/>
    <w:uiPriority w:val="9"/>
    <w:rsid w:val="00B713F2"/>
    <w:rPr>
      <w:rFonts w:asciiTheme="majorHAnsi" w:eastAsiaTheme="majorEastAsia" w:hAnsiTheme="majorHAnsi" w:cstheme="majorBidi"/>
      <w:b/>
      <w:iCs/>
      <w:color w:val="1B4379" w:themeColor="text2"/>
      <w:sz w:val="22"/>
      <w:szCs w:val="20"/>
    </w:rPr>
  </w:style>
  <w:style w:type="character" w:styleId="IntenseReference">
    <w:name w:val="Intense Reference"/>
    <w:uiPriority w:val="32"/>
    <w:qFormat/>
    <w:rsid w:val="00CF019E"/>
    <w:rPr>
      <w:color w:val="000000" w:themeColor="text1"/>
    </w:rPr>
  </w:style>
  <w:style w:type="character" w:customStyle="1" w:styleId="Heading2Char">
    <w:name w:val="Heading 2 Char"/>
    <w:basedOn w:val="DefaultParagraphFont"/>
    <w:link w:val="Heading2"/>
    <w:uiPriority w:val="9"/>
    <w:rsid w:val="00B95E26"/>
    <w:rPr>
      <w:rFonts w:ascii="Century Gothic" w:eastAsiaTheme="majorEastAsia" w:hAnsi="Century Gothic" w:cstheme="majorBidi"/>
      <w:b/>
      <w:color w:val="000000" w:themeColor="text1"/>
      <w:szCs w:val="32"/>
      <w:lang w:eastAsia="ja-JP"/>
    </w:rPr>
  </w:style>
  <w:style w:type="character" w:styleId="Strong">
    <w:name w:val="Strong"/>
    <w:aliases w:val="Bold"/>
    <w:basedOn w:val="DefaultParagraphFont"/>
    <w:uiPriority w:val="22"/>
    <w:qFormat/>
    <w:rsid w:val="00F4205A"/>
    <w:rPr>
      <w:b/>
      <w:bCs/>
    </w:rPr>
  </w:style>
  <w:style w:type="character" w:styleId="Emphasis">
    <w:name w:val="Emphasis"/>
    <w:aliases w:val="Italic"/>
    <w:basedOn w:val="DefaultParagraphFont"/>
    <w:uiPriority w:val="20"/>
    <w:qFormat/>
    <w:rsid w:val="00F4205A"/>
    <w:rPr>
      <w:i/>
      <w:iCs/>
    </w:rPr>
  </w:style>
  <w:style w:type="paragraph" w:customStyle="1" w:styleId="Bulletlist">
    <w:name w:val="Bullet list"/>
    <w:basedOn w:val="ListBullet"/>
    <w:link w:val="BulletlistChar"/>
    <w:qFormat/>
    <w:rsid w:val="00D00863"/>
    <w:pPr>
      <w:numPr>
        <w:numId w:val="2"/>
      </w:numPr>
      <w:spacing w:before="60"/>
      <w:contextualSpacing w:val="0"/>
    </w:pPr>
    <w:rPr>
      <w:color w:val="000000" w:themeColor="text1"/>
    </w:rPr>
  </w:style>
  <w:style w:type="paragraph" w:customStyle="1" w:styleId="Numberedlist">
    <w:name w:val="Numbered list"/>
    <w:basedOn w:val="ListParagraph"/>
    <w:link w:val="NumberedlistChar"/>
    <w:autoRedefine/>
    <w:qFormat/>
    <w:rsid w:val="00FA0B2E"/>
    <w:pPr>
      <w:spacing w:before="60"/>
      <w:ind w:left="360"/>
      <w:contextualSpacing w:val="0"/>
    </w:pPr>
    <w:rPr>
      <w:rFonts w:eastAsiaTheme="majorEastAsia" w:cs="Times New Roman"/>
      <w:b/>
      <w:bCs/>
      <w:sz w:val="24"/>
      <w:szCs w:val="32"/>
      <w:lang w:val="en-US" w:eastAsia="ja-JP"/>
    </w:rPr>
  </w:style>
  <w:style w:type="character" w:customStyle="1" w:styleId="BulletlistChar">
    <w:name w:val="Bullet list Char"/>
    <w:basedOn w:val="DefaultParagraphFont"/>
    <w:link w:val="Bulletlist"/>
    <w:rsid w:val="00F60AC5"/>
    <w:rPr>
      <w:rFonts w:ascii="Century Gothic" w:hAnsi="Century Gothic"/>
      <w:color w:val="000000" w:themeColor="text1"/>
      <w:sz w:val="22"/>
      <w:lang w:val="en-US"/>
    </w:rPr>
  </w:style>
  <w:style w:type="character" w:customStyle="1" w:styleId="NumberedlistChar">
    <w:name w:val="Numbered list Char"/>
    <w:basedOn w:val="DefaultParagraphFont"/>
    <w:link w:val="Numberedlist"/>
    <w:rsid w:val="00FA0B2E"/>
    <w:rPr>
      <w:rFonts w:ascii="Century Gothic" w:eastAsiaTheme="majorEastAsia" w:hAnsi="Century Gothic" w:cs="Times New Roman"/>
      <w:b/>
      <w:bCs/>
      <w:szCs w:val="32"/>
      <w:lang w:val="en-US" w:eastAsia="ja-JP"/>
    </w:rPr>
  </w:style>
  <w:style w:type="paragraph" w:styleId="ListParagraph">
    <w:name w:val="List Paragraph"/>
    <w:basedOn w:val="Normal"/>
    <w:uiPriority w:val="34"/>
    <w:qFormat/>
    <w:rsid w:val="00F4205A"/>
    <w:pPr>
      <w:ind w:left="720"/>
      <w:contextualSpacing/>
    </w:pPr>
  </w:style>
  <w:style w:type="character" w:customStyle="1" w:styleId="Heading3Char">
    <w:name w:val="Heading 3 Char"/>
    <w:basedOn w:val="DefaultParagraphFont"/>
    <w:link w:val="Heading3"/>
    <w:uiPriority w:val="9"/>
    <w:rsid w:val="00B95E26"/>
    <w:rPr>
      <w:rFonts w:ascii="Century Gothic" w:hAnsi="Century Gothic"/>
      <w:b/>
      <w:color w:val="1B4379" w:themeColor="text2"/>
      <w:sz w:val="22"/>
      <w:szCs w:val="26"/>
      <w:lang w:eastAsia="ja-JP"/>
    </w:rPr>
  </w:style>
  <w:style w:type="character" w:customStyle="1" w:styleId="Heading5Char">
    <w:name w:val="Heading 5 Char"/>
    <w:basedOn w:val="DefaultParagraphFont"/>
    <w:link w:val="Heading5"/>
    <w:uiPriority w:val="9"/>
    <w:semiHidden/>
    <w:rsid w:val="00F4205A"/>
    <w:rPr>
      <w:rFonts w:asciiTheme="majorHAnsi" w:eastAsiaTheme="majorEastAsia" w:hAnsiTheme="majorHAnsi" w:cstheme="majorBidi"/>
      <w:color w:val="1B4379" w:themeColor="text2"/>
    </w:rPr>
  </w:style>
  <w:style w:type="paragraph" w:styleId="Date">
    <w:name w:val="Date"/>
    <w:basedOn w:val="Normal"/>
    <w:next w:val="Normal"/>
    <w:link w:val="DateChar"/>
    <w:uiPriority w:val="99"/>
    <w:unhideWhenUsed/>
    <w:rsid w:val="00DA117A"/>
    <w:rPr>
      <w:b/>
      <w:color w:val="FFFFFF" w:themeColor="background1"/>
      <w:sz w:val="28"/>
      <w:szCs w:val="28"/>
    </w:rPr>
  </w:style>
  <w:style w:type="character" w:customStyle="1" w:styleId="DateChar">
    <w:name w:val="Date Char"/>
    <w:basedOn w:val="DefaultParagraphFont"/>
    <w:link w:val="Date"/>
    <w:uiPriority w:val="99"/>
    <w:rsid w:val="00DA117A"/>
    <w:rPr>
      <w:b/>
      <w:color w:val="FFFFFF" w:themeColor="background1"/>
      <w:sz w:val="28"/>
      <w:szCs w:val="28"/>
    </w:rPr>
  </w:style>
  <w:style w:type="paragraph" w:styleId="Subtitle">
    <w:name w:val="Subtitle"/>
    <w:basedOn w:val="Normal"/>
    <w:next w:val="Normal"/>
    <w:link w:val="SubtitleChar"/>
    <w:uiPriority w:val="11"/>
    <w:qFormat/>
    <w:rsid w:val="002C49D8"/>
    <w:pPr>
      <w:numPr>
        <w:ilvl w:val="1"/>
      </w:numPr>
      <w:spacing w:after="160"/>
    </w:pPr>
    <w:rPr>
      <w:b/>
      <w:color w:val="FFFFFF" w:themeColor="background2"/>
      <w:spacing w:val="15"/>
      <w:sz w:val="40"/>
      <w:szCs w:val="48"/>
    </w:rPr>
  </w:style>
  <w:style w:type="character" w:customStyle="1" w:styleId="SubtitleChar">
    <w:name w:val="Subtitle Char"/>
    <w:basedOn w:val="DefaultParagraphFont"/>
    <w:link w:val="Subtitle"/>
    <w:uiPriority w:val="11"/>
    <w:rsid w:val="002C49D8"/>
    <w:rPr>
      <w:b/>
      <w:color w:val="FFFFFF" w:themeColor="background2"/>
      <w:spacing w:val="15"/>
      <w:sz w:val="40"/>
      <w:szCs w:val="48"/>
    </w:rPr>
  </w:style>
  <w:style w:type="character" w:styleId="IntenseEmphasis">
    <w:name w:val="Intense Emphasis"/>
    <w:basedOn w:val="DefaultParagraphFont"/>
    <w:uiPriority w:val="21"/>
    <w:qFormat/>
    <w:rsid w:val="00CF019E"/>
    <w:rPr>
      <w:i/>
      <w:iCs/>
      <w:color w:val="000000" w:themeColor="text1"/>
    </w:rPr>
  </w:style>
  <w:style w:type="character" w:customStyle="1" w:styleId="Heading6Char">
    <w:name w:val="Heading 6 Char"/>
    <w:basedOn w:val="DefaultParagraphFont"/>
    <w:link w:val="Heading6"/>
    <w:uiPriority w:val="9"/>
    <w:semiHidden/>
    <w:rsid w:val="00D37407"/>
    <w:rPr>
      <w:rFonts w:asciiTheme="majorHAnsi" w:eastAsiaTheme="majorEastAsia" w:hAnsiTheme="majorHAnsi" w:cstheme="majorBidi"/>
      <w:color w:val="1B4379" w:themeColor="text2"/>
      <w:sz w:val="22"/>
      <w:szCs w:val="20"/>
    </w:rPr>
  </w:style>
  <w:style w:type="character" w:customStyle="1" w:styleId="Heading7Char">
    <w:name w:val="Heading 7 Char"/>
    <w:basedOn w:val="DefaultParagraphFont"/>
    <w:link w:val="Heading7"/>
    <w:uiPriority w:val="9"/>
    <w:semiHidden/>
    <w:rsid w:val="00D37407"/>
    <w:rPr>
      <w:rFonts w:asciiTheme="majorHAnsi" w:eastAsiaTheme="majorEastAsia" w:hAnsiTheme="majorHAnsi" w:cstheme="majorBidi"/>
      <w:i/>
      <w:iCs/>
      <w:color w:val="1B4379" w:themeColor="text2"/>
      <w:sz w:val="22"/>
      <w:szCs w:val="20"/>
    </w:rPr>
  </w:style>
  <w:style w:type="character" w:customStyle="1" w:styleId="Heading8Char">
    <w:name w:val="Heading 8 Char"/>
    <w:basedOn w:val="DefaultParagraphFont"/>
    <w:link w:val="Heading8"/>
    <w:uiPriority w:val="9"/>
    <w:semiHidden/>
    <w:rsid w:val="00D37407"/>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unhideWhenUsed/>
    <w:qFormat/>
    <w:rsid w:val="00065A79"/>
    <w:pPr>
      <w:outlineLvl w:val="9"/>
    </w:pPr>
  </w:style>
  <w:style w:type="paragraph" w:styleId="FootnoteText">
    <w:name w:val="footnote text"/>
    <w:basedOn w:val="Normal"/>
    <w:link w:val="FootnoteTextChar"/>
    <w:uiPriority w:val="99"/>
    <w:unhideWhenUsed/>
    <w:rsid w:val="003D45F1"/>
    <w:pPr>
      <w:ind w:left="142" w:hanging="142"/>
    </w:pPr>
    <w:rPr>
      <w:sz w:val="18"/>
      <w:szCs w:val="18"/>
    </w:rPr>
  </w:style>
  <w:style w:type="character" w:customStyle="1" w:styleId="FootnoteTextChar">
    <w:name w:val="Footnote Text Char"/>
    <w:basedOn w:val="DefaultParagraphFont"/>
    <w:link w:val="FootnoteText"/>
    <w:uiPriority w:val="99"/>
    <w:rsid w:val="003D45F1"/>
    <w:rPr>
      <w:sz w:val="18"/>
      <w:szCs w:val="18"/>
    </w:rPr>
  </w:style>
  <w:style w:type="character" w:styleId="FootnoteReference">
    <w:name w:val="footnote reference"/>
    <w:basedOn w:val="DefaultParagraphFont"/>
    <w:uiPriority w:val="99"/>
    <w:unhideWhenUsed/>
    <w:qFormat/>
    <w:rsid w:val="00D37407"/>
    <w:rPr>
      <w:vertAlign w:val="superscript"/>
    </w:rPr>
  </w:style>
  <w:style w:type="paragraph" w:customStyle="1" w:styleId="Bodycopybold">
    <w:name w:val="Body copy bold"/>
    <w:basedOn w:val="Normal"/>
    <w:qFormat/>
    <w:rsid w:val="00065A79"/>
    <w:rPr>
      <w:b/>
      <w:bCs/>
      <w:szCs w:val="22"/>
      <w:lang w:val="en-US"/>
    </w:rPr>
  </w:style>
  <w:style w:type="paragraph" w:customStyle="1" w:styleId="Bodycopyitalic">
    <w:name w:val="Body copy italic"/>
    <w:basedOn w:val="Normal"/>
    <w:qFormat/>
    <w:rsid w:val="00065A79"/>
    <w:rPr>
      <w:i/>
      <w:iCs/>
      <w:szCs w:val="22"/>
      <w:lang w:val="en-US"/>
    </w:rPr>
  </w:style>
  <w:style w:type="paragraph" w:customStyle="1" w:styleId="Bodycopybolditalic">
    <w:name w:val="Body copy bold italic"/>
    <w:basedOn w:val="Normal"/>
    <w:qFormat/>
    <w:rsid w:val="00065A79"/>
    <w:rPr>
      <w:b/>
      <w:bCs/>
      <w:i/>
      <w:iCs/>
      <w:szCs w:val="22"/>
      <w:lang w:val="en-US"/>
    </w:rPr>
  </w:style>
  <w:style w:type="paragraph" w:customStyle="1" w:styleId="Bodycopyunderlined">
    <w:name w:val="Body copy underlined"/>
    <w:basedOn w:val="Normal"/>
    <w:qFormat/>
    <w:rsid w:val="00AC696B"/>
    <w:rPr>
      <w:szCs w:val="22"/>
      <w:u w:val="single"/>
      <w:lang w:val="en-US"/>
    </w:rPr>
  </w:style>
  <w:style w:type="paragraph" w:styleId="ListBullet">
    <w:name w:val="List Bullet"/>
    <w:basedOn w:val="Normal"/>
    <w:uiPriority w:val="99"/>
    <w:unhideWhenUsed/>
    <w:qFormat/>
    <w:rsid w:val="00D37407"/>
    <w:pPr>
      <w:numPr>
        <w:numId w:val="1"/>
      </w:numPr>
      <w:spacing w:before="40"/>
      <w:contextualSpacing/>
    </w:pPr>
    <w:rPr>
      <w:szCs w:val="24"/>
      <w:lang w:val="en-US"/>
    </w:rPr>
  </w:style>
  <w:style w:type="paragraph" w:customStyle="1" w:styleId="Bodycopy">
    <w:name w:val="Body copy"/>
    <w:basedOn w:val="Normal"/>
    <w:qFormat/>
    <w:rsid w:val="00065A79"/>
    <w:rPr>
      <w:szCs w:val="22"/>
      <w:lang w:val="en-US"/>
    </w:rPr>
  </w:style>
  <w:style w:type="paragraph" w:styleId="Caption">
    <w:name w:val="caption"/>
    <w:basedOn w:val="Normal"/>
    <w:next w:val="Normal"/>
    <w:uiPriority w:val="35"/>
    <w:unhideWhenUsed/>
    <w:qFormat/>
    <w:rsid w:val="00065A79"/>
    <w:pPr>
      <w:spacing w:after="200"/>
    </w:pPr>
    <w:rPr>
      <w:i/>
      <w:iCs/>
      <w:sz w:val="18"/>
      <w:szCs w:val="18"/>
    </w:rPr>
  </w:style>
  <w:style w:type="table" w:styleId="TableGrid">
    <w:name w:val="Table Grid"/>
    <w:basedOn w:val="TableNormal"/>
    <w:uiPriority w:val="59"/>
    <w:rsid w:val="009C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HORDTablestyle">
    <w:name w:val="WHO R&amp;D Table style"/>
    <w:basedOn w:val="TableNormal"/>
    <w:uiPriority w:val="99"/>
    <w:rsid w:val="003730D1"/>
    <w:rPr>
      <w:color w:val="000000" w:themeColor="text1"/>
      <w:sz w:val="22"/>
    </w:rPr>
    <w:tblPr>
      <w:tblStyleRowBandSize w:val="1"/>
      <w:tblBorders>
        <w:top w:val="single" w:sz="4" w:space="0" w:color="1B4379" w:themeColor="text2"/>
        <w:left w:val="single" w:sz="4" w:space="0" w:color="1B4379" w:themeColor="text2"/>
        <w:bottom w:val="single" w:sz="4" w:space="0" w:color="1B4379" w:themeColor="text2"/>
        <w:right w:val="single" w:sz="4" w:space="0" w:color="1B4379" w:themeColor="text2"/>
        <w:insideH w:val="single" w:sz="4" w:space="0" w:color="1B4379" w:themeColor="text2"/>
        <w:insideV w:val="single" w:sz="4" w:space="0" w:color="1B4379" w:themeColor="text2"/>
      </w:tblBorders>
      <w:tblCellMar>
        <w:top w:w="57" w:type="dxa"/>
        <w:bottom w:w="57" w:type="dxa"/>
      </w:tblCellMar>
    </w:tblPr>
    <w:tcPr>
      <w:shd w:val="clear" w:color="auto" w:fill="auto"/>
    </w:tcPr>
    <w:tblStylePr w:type="firstRow">
      <w:pPr>
        <w:jc w:val="left"/>
      </w:pPr>
      <w:rPr>
        <w:rFonts w:ascii="ArialBold" w:hAnsi="ArialBold"/>
        <w:b/>
        <w:bCs/>
        <w:i w:val="0"/>
        <w:iCs w:val="0"/>
        <w:color w:val="FFFFFF" w:themeColor="background1"/>
        <w:sz w:val="22"/>
      </w:rPr>
      <w:tblPr/>
      <w:tcPr>
        <w:tcBorders>
          <w:insideV w:val="single" w:sz="4" w:space="0" w:color="FFFFFF" w:themeColor="background2"/>
        </w:tcBorders>
        <w:shd w:val="clear" w:color="auto" w:fill="1B4379" w:themeFill="text2"/>
      </w:tcPr>
    </w:tblStylePr>
    <w:tblStylePr w:type="lastRow">
      <w:rPr>
        <w:rFonts w:asciiTheme="minorHAnsi" w:hAnsiTheme="minorHAnsi"/>
        <w:color w:val="000000" w:themeColor="text1"/>
        <w:sz w:val="22"/>
      </w:rPr>
      <w:tblPr/>
      <w:tcPr>
        <w:shd w:val="clear" w:color="auto" w:fill="CBE6F6" w:themeFill="accent2" w:themeFillTint="33"/>
      </w:tcPr>
    </w:tblStylePr>
    <w:tblStylePr w:type="band1Horz">
      <w:rPr>
        <w:rFonts w:asciiTheme="minorHAnsi" w:hAnsiTheme="minorHAnsi"/>
        <w:sz w:val="22"/>
      </w:rPr>
    </w:tblStylePr>
  </w:style>
  <w:style w:type="character" w:styleId="Hyperlink">
    <w:name w:val="Hyperlink"/>
    <w:basedOn w:val="DefaultParagraphFont"/>
    <w:uiPriority w:val="99"/>
    <w:unhideWhenUsed/>
    <w:rsid w:val="00087F08"/>
    <w:rPr>
      <w:color w:val="1B43FF"/>
      <w:u w:val="single"/>
    </w:rPr>
  </w:style>
  <w:style w:type="character" w:styleId="FollowedHyperlink">
    <w:name w:val="FollowedHyperlink"/>
    <w:basedOn w:val="DefaultParagraphFont"/>
    <w:uiPriority w:val="99"/>
    <w:semiHidden/>
    <w:unhideWhenUsed/>
    <w:rsid w:val="00B369E8"/>
    <w:rPr>
      <w:color w:val="D3C8B6" w:themeColor="accent5"/>
      <w:u w:val="single"/>
    </w:rPr>
  </w:style>
  <w:style w:type="paragraph" w:customStyle="1" w:styleId="Webaddress">
    <w:name w:val="Web address"/>
    <w:basedOn w:val="Normal"/>
    <w:qFormat/>
    <w:rsid w:val="00516632"/>
    <w:rPr>
      <w:b/>
      <w:color w:val="FFFFFF" w:themeColor="background1"/>
      <w:sz w:val="28"/>
      <w:szCs w:val="28"/>
    </w:rPr>
  </w:style>
  <w:style w:type="paragraph" w:customStyle="1" w:styleId="Largebulletlist">
    <w:name w:val="Large bullet list"/>
    <w:basedOn w:val="Bulletlist"/>
    <w:qFormat/>
    <w:rsid w:val="00F855C3"/>
    <w:rPr>
      <w:sz w:val="28"/>
      <w:szCs w:val="28"/>
      <w:lang w:eastAsia="ja-JP"/>
    </w:rPr>
  </w:style>
  <w:style w:type="paragraph" w:styleId="BalloonText">
    <w:name w:val="Balloon Text"/>
    <w:basedOn w:val="Normal"/>
    <w:link w:val="BalloonTextChar"/>
    <w:uiPriority w:val="99"/>
    <w:semiHidden/>
    <w:unhideWhenUsed/>
    <w:rsid w:val="000C6E39"/>
    <w:rPr>
      <w:rFonts w:ascii="Tahoma" w:hAnsi="Tahoma" w:cs="Tahoma"/>
      <w:sz w:val="16"/>
      <w:szCs w:val="16"/>
    </w:rPr>
  </w:style>
  <w:style w:type="character" w:customStyle="1" w:styleId="BalloonTextChar">
    <w:name w:val="Balloon Text Char"/>
    <w:basedOn w:val="DefaultParagraphFont"/>
    <w:link w:val="BalloonText"/>
    <w:uiPriority w:val="99"/>
    <w:semiHidden/>
    <w:rsid w:val="000C6E39"/>
    <w:rPr>
      <w:rFonts w:ascii="Tahoma" w:hAnsi="Tahoma" w:cs="Tahoma"/>
      <w:sz w:val="16"/>
      <w:szCs w:val="16"/>
    </w:rPr>
  </w:style>
  <w:style w:type="table" w:customStyle="1" w:styleId="GridTable1Light-Accent11">
    <w:name w:val="Grid Table 1 Light - Accent 11"/>
    <w:basedOn w:val="TableNormal"/>
    <w:uiPriority w:val="46"/>
    <w:rsid w:val="00D640EB"/>
    <w:tblPr>
      <w:tblStyleRowBandSize w:val="1"/>
      <w:tblStyleColBandSize w:val="1"/>
      <w:tblBorders>
        <w:top w:val="single" w:sz="4" w:space="0" w:color="88AFE4" w:themeColor="accent1" w:themeTint="66"/>
        <w:left w:val="single" w:sz="4" w:space="0" w:color="88AFE4" w:themeColor="accent1" w:themeTint="66"/>
        <w:bottom w:val="single" w:sz="4" w:space="0" w:color="88AFE4" w:themeColor="accent1" w:themeTint="66"/>
        <w:right w:val="single" w:sz="4" w:space="0" w:color="88AFE4" w:themeColor="accent1" w:themeTint="66"/>
        <w:insideH w:val="single" w:sz="4" w:space="0" w:color="88AFE4" w:themeColor="accent1" w:themeTint="66"/>
        <w:insideV w:val="single" w:sz="4" w:space="0" w:color="88AFE4" w:themeColor="accent1" w:themeTint="66"/>
      </w:tblBorders>
    </w:tblPr>
    <w:tblStylePr w:type="firstRow">
      <w:rPr>
        <w:b/>
        <w:bCs/>
      </w:rPr>
      <w:tblPr/>
      <w:tcPr>
        <w:tcBorders>
          <w:bottom w:val="single" w:sz="12" w:space="0" w:color="4D87D7" w:themeColor="accent1" w:themeTint="99"/>
        </w:tcBorders>
      </w:tcPr>
    </w:tblStylePr>
    <w:tblStylePr w:type="lastRow">
      <w:rPr>
        <w:b/>
        <w:bCs/>
      </w:rPr>
      <w:tblPr/>
      <w:tcPr>
        <w:tcBorders>
          <w:top w:val="double" w:sz="2" w:space="0" w:color="4D87D7" w:themeColor="accen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D640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3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3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3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379" w:themeFill="accent1"/>
      </w:tcPr>
    </w:tblStylePr>
    <w:tblStylePr w:type="band1Vert">
      <w:tblPr/>
      <w:tcPr>
        <w:shd w:val="clear" w:color="auto" w:fill="88AFE4" w:themeFill="accent1" w:themeFillTint="66"/>
      </w:tcPr>
    </w:tblStylePr>
    <w:tblStylePr w:type="band1Horz">
      <w:tblPr/>
      <w:tcPr>
        <w:shd w:val="clear" w:color="auto" w:fill="88AFE4" w:themeFill="accent1" w:themeFillTint="66"/>
      </w:tcPr>
    </w:tblStylePr>
  </w:style>
  <w:style w:type="table" w:customStyle="1" w:styleId="GridTable2-Accent11">
    <w:name w:val="Grid Table 2 - Accent 11"/>
    <w:basedOn w:val="TableNormal"/>
    <w:uiPriority w:val="47"/>
    <w:rsid w:val="00D640EB"/>
    <w:tblPr>
      <w:tblStyleRowBandSize w:val="1"/>
      <w:tblStyleColBandSize w:val="1"/>
      <w:tblBorders>
        <w:top w:val="single" w:sz="2" w:space="0" w:color="4D87D7" w:themeColor="accent1" w:themeTint="99"/>
        <w:bottom w:val="single" w:sz="2" w:space="0" w:color="4D87D7" w:themeColor="accent1" w:themeTint="99"/>
        <w:insideH w:val="single" w:sz="2" w:space="0" w:color="4D87D7" w:themeColor="accent1" w:themeTint="99"/>
        <w:insideV w:val="single" w:sz="2" w:space="0" w:color="4D87D7" w:themeColor="accent1" w:themeTint="99"/>
      </w:tblBorders>
    </w:tblPr>
    <w:tblStylePr w:type="firstRow">
      <w:rPr>
        <w:b/>
        <w:bCs/>
      </w:rPr>
      <w:tblPr/>
      <w:tcPr>
        <w:tcBorders>
          <w:top w:val="nil"/>
          <w:bottom w:val="single" w:sz="12" w:space="0" w:color="4D87D7" w:themeColor="accent1" w:themeTint="99"/>
          <w:insideH w:val="nil"/>
          <w:insideV w:val="nil"/>
        </w:tcBorders>
        <w:shd w:val="clear" w:color="auto" w:fill="FFFFFF" w:themeFill="background1"/>
      </w:tcPr>
    </w:tblStylePr>
    <w:tblStylePr w:type="lastRow">
      <w:rPr>
        <w:b/>
        <w:bCs/>
      </w:rPr>
      <w:tblPr/>
      <w:tcPr>
        <w:tcBorders>
          <w:top w:val="double" w:sz="2" w:space="0" w:color="4D87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7F1" w:themeFill="accent1" w:themeFillTint="33"/>
      </w:tcPr>
    </w:tblStylePr>
    <w:tblStylePr w:type="band1Horz">
      <w:tblPr/>
      <w:tcPr>
        <w:shd w:val="clear" w:color="auto" w:fill="C3D7F1" w:themeFill="accent1" w:themeFillTint="33"/>
      </w:tcPr>
    </w:tblStylePr>
  </w:style>
  <w:style w:type="table" w:customStyle="1" w:styleId="GridTable4-Accent21">
    <w:name w:val="Grid Table 4 - Accent 21"/>
    <w:basedOn w:val="TableNormal"/>
    <w:uiPriority w:val="49"/>
    <w:rsid w:val="00D640EB"/>
    <w:tblPr>
      <w:tblStyleRowBandSize w:val="1"/>
      <w:tblStyleColBandSize w:val="1"/>
      <w:tblBorders>
        <w:top w:val="single" w:sz="4" w:space="0" w:color="66B6E6" w:themeColor="accent2" w:themeTint="99"/>
        <w:left w:val="single" w:sz="4" w:space="0" w:color="66B6E6" w:themeColor="accent2" w:themeTint="99"/>
        <w:bottom w:val="single" w:sz="4" w:space="0" w:color="66B6E6" w:themeColor="accent2" w:themeTint="99"/>
        <w:right w:val="single" w:sz="4" w:space="0" w:color="66B6E6" w:themeColor="accent2" w:themeTint="99"/>
        <w:insideH w:val="single" w:sz="4" w:space="0" w:color="66B6E6" w:themeColor="accent2" w:themeTint="99"/>
        <w:insideV w:val="single" w:sz="4" w:space="0" w:color="66B6E6" w:themeColor="accent2" w:themeTint="99"/>
      </w:tblBorders>
    </w:tblPr>
    <w:tblStylePr w:type="firstRow">
      <w:rPr>
        <w:b/>
        <w:bCs/>
        <w:color w:val="FFFFFF" w:themeColor="background1"/>
      </w:rPr>
      <w:tblPr/>
      <w:tcPr>
        <w:tcBorders>
          <w:top w:val="single" w:sz="4" w:space="0" w:color="1E7FB8" w:themeColor="accent2"/>
          <w:left w:val="single" w:sz="4" w:space="0" w:color="1E7FB8" w:themeColor="accent2"/>
          <w:bottom w:val="single" w:sz="4" w:space="0" w:color="1E7FB8" w:themeColor="accent2"/>
          <w:right w:val="single" w:sz="4" w:space="0" w:color="1E7FB8" w:themeColor="accent2"/>
          <w:insideH w:val="nil"/>
          <w:insideV w:val="nil"/>
        </w:tcBorders>
        <w:shd w:val="clear" w:color="auto" w:fill="1E7FB8" w:themeFill="accent2"/>
      </w:tcPr>
    </w:tblStylePr>
    <w:tblStylePr w:type="lastRow">
      <w:rPr>
        <w:b/>
        <w:bCs/>
      </w:rPr>
      <w:tblPr/>
      <w:tcPr>
        <w:tcBorders>
          <w:top w:val="double" w:sz="4" w:space="0" w:color="1E7FB8" w:themeColor="accent2"/>
        </w:tcBorders>
      </w:tcPr>
    </w:tblStylePr>
    <w:tblStylePr w:type="firstCol">
      <w:rPr>
        <w:b/>
        <w:bCs/>
      </w:rPr>
    </w:tblStylePr>
    <w:tblStylePr w:type="lastCol">
      <w:rPr>
        <w:b/>
        <w:bCs/>
      </w:rPr>
    </w:tblStylePr>
    <w:tblStylePr w:type="band1Vert">
      <w:tblPr/>
      <w:tcPr>
        <w:shd w:val="clear" w:color="auto" w:fill="CBE6F6" w:themeFill="accent2" w:themeFillTint="33"/>
      </w:tcPr>
    </w:tblStylePr>
    <w:tblStylePr w:type="band1Horz">
      <w:tblPr/>
      <w:tcPr>
        <w:shd w:val="clear" w:color="auto" w:fill="CBE6F6" w:themeFill="accent2" w:themeFillTint="33"/>
      </w:tcPr>
    </w:tblStylePr>
  </w:style>
  <w:style w:type="table" w:customStyle="1" w:styleId="GridTable4-Accent11">
    <w:name w:val="Grid Table 4 - Accent 11"/>
    <w:basedOn w:val="TableNormal"/>
    <w:uiPriority w:val="49"/>
    <w:rsid w:val="00D640EB"/>
    <w:tblPr>
      <w:tblStyleRowBandSize w:val="1"/>
      <w:tblStyleColBandSize w:val="1"/>
      <w:tblBorders>
        <w:top w:val="single" w:sz="4" w:space="0" w:color="4D87D7" w:themeColor="accent1" w:themeTint="99"/>
        <w:left w:val="single" w:sz="4" w:space="0" w:color="4D87D7" w:themeColor="accent1" w:themeTint="99"/>
        <w:bottom w:val="single" w:sz="4" w:space="0" w:color="4D87D7" w:themeColor="accent1" w:themeTint="99"/>
        <w:right w:val="single" w:sz="4" w:space="0" w:color="4D87D7" w:themeColor="accent1" w:themeTint="99"/>
        <w:insideH w:val="single" w:sz="4" w:space="0" w:color="4D87D7" w:themeColor="accent1" w:themeTint="99"/>
        <w:insideV w:val="single" w:sz="4" w:space="0" w:color="4D87D7" w:themeColor="accent1" w:themeTint="99"/>
      </w:tblBorders>
    </w:tblPr>
    <w:tblStylePr w:type="firstRow">
      <w:rPr>
        <w:b/>
        <w:bCs/>
        <w:color w:val="FFFFFF" w:themeColor="background1"/>
      </w:rPr>
      <w:tblPr/>
      <w:tcPr>
        <w:tcBorders>
          <w:top w:val="single" w:sz="4" w:space="0" w:color="1B4379" w:themeColor="accent1"/>
          <w:left w:val="single" w:sz="4" w:space="0" w:color="1B4379" w:themeColor="accent1"/>
          <w:bottom w:val="single" w:sz="4" w:space="0" w:color="1B4379" w:themeColor="accent1"/>
          <w:right w:val="single" w:sz="4" w:space="0" w:color="1B4379" w:themeColor="accent1"/>
          <w:insideH w:val="nil"/>
          <w:insideV w:val="nil"/>
        </w:tcBorders>
        <w:shd w:val="clear" w:color="auto" w:fill="1B4379" w:themeFill="accent1"/>
      </w:tcPr>
    </w:tblStylePr>
    <w:tblStylePr w:type="lastRow">
      <w:rPr>
        <w:b/>
        <w:bCs/>
      </w:rPr>
      <w:tblPr/>
      <w:tcPr>
        <w:tcBorders>
          <w:top w:val="double" w:sz="4" w:space="0" w:color="1B4379" w:themeColor="accent1"/>
        </w:tcBorders>
      </w:tcPr>
    </w:tblStylePr>
    <w:tblStylePr w:type="firstCol">
      <w:rPr>
        <w:b/>
        <w:bCs/>
      </w:rPr>
    </w:tblStylePr>
    <w:tblStylePr w:type="lastCol">
      <w:rPr>
        <w:b/>
        <w:bCs/>
      </w:rPr>
    </w:tblStylePr>
    <w:tblStylePr w:type="band1Vert">
      <w:tblPr/>
      <w:tcPr>
        <w:shd w:val="clear" w:color="auto" w:fill="C3D7F1" w:themeFill="accent1" w:themeFillTint="33"/>
      </w:tcPr>
    </w:tblStylePr>
    <w:tblStylePr w:type="band1Horz">
      <w:tblPr/>
      <w:tcPr>
        <w:shd w:val="clear" w:color="auto" w:fill="C3D7F1" w:themeFill="accent1" w:themeFillTint="33"/>
      </w:tcPr>
    </w:tblStylePr>
  </w:style>
  <w:style w:type="character" w:customStyle="1" w:styleId="UnresolvedMention1">
    <w:name w:val="Unresolved Mention1"/>
    <w:basedOn w:val="DefaultParagraphFont"/>
    <w:uiPriority w:val="99"/>
    <w:semiHidden/>
    <w:unhideWhenUsed/>
    <w:rsid w:val="004D59BB"/>
    <w:rPr>
      <w:color w:val="808080"/>
      <w:shd w:val="clear" w:color="auto" w:fill="E6E6E6"/>
    </w:rPr>
  </w:style>
  <w:style w:type="character" w:styleId="CommentReference">
    <w:name w:val="annotation reference"/>
    <w:basedOn w:val="DefaultParagraphFont"/>
    <w:uiPriority w:val="99"/>
    <w:semiHidden/>
    <w:unhideWhenUsed/>
    <w:rsid w:val="002A673D"/>
    <w:rPr>
      <w:sz w:val="16"/>
      <w:szCs w:val="16"/>
    </w:rPr>
  </w:style>
  <w:style w:type="paragraph" w:styleId="CommentText">
    <w:name w:val="annotation text"/>
    <w:basedOn w:val="Normal"/>
    <w:link w:val="CommentTextChar"/>
    <w:uiPriority w:val="99"/>
    <w:semiHidden/>
    <w:unhideWhenUsed/>
    <w:rsid w:val="002A673D"/>
    <w:rPr>
      <w:sz w:val="20"/>
    </w:rPr>
  </w:style>
  <w:style w:type="character" w:customStyle="1" w:styleId="CommentTextChar">
    <w:name w:val="Comment Text Char"/>
    <w:basedOn w:val="DefaultParagraphFont"/>
    <w:link w:val="CommentText"/>
    <w:uiPriority w:val="99"/>
    <w:semiHidden/>
    <w:rsid w:val="002A673D"/>
    <w:rPr>
      <w:sz w:val="20"/>
      <w:szCs w:val="20"/>
    </w:rPr>
  </w:style>
  <w:style w:type="paragraph" w:styleId="CommentSubject">
    <w:name w:val="annotation subject"/>
    <w:basedOn w:val="CommentText"/>
    <w:next w:val="CommentText"/>
    <w:link w:val="CommentSubjectChar"/>
    <w:uiPriority w:val="99"/>
    <w:semiHidden/>
    <w:unhideWhenUsed/>
    <w:rsid w:val="002A673D"/>
    <w:rPr>
      <w:b/>
      <w:bCs/>
    </w:rPr>
  </w:style>
  <w:style w:type="character" w:customStyle="1" w:styleId="CommentSubjectChar">
    <w:name w:val="Comment Subject Char"/>
    <w:basedOn w:val="CommentTextChar"/>
    <w:link w:val="CommentSubject"/>
    <w:uiPriority w:val="99"/>
    <w:semiHidden/>
    <w:rsid w:val="002A673D"/>
    <w:rPr>
      <w:b/>
      <w:bCs/>
      <w:sz w:val="20"/>
      <w:szCs w:val="20"/>
    </w:rPr>
  </w:style>
  <w:style w:type="character" w:customStyle="1" w:styleId="UnresolvedMention2">
    <w:name w:val="Unresolved Mention2"/>
    <w:basedOn w:val="DefaultParagraphFont"/>
    <w:uiPriority w:val="99"/>
    <w:semiHidden/>
    <w:unhideWhenUsed/>
    <w:rsid w:val="00362328"/>
    <w:rPr>
      <w:color w:val="808080"/>
      <w:shd w:val="clear" w:color="auto" w:fill="E6E6E6"/>
    </w:rPr>
  </w:style>
  <w:style w:type="table" w:customStyle="1" w:styleId="LightShading-Accent11">
    <w:name w:val="Light Shading - Accent 11"/>
    <w:basedOn w:val="TableNormal"/>
    <w:uiPriority w:val="60"/>
    <w:rsid w:val="006D7F8A"/>
    <w:rPr>
      <w:color w:val="14315A" w:themeColor="accent1" w:themeShade="BF"/>
      <w:lang w:val="en-US" w:eastAsia="en-US"/>
    </w:rPr>
    <w:tblPr>
      <w:tblStyleRowBandSize w:val="1"/>
      <w:tblStyleColBandSize w:val="1"/>
      <w:tblInd w:w="0" w:type="nil"/>
      <w:tblBorders>
        <w:top w:val="single" w:sz="8" w:space="0" w:color="1B4379" w:themeColor="accent1"/>
        <w:bottom w:val="single" w:sz="8" w:space="0" w:color="1B4379" w:themeColor="accent1"/>
      </w:tblBorders>
    </w:tblPr>
    <w:tblStylePr w:type="firstRow">
      <w:pPr>
        <w:spacing w:beforeLines="0" w:before="0" w:beforeAutospacing="0" w:afterLines="0" w:after="0" w:afterAutospacing="0" w:line="240" w:lineRule="auto"/>
      </w:pPr>
      <w:rPr>
        <w:b/>
        <w:bCs/>
      </w:rPr>
      <w:tblPr/>
      <w:tcPr>
        <w:tcBorders>
          <w:top w:val="single" w:sz="8" w:space="0" w:color="1B4379" w:themeColor="accent1"/>
          <w:left w:val="nil"/>
          <w:bottom w:val="single" w:sz="8" w:space="0" w:color="1B4379"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B4379" w:themeColor="accent1"/>
          <w:left w:val="nil"/>
          <w:bottom w:val="single" w:sz="8" w:space="0" w:color="1B43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CDEE" w:themeFill="accent1" w:themeFillTint="3F"/>
      </w:tcPr>
    </w:tblStylePr>
    <w:tblStylePr w:type="band1Horz">
      <w:tblPr/>
      <w:tcPr>
        <w:tcBorders>
          <w:left w:val="nil"/>
          <w:right w:val="nil"/>
          <w:insideH w:val="nil"/>
          <w:insideV w:val="nil"/>
        </w:tcBorders>
        <w:shd w:val="clear" w:color="auto" w:fill="B5CDEE" w:themeFill="accent1" w:themeFillTint="3F"/>
      </w:tcPr>
    </w:tblStylePr>
  </w:style>
  <w:style w:type="paragraph" w:styleId="NoSpacing">
    <w:name w:val="No Spacing"/>
    <w:uiPriority w:val="1"/>
    <w:qFormat/>
    <w:rsid w:val="007818C9"/>
    <w:rPr>
      <w:rFonts w:eastAsiaTheme="minorHAnsi"/>
      <w:sz w:val="22"/>
      <w:szCs w:val="22"/>
      <w:lang w:val="en-US" w:eastAsia="en-US"/>
    </w:rPr>
  </w:style>
  <w:style w:type="table" w:customStyle="1" w:styleId="TableGrid1">
    <w:name w:val="Table Grid1"/>
    <w:basedOn w:val="TableNormal"/>
    <w:next w:val="TableGrid"/>
    <w:uiPriority w:val="59"/>
    <w:rsid w:val="007818C9"/>
    <w:rPr>
      <w:rFonts w:ascii="Calibri" w:eastAsia="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7EC"/>
    <w:rPr>
      <w:rFonts w:ascii="Times New Roman" w:hAnsi="Times New Roman" w:cs="Times New Roman"/>
      <w:sz w:val="24"/>
      <w:szCs w:val="24"/>
    </w:rPr>
  </w:style>
  <w:style w:type="paragraph" w:styleId="Index1">
    <w:name w:val="index 1"/>
    <w:basedOn w:val="Normal"/>
    <w:next w:val="Normal"/>
    <w:autoRedefine/>
    <w:uiPriority w:val="99"/>
    <w:unhideWhenUsed/>
    <w:rsid w:val="00654B27"/>
    <w:pPr>
      <w:spacing w:before="0" w:after="0"/>
      <w:ind w:left="220" w:hanging="220"/>
    </w:pPr>
    <w:rPr>
      <w:rFonts w:asciiTheme="minorHAnsi" w:hAnsiTheme="minorHAnsi" w:cstheme="minorHAnsi"/>
      <w:sz w:val="20"/>
    </w:rPr>
  </w:style>
  <w:style w:type="paragraph" w:styleId="Index2">
    <w:name w:val="index 2"/>
    <w:basedOn w:val="Normal"/>
    <w:next w:val="Normal"/>
    <w:autoRedefine/>
    <w:uiPriority w:val="99"/>
    <w:unhideWhenUsed/>
    <w:rsid w:val="00654B27"/>
    <w:pPr>
      <w:spacing w:before="0" w:after="0"/>
      <w:ind w:left="440" w:hanging="220"/>
    </w:pPr>
    <w:rPr>
      <w:rFonts w:asciiTheme="minorHAnsi" w:hAnsiTheme="minorHAnsi" w:cstheme="minorHAnsi"/>
      <w:sz w:val="20"/>
    </w:rPr>
  </w:style>
  <w:style w:type="paragraph" w:styleId="Index3">
    <w:name w:val="index 3"/>
    <w:basedOn w:val="Normal"/>
    <w:next w:val="Normal"/>
    <w:autoRedefine/>
    <w:uiPriority w:val="99"/>
    <w:unhideWhenUsed/>
    <w:rsid w:val="00654B27"/>
    <w:pPr>
      <w:spacing w:before="0" w:after="0"/>
      <w:ind w:left="660" w:hanging="220"/>
    </w:pPr>
    <w:rPr>
      <w:rFonts w:asciiTheme="minorHAnsi" w:hAnsiTheme="minorHAnsi" w:cstheme="minorHAnsi"/>
      <w:sz w:val="20"/>
    </w:rPr>
  </w:style>
  <w:style w:type="paragraph" w:styleId="Index4">
    <w:name w:val="index 4"/>
    <w:basedOn w:val="Normal"/>
    <w:next w:val="Normal"/>
    <w:autoRedefine/>
    <w:uiPriority w:val="99"/>
    <w:unhideWhenUsed/>
    <w:rsid w:val="00654B27"/>
    <w:pPr>
      <w:spacing w:before="0" w:after="0"/>
      <w:ind w:left="880" w:hanging="220"/>
    </w:pPr>
    <w:rPr>
      <w:rFonts w:asciiTheme="minorHAnsi" w:hAnsiTheme="minorHAnsi" w:cstheme="minorHAnsi"/>
      <w:sz w:val="20"/>
    </w:rPr>
  </w:style>
  <w:style w:type="paragraph" w:styleId="Index5">
    <w:name w:val="index 5"/>
    <w:basedOn w:val="Normal"/>
    <w:next w:val="Normal"/>
    <w:autoRedefine/>
    <w:uiPriority w:val="99"/>
    <w:unhideWhenUsed/>
    <w:rsid w:val="00654B27"/>
    <w:pPr>
      <w:spacing w:before="0" w:after="0"/>
      <w:ind w:left="1100" w:hanging="220"/>
    </w:pPr>
    <w:rPr>
      <w:rFonts w:asciiTheme="minorHAnsi" w:hAnsiTheme="minorHAnsi" w:cstheme="minorHAnsi"/>
      <w:sz w:val="20"/>
    </w:rPr>
  </w:style>
  <w:style w:type="paragraph" w:styleId="Index6">
    <w:name w:val="index 6"/>
    <w:basedOn w:val="Normal"/>
    <w:next w:val="Normal"/>
    <w:autoRedefine/>
    <w:uiPriority w:val="99"/>
    <w:unhideWhenUsed/>
    <w:rsid w:val="00654B27"/>
    <w:pPr>
      <w:spacing w:before="0" w:after="0"/>
      <w:ind w:left="1320" w:hanging="220"/>
    </w:pPr>
    <w:rPr>
      <w:rFonts w:asciiTheme="minorHAnsi" w:hAnsiTheme="minorHAnsi" w:cstheme="minorHAnsi"/>
      <w:sz w:val="20"/>
    </w:rPr>
  </w:style>
  <w:style w:type="paragraph" w:styleId="Index7">
    <w:name w:val="index 7"/>
    <w:basedOn w:val="Normal"/>
    <w:next w:val="Normal"/>
    <w:autoRedefine/>
    <w:uiPriority w:val="99"/>
    <w:unhideWhenUsed/>
    <w:rsid w:val="00654B27"/>
    <w:pPr>
      <w:spacing w:before="0" w:after="0"/>
      <w:ind w:left="1540" w:hanging="220"/>
    </w:pPr>
    <w:rPr>
      <w:rFonts w:asciiTheme="minorHAnsi" w:hAnsiTheme="minorHAnsi" w:cstheme="minorHAnsi"/>
      <w:sz w:val="20"/>
    </w:rPr>
  </w:style>
  <w:style w:type="paragraph" w:styleId="Index8">
    <w:name w:val="index 8"/>
    <w:basedOn w:val="Normal"/>
    <w:next w:val="Normal"/>
    <w:autoRedefine/>
    <w:uiPriority w:val="99"/>
    <w:unhideWhenUsed/>
    <w:rsid w:val="00654B27"/>
    <w:pPr>
      <w:spacing w:before="0" w:after="0"/>
      <w:ind w:left="1760" w:hanging="220"/>
    </w:pPr>
    <w:rPr>
      <w:rFonts w:asciiTheme="minorHAnsi" w:hAnsiTheme="minorHAnsi" w:cstheme="minorHAnsi"/>
      <w:sz w:val="20"/>
    </w:rPr>
  </w:style>
  <w:style w:type="paragraph" w:styleId="Index9">
    <w:name w:val="index 9"/>
    <w:basedOn w:val="Normal"/>
    <w:next w:val="Normal"/>
    <w:autoRedefine/>
    <w:uiPriority w:val="99"/>
    <w:unhideWhenUsed/>
    <w:rsid w:val="00654B27"/>
    <w:pPr>
      <w:spacing w:before="0" w:after="0"/>
      <w:ind w:left="1980" w:hanging="220"/>
    </w:pPr>
    <w:rPr>
      <w:rFonts w:asciiTheme="minorHAnsi" w:hAnsiTheme="minorHAnsi" w:cstheme="minorHAnsi"/>
      <w:sz w:val="20"/>
    </w:rPr>
  </w:style>
  <w:style w:type="paragraph" w:styleId="IndexHeading">
    <w:name w:val="index heading"/>
    <w:basedOn w:val="Normal"/>
    <w:next w:val="Index1"/>
    <w:uiPriority w:val="99"/>
    <w:unhideWhenUsed/>
    <w:rsid w:val="00654B27"/>
    <w:rPr>
      <w:rFonts w:asciiTheme="minorHAnsi" w:hAnsiTheme="minorHAnsi" w:cstheme="minorHAnsi"/>
      <w:b/>
      <w:bCs/>
      <w:i/>
      <w:iCs/>
      <w:sz w:val="20"/>
    </w:rPr>
  </w:style>
  <w:style w:type="paragraph" w:styleId="TOC1">
    <w:name w:val="toc 1"/>
    <w:basedOn w:val="Normal"/>
    <w:next w:val="Normal"/>
    <w:autoRedefine/>
    <w:uiPriority w:val="39"/>
    <w:unhideWhenUsed/>
    <w:rsid w:val="00654B27"/>
    <w:rPr>
      <w:rFonts w:asciiTheme="minorHAnsi" w:hAnsiTheme="minorHAnsi" w:cstheme="minorHAnsi"/>
      <w:b/>
      <w:bCs/>
      <w:caps/>
      <w:sz w:val="20"/>
    </w:rPr>
  </w:style>
  <w:style w:type="paragraph" w:styleId="TOC2">
    <w:name w:val="toc 2"/>
    <w:basedOn w:val="Normal"/>
    <w:next w:val="Normal"/>
    <w:autoRedefine/>
    <w:uiPriority w:val="39"/>
    <w:unhideWhenUsed/>
    <w:rsid w:val="00654B27"/>
    <w:pPr>
      <w:spacing w:before="0" w:after="0"/>
      <w:ind w:left="220"/>
    </w:pPr>
    <w:rPr>
      <w:rFonts w:asciiTheme="minorHAnsi" w:hAnsiTheme="minorHAnsi" w:cstheme="minorHAnsi"/>
      <w:smallCaps/>
      <w:sz w:val="20"/>
    </w:rPr>
  </w:style>
  <w:style w:type="paragraph" w:styleId="TOC3">
    <w:name w:val="toc 3"/>
    <w:basedOn w:val="Normal"/>
    <w:next w:val="Normal"/>
    <w:autoRedefine/>
    <w:uiPriority w:val="39"/>
    <w:unhideWhenUsed/>
    <w:rsid w:val="00654B27"/>
    <w:pPr>
      <w:spacing w:before="0" w:after="0"/>
      <w:ind w:left="440"/>
    </w:pPr>
    <w:rPr>
      <w:rFonts w:asciiTheme="minorHAnsi" w:hAnsiTheme="minorHAnsi" w:cstheme="minorHAnsi"/>
      <w:i/>
      <w:iCs/>
      <w:sz w:val="20"/>
    </w:rPr>
  </w:style>
  <w:style w:type="paragraph" w:styleId="TOC4">
    <w:name w:val="toc 4"/>
    <w:basedOn w:val="Normal"/>
    <w:next w:val="Normal"/>
    <w:autoRedefine/>
    <w:uiPriority w:val="39"/>
    <w:unhideWhenUsed/>
    <w:rsid w:val="00654B27"/>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654B27"/>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654B27"/>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654B27"/>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654B27"/>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654B27"/>
    <w:pPr>
      <w:spacing w:before="0" w:after="0"/>
      <w:ind w:left="176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A96362"/>
    <w:rPr>
      <w:color w:val="605E5C"/>
      <w:shd w:val="clear" w:color="auto" w:fill="E1DFDD"/>
    </w:rPr>
  </w:style>
  <w:style w:type="paragraph" w:customStyle="1" w:styleId="font8">
    <w:name w:val="font_8"/>
    <w:basedOn w:val="Normal"/>
    <w:rsid w:val="00001B7F"/>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DC5F36"/>
    <w:pPr>
      <w:spacing w:before="100" w:beforeAutospacing="1" w:after="100" w:afterAutospacing="1"/>
    </w:pPr>
    <w:rPr>
      <w:rFonts w:ascii="Times New Roman" w:eastAsia="Calibri" w:hAnsi="Times New Roman" w:cs="Times New Roman"/>
      <w:sz w:val="24"/>
      <w:szCs w:val="24"/>
      <w:lang w:val="en-US" w:eastAsia="en-US"/>
    </w:rPr>
  </w:style>
  <w:style w:type="character" w:customStyle="1" w:styleId="markbwi4nleou">
    <w:name w:val="markbwi4nleou"/>
    <w:rsid w:val="000B5B67"/>
  </w:style>
  <w:style w:type="character" w:customStyle="1" w:styleId="highlight">
    <w:name w:val="highlight"/>
    <w:basedOn w:val="DefaultParagraphFont"/>
    <w:rsid w:val="00E0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089">
      <w:bodyDiv w:val="1"/>
      <w:marLeft w:val="0"/>
      <w:marRight w:val="0"/>
      <w:marTop w:val="0"/>
      <w:marBottom w:val="0"/>
      <w:divBdr>
        <w:top w:val="none" w:sz="0" w:space="0" w:color="auto"/>
        <w:left w:val="none" w:sz="0" w:space="0" w:color="auto"/>
        <w:bottom w:val="none" w:sz="0" w:space="0" w:color="auto"/>
        <w:right w:val="none" w:sz="0" w:space="0" w:color="auto"/>
      </w:divBdr>
    </w:div>
    <w:div w:id="24402950">
      <w:bodyDiv w:val="1"/>
      <w:marLeft w:val="0"/>
      <w:marRight w:val="0"/>
      <w:marTop w:val="0"/>
      <w:marBottom w:val="0"/>
      <w:divBdr>
        <w:top w:val="none" w:sz="0" w:space="0" w:color="auto"/>
        <w:left w:val="none" w:sz="0" w:space="0" w:color="auto"/>
        <w:bottom w:val="none" w:sz="0" w:space="0" w:color="auto"/>
        <w:right w:val="none" w:sz="0" w:space="0" w:color="auto"/>
      </w:divBdr>
      <w:divsChild>
        <w:div w:id="857162667">
          <w:marLeft w:val="0"/>
          <w:marRight w:val="0"/>
          <w:marTop w:val="0"/>
          <w:marBottom w:val="240"/>
          <w:divBdr>
            <w:top w:val="none" w:sz="0" w:space="0" w:color="auto"/>
            <w:left w:val="none" w:sz="0" w:space="0" w:color="auto"/>
            <w:bottom w:val="none" w:sz="0" w:space="0" w:color="auto"/>
            <w:right w:val="none" w:sz="0" w:space="0" w:color="auto"/>
          </w:divBdr>
        </w:div>
      </w:divsChild>
    </w:div>
    <w:div w:id="127164254">
      <w:bodyDiv w:val="1"/>
      <w:marLeft w:val="0"/>
      <w:marRight w:val="0"/>
      <w:marTop w:val="0"/>
      <w:marBottom w:val="0"/>
      <w:divBdr>
        <w:top w:val="none" w:sz="0" w:space="0" w:color="auto"/>
        <w:left w:val="none" w:sz="0" w:space="0" w:color="auto"/>
        <w:bottom w:val="none" w:sz="0" w:space="0" w:color="auto"/>
        <w:right w:val="none" w:sz="0" w:space="0" w:color="auto"/>
      </w:divBdr>
    </w:div>
    <w:div w:id="151676167">
      <w:bodyDiv w:val="1"/>
      <w:marLeft w:val="0"/>
      <w:marRight w:val="0"/>
      <w:marTop w:val="0"/>
      <w:marBottom w:val="0"/>
      <w:divBdr>
        <w:top w:val="none" w:sz="0" w:space="0" w:color="auto"/>
        <w:left w:val="none" w:sz="0" w:space="0" w:color="auto"/>
        <w:bottom w:val="none" w:sz="0" w:space="0" w:color="auto"/>
        <w:right w:val="none" w:sz="0" w:space="0" w:color="auto"/>
      </w:divBdr>
    </w:div>
    <w:div w:id="169032871">
      <w:bodyDiv w:val="1"/>
      <w:marLeft w:val="0"/>
      <w:marRight w:val="0"/>
      <w:marTop w:val="0"/>
      <w:marBottom w:val="0"/>
      <w:divBdr>
        <w:top w:val="none" w:sz="0" w:space="0" w:color="auto"/>
        <w:left w:val="none" w:sz="0" w:space="0" w:color="auto"/>
        <w:bottom w:val="none" w:sz="0" w:space="0" w:color="auto"/>
        <w:right w:val="none" w:sz="0" w:space="0" w:color="auto"/>
      </w:divBdr>
    </w:div>
    <w:div w:id="182088105">
      <w:bodyDiv w:val="1"/>
      <w:marLeft w:val="0"/>
      <w:marRight w:val="0"/>
      <w:marTop w:val="0"/>
      <w:marBottom w:val="0"/>
      <w:divBdr>
        <w:top w:val="none" w:sz="0" w:space="0" w:color="auto"/>
        <w:left w:val="none" w:sz="0" w:space="0" w:color="auto"/>
        <w:bottom w:val="none" w:sz="0" w:space="0" w:color="auto"/>
        <w:right w:val="none" w:sz="0" w:space="0" w:color="auto"/>
      </w:divBdr>
      <w:divsChild>
        <w:div w:id="868370418">
          <w:marLeft w:val="547"/>
          <w:marRight w:val="0"/>
          <w:marTop w:val="150"/>
          <w:marBottom w:val="0"/>
          <w:divBdr>
            <w:top w:val="none" w:sz="0" w:space="0" w:color="auto"/>
            <w:left w:val="none" w:sz="0" w:space="0" w:color="auto"/>
            <w:bottom w:val="none" w:sz="0" w:space="0" w:color="auto"/>
            <w:right w:val="none" w:sz="0" w:space="0" w:color="auto"/>
          </w:divBdr>
        </w:div>
        <w:div w:id="981889168">
          <w:marLeft w:val="547"/>
          <w:marRight w:val="0"/>
          <w:marTop w:val="150"/>
          <w:marBottom w:val="0"/>
          <w:divBdr>
            <w:top w:val="none" w:sz="0" w:space="0" w:color="auto"/>
            <w:left w:val="none" w:sz="0" w:space="0" w:color="auto"/>
            <w:bottom w:val="none" w:sz="0" w:space="0" w:color="auto"/>
            <w:right w:val="none" w:sz="0" w:space="0" w:color="auto"/>
          </w:divBdr>
        </w:div>
        <w:div w:id="2032222296">
          <w:marLeft w:val="547"/>
          <w:marRight w:val="0"/>
          <w:marTop w:val="150"/>
          <w:marBottom w:val="0"/>
          <w:divBdr>
            <w:top w:val="none" w:sz="0" w:space="0" w:color="auto"/>
            <w:left w:val="none" w:sz="0" w:space="0" w:color="auto"/>
            <w:bottom w:val="none" w:sz="0" w:space="0" w:color="auto"/>
            <w:right w:val="none" w:sz="0" w:space="0" w:color="auto"/>
          </w:divBdr>
        </w:div>
      </w:divsChild>
    </w:div>
    <w:div w:id="203561891">
      <w:bodyDiv w:val="1"/>
      <w:marLeft w:val="0"/>
      <w:marRight w:val="0"/>
      <w:marTop w:val="0"/>
      <w:marBottom w:val="0"/>
      <w:divBdr>
        <w:top w:val="none" w:sz="0" w:space="0" w:color="auto"/>
        <w:left w:val="none" w:sz="0" w:space="0" w:color="auto"/>
        <w:bottom w:val="none" w:sz="0" w:space="0" w:color="auto"/>
        <w:right w:val="none" w:sz="0" w:space="0" w:color="auto"/>
      </w:divBdr>
    </w:div>
    <w:div w:id="248587602">
      <w:bodyDiv w:val="1"/>
      <w:marLeft w:val="0"/>
      <w:marRight w:val="0"/>
      <w:marTop w:val="0"/>
      <w:marBottom w:val="0"/>
      <w:divBdr>
        <w:top w:val="none" w:sz="0" w:space="0" w:color="auto"/>
        <w:left w:val="none" w:sz="0" w:space="0" w:color="auto"/>
        <w:bottom w:val="none" w:sz="0" w:space="0" w:color="auto"/>
        <w:right w:val="none" w:sz="0" w:space="0" w:color="auto"/>
      </w:divBdr>
    </w:div>
    <w:div w:id="259920732">
      <w:bodyDiv w:val="1"/>
      <w:marLeft w:val="0"/>
      <w:marRight w:val="0"/>
      <w:marTop w:val="0"/>
      <w:marBottom w:val="0"/>
      <w:divBdr>
        <w:top w:val="none" w:sz="0" w:space="0" w:color="auto"/>
        <w:left w:val="none" w:sz="0" w:space="0" w:color="auto"/>
        <w:bottom w:val="none" w:sz="0" w:space="0" w:color="auto"/>
        <w:right w:val="none" w:sz="0" w:space="0" w:color="auto"/>
      </w:divBdr>
      <w:divsChild>
        <w:div w:id="427697452">
          <w:marLeft w:val="547"/>
          <w:marRight w:val="0"/>
          <w:marTop w:val="120"/>
          <w:marBottom w:val="120"/>
          <w:divBdr>
            <w:top w:val="none" w:sz="0" w:space="0" w:color="auto"/>
            <w:left w:val="none" w:sz="0" w:space="0" w:color="auto"/>
            <w:bottom w:val="none" w:sz="0" w:space="0" w:color="auto"/>
            <w:right w:val="none" w:sz="0" w:space="0" w:color="auto"/>
          </w:divBdr>
        </w:div>
        <w:div w:id="1781608789">
          <w:marLeft w:val="547"/>
          <w:marRight w:val="0"/>
          <w:marTop w:val="120"/>
          <w:marBottom w:val="120"/>
          <w:divBdr>
            <w:top w:val="none" w:sz="0" w:space="0" w:color="auto"/>
            <w:left w:val="none" w:sz="0" w:space="0" w:color="auto"/>
            <w:bottom w:val="none" w:sz="0" w:space="0" w:color="auto"/>
            <w:right w:val="none" w:sz="0" w:space="0" w:color="auto"/>
          </w:divBdr>
        </w:div>
        <w:div w:id="994601265">
          <w:marLeft w:val="547"/>
          <w:marRight w:val="0"/>
          <w:marTop w:val="120"/>
          <w:marBottom w:val="120"/>
          <w:divBdr>
            <w:top w:val="none" w:sz="0" w:space="0" w:color="auto"/>
            <w:left w:val="none" w:sz="0" w:space="0" w:color="auto"/>
            <w:bottom w:val="none" w:sz="0" w:space="0" w:color="auto"/>
            <w:right w:val="none" w:sz="0" w:space="0" w:color="auto"/>
          </w:divBdr>
        </w:div>
        <w:div w:id="1361279482">
          <w:marLeft w:val="547"/>
          <w:marRight w:val="0"/>
          <w:marTop w:val="120"/>
          <w:marBottom w:val="120"/>
          <w:divBdr>
            <w:top w:val="none" w:sz="0" w:space="0" w:color="auto"/>
            <w:left w:val="none" w:sz="0" w:space="0" w:color="auto"/>
            <w:bottom w:val="none" w:sz="0" w:space="0" w:color="auto"/>
            <w:right w:val="none" w:sz="0" w:space="0" w:color="auto"/>
          </w:divBdr>
        </w:div>
      </w:divsChild>
    </w:div>
    <w:div w:id="313996695">
      <w:bodyDiv w:val="1"/>
      <w:marLeft w:val="0"/>
      <w:marRight w:val="0"/>
      <w:marTop w:val="0"/>
      <w:marBottom w:val="0"/>
      <w:divBdr>
        <w:top w:val="none" w:sz="0" w:space="0" w:color="auto"/>
        <w:left w:val="none" w:sz="0" w:space="0" w:color="auto"/>
        <w:bottom w:val="none" w:sz="0" w:space="0" w:color="auto"/>
        <w:right w:val="none" w:sz="0" w:space="0" w:color="auto"/>
      </w:divBdr>
    </w:div>
    <w:div w:id="321396404">
      <w:bodyDiv w:val="1"/>
      <w:marLeft w:val="0"/>
      <w:marRight w:val="0"/>
      <w:marTop w:val="0"/>
      <w:marBottom w:val="0"/>
      <w:divBdr>
        <w:top w:val="none" w:sz="0" w:space="0" w:color="auto"/>
        <w:left w:val="none" w:sz="0" w:space="0" w:color="auto"/>
        <w:bottom w:val="none" w:sz="0" w:space="0" w:color="auto"/>
        <w:right w:val="none" w:sz="0" w:space="0" w:color="auto"/>
      </w:divBdr>
    </w:div>
    <w:div w:id="340744241">
      <w:bodyDiv w:val="1"/>
      <w:marLeft w:val="0"/>
      <w:marRight w:val="0"/>
      <w:marTop w:val="0"/>
      <w:marBottom w:val="0"/>
      <w:divBdr>
        <w:top w:val="none" w:sz="0" w:space="0" w:color="auto"/>
        <w:left w:val="none" w:sz="0" w:space="0" w:color="auto"/>
        <w:bottom w:val="none" w:sz="0" w:space="0" w:color="auto"/>
        <w:right w:val="none" w:sz="0" w:space="0" w:color="auto"/>
      </w:divBdr>
    </w:div>
    <w:div w:id="353113075">
      <w:bodyDiv w:val="1"/>
      <w:marLeft w:val="0"/>
      <w:marRight w:val="0"/>
      <w:marTop w:val="0"/>
      <w:marBottom w:val="0"/>
      <w:divBdr>
        <w:top w:val="none" w:sz="0" w:space="0" w:color="auto"/>
        <w:left w:val="none" w:sz="0" w:space="0" w:color="auto"/>
        <w:bottom w:val="none" w:sz="0" w:space="0" w:color="auto"/>
        <w:right w:val="none" w:sz="0" w:space="0" w:color="auto"/>
      </w:divBdr>
    </w:div>
    <w:div w:id="379985794">
      <w:bodyDiv w:val="1"/>
      <w:marLeft w:val="0"/>
      <w:marRight w:val="0"/>
      <w:marTop w:val="0"/>
      <w:marBottom w:val="0"/>
      <w:divBdr>
        <w:top w:val="none" w:sz="0" w:space="0" w:color="auto"/>
        <w:left w:val="none" w:sz="0" w:space="0" w:color="auto"/>
        <w:bottom w:val="none" w:sz="0" w:space="0" w:color="auto"/>
        <w:right w:val="none" w:sz="0" w:space="0" w:color="auto"/>
      </w:divBdr>
    </w:div>
    <w:div w:id="415176109">
      <w:bodyDiv w:val="1"/>
      <w:marLeft w:val="0"/>
      <w:marRight w:val="0"/>
      <w:marTop w:val="0"/>
      <w:marBottom w:val="0"/>
      <w:divBdr>
        <w:top w:val="none" w:sz="0" w:space="0" w:color="auto"/>
        <w:left w:val="none" w:sz="0" w:space="0" w:color="auto"/>
        <w:bottom w:val="none" w:sz="0" w:space="0" w:color="auto"/>
        <w:right w:val="none" w:sz="0" w:space="0" w:color="auto"/>
      </w:divBdr>
    </w:div>
    <w:div w:id="435296023">
      <w:bodyDiv w:val="1"/>
      <w:marLeft w:val="0"/>
      <w:marRight w:val="0"/>
      <w:marTop w:val="0"/>
      <w:marBottom w:val="0"/>
      <w:divBdr>
        <w:top w:val="none" w:sz="0" w:space="0" w:color="auto"/>
        <w:left w:val="none" w:sz="0" w:space="0" w:color="auto"/>
        <w:bottom w:val="none" w:sz="0" w:space="0" w:color="auto"/>
        <w:right w:val="none" w:sz="0" w:space="0" w:color="auto"/>
      </w:divBdr>
    </w:div>
    <w:div w:id="439449886">
      <w:bodyDiv w:val="1"/>
      <w:marLeft w:val="0"/>
      <w:marRight w:val="0"/>
      <w:marTop w:val="0"/>
      <w:marBottom w:val="0"/>
      <w:divBdr>
        <w:top w:val="none" w:sz="0" w:space="0" w:color="auto"/>
        <w:left w:val="none" w:sz="0" w:space="0" w:color="auto"/>
        <w:bottom w:val="none" w:sz="0" w:space="0" w:color="auto"/>
        <w:right w:val="none" w:sz="0" w:space="0" w:color="auto"/>
      </w:divBdr>
    </w:div>
    <w:div w:id="462697373">
      <w:bodyDiv w:val="1"/>
      <w:marLeft w:val="0"/>
      <w:marRight w:val="0"/>
      <w:marTop w:val="0"/>
      <w:marBottom w:val="0"/>
      <w:divBdr>
        <w:top w:val="none" w:sz="0" w:space="0" w:color="auto"/>
        <w:left w:val="none" w:sz="0" w:space="0" w:color="auto"/>
        <w:bottom w:val="none" w:sz="0" w:space="0" w:color="auto"/>
        <w:right w:val="none" w:sz="0" w:space="0" w:color="auto"/>
      </w:divBdr>
    </w:div>
    <w:div w:id="473956548">
      <w:bodyDiv w:val="1"/>
      <w:marLeft w:val="0"/>
      <w:marRight w:val="0"/>
      <w:marTop w:val="0"/>
      <w:marBottom w:val="0"/>
      <w:divBdr>
        <w:top w:val="none" w:sz="0" w:space="0" w:color="auto"/>
        <w:left w:val="none" w:sz="0" w:space="0" w:color="auto"/>
        <w:bottom w:val="none" w:sz="0" w:space="0" w:color="auto"/>
        <w:right w:val="none" w:sz="0" w:space="0" w:color="auto"/>
      </w:divBdr>
    </w:div>
    <w:div w:id="477452878">
      <w:bodyDiv w:val="1"/>
      <w:marLeft w:val="0"/>
      <w:marRight w:val="0"/>
      <w:marTop w:val="0"/>
      <w:marBottom w:val="0"/>
      <w:divBdr>
        <w:top w:val="none" w:sz="0" w:space="0" w:color="auto"/>
        <w:left w:val="none" w:sz="0" w:space="0" w:color="auto"/>
        <w:bottom w:val="none" w:sz="0" w:space="0" w:color="auto"/>
        <w:right w:val="none" w:sz="0" w:space="0" w:color="auto"/>
      </w:divBdr>
    </w:div>
    <w:div w:id="501429436">
      <w:bodyDiv w:val="1"/>
      <w:marLeft w:val="0"/>
      <w:marRight w:val="0"/>
      <w:marTop w:val="0"/>
      <w:marBottom w:val="0"/>
      <w:divBdr>
        <w:top w:val="none" w:sz="0" w:space="0" w:color="auto"/>
        <w:left w:val="none" w:sz="0" w:space="0" w:color="auto"/>
        <w:bottom w:val="none" w:sz="0" w:space="0" w:color="auto"/>
        <w:right w:val="none" w:sz="0" w:space="0" w:color="auto"/>
      </w:divBdr>
    </w:div>
    <w:div w:id="566496844">
      <w:bodyDiv w:val="1"/>
      <w:marLeft w:val="0"/>
      <w:marRight w:val="0"/>
      <w:marTop w:val="0"/>
      <w:marBottom w:val="0"/>
      <w:divBdr>
        <w:top w:val="none" w:sz="0" w:space="0" w:color="auto"/>
        <w:left w:val="none" w:sz="0" w:space="0" w:color="auto"/>
        <w:bottom w:val="none" w:sz="0" w:space="0" w:color="auto"/>
        <w:right w:val="none" w:sz="0" w:space="0" w:color="auto"/>
      </w:divBdr>
    </w:div>
    <w:div w:id="571283051">
      <w:bodyDiv w:val="1"/>
      <w:marLeft w:val="0"/>
      <w:marRight w:val="0"/>
      <w:marTop w:val="0"/>
      <w:marBottom w:val="0"/>
      <w:divBdr>
        <w:top w:val="none" w:sz="0" w:space="0" w:color="auto"/>
        <w:left w:val="none" w:sz="0" w:space="0" w:color="auto"/>
        <w:bottom w:val="none" w:sz="0" w:space="0" w:color="auto"/>
        <w:right w:val="none" w:sz="0" w:space="0" w:color="auto"/>
      </w:divBdr>
      <w:divsChild>
        <w:div w:id="1986161641">
          <w:marLeft w:val="720"/>
          <w:marRight w:val="0"/>
          <w:marTop w:val="120"/>
          <w:marBottom w:val="120"/>
          <w:divBdr>
            <w:top w:val="none" w:sz="0" w:space="0" w:color="auto"/>
            <w:left w:val="none" w:sz="0" w:space="0" w:color="auto"/>
            <w:bottom w:val="none" w:sz="0" w:space="0" w:color="auto"/>
            <w:right w:val="none" w:sz="0" w:space="0" w:color="auto"/>
          </w:divBdr>
        </w:div>
        <w:div w:id="837696647">
          <w:marLeft w:val="720"/>
          <w:marRight w:val="0"/>
          <w:marTop w:val="120"/>
          <w:marBottom w:val="120"/>
          <w:divBdr>
            <w:top w:val="none" w:sz="0" w:space="0" w:color="auto"/>
            <w:left w:val="none" w:sz="0" w:space="0" w:color="auto"/>
            <w:bottom w:val="none" w:sz="0" w:space="0" w:color="auto"/>
            <w:right w:val="none" w:sz="0" w:space="0" w:color="auto"/>
          </w:divBdr>
        </w:div>
        <w:div w:id="438791796">
          <w:marLeft w:val="720"/>
          <w:marRight w:val="0"/>
          <w:marTop w:val="120"/>
          <w:marBottom w:val="120"/>
          <w:divBdr>
            <w:top w:val="none" w:sz="0" w:space="0" w:color="auto"/>
            <w:left w:val="none" w:sz="0" w:space="0" w:color="auto"/>
            <w:bottom w:val="none" w:sz="0" w:space="0" w:color="auto"/>
            <w:right w:val="none" w:sz="0" w:space="0" w:color="auto"/>
          </w:divBdr>
        </w:div>
        <w:div w:id="1316109777">
          <w:marLeft w:val="720"/>
          <w:marRight w:val="0"/>
          <w:marTop w:val="120"/>
          <w:marBottom w:val="120"/>
          <w:divBdr>
            <w:top w:val="none" w:sz="0" w:space="0" w:color="auto"/>
            <w:left w:val="none" w:sz="0" w:space="0" w:color="auto"/>
            <w:bottom w:val="none" w:sz="0" w:space="0" w:color="auto"/>
            <w:right w:val="none" w:sz="0" w:space="0" w:color="auto"/>
          </w:divBdr>
        </w:div>
      </w:divsChild>
    </w:div>
    <w:div w:id="573589169">
      <w:bodyDiv w:val="1"/>
      <w:marLeft w:val="0"/>
      <w:marRight w:val="0"/>
      <w:marTop w:val="0"/>
      <w:marBottom w:val="0"/>
      <w:divBdr>
        <w:top w:val="none" w:sz="0" w:space="0" w:color="auto"/>
        <w:left w:val="none" w:sz="0" w:space="0" w:color="auto"/>
        <w:bottom w:val="none" w:sz="0" w:space="0" w:color="auto"/>
        <w:right w:val="none" w:sz="0" w:space="0" w:color="auto"/>
      </w:divBdr>
    </w:div>
    <w:div w:id="640187750">
      <w:bodyDiv w:val="1"/>
      <w:marLeft w:val="0"/>
      <w:marRight w:val="0"/>
      <w:marTop w:val="0"/>
      <w:marBottom w:val="0"/>
      <w:divBdr>
        <w:top w:val="none" w:sz="0" w:space="0" w:color="auto"/>
        <w:left w:val="none" w:sz="0" w:space="0" w:color="auto"/>
        <w:bottom w:val="none" w:sz="0" w:space="0" w:color="auto"/>
        <w:right w:val="none" w:sz="0" w:space="0" w:color="auto"/>
      </w:divBdr>
    </w:div>
    <w:div w:id="684401989">
      <w:bodyDiv w:val="1"/>
      <w:marLeft w:val="0"/>
      <w:marRight w:val="0"/>
      <w:marTop w:val="0"/>
      <w:marBottom w:val="0"/>
      <w:divBdr>
        <w:top w:val="none" w:sz="0" w:space="0" w:color="auto"/>
        <w:left w:val="none" w:sz="0" w:space="0" w:color="auto"/>
        <w:bottom w:val="none" w:sz="0" w:space="0" w:color="auto"/>
        <w:right w:val="none" w:sz="0" w:space="0" w:color="auto"/>
      </w:divBdr>
    </w:div>
    <w:div w:id="702940313">
      <w:bodyDiv w:val="1"/>
      <w:marLeft w:val="0"/>
      <w:marRight w:val="0"/>
      <w:marTop w:val="0"/>
      <w:marBottom w:val="0"/>
      <w:divBdr>
        <w:top w:val="none" w:sz="0" w:space="0" w:color="auto"/>
        <w:left w:val="none" w:sz="0" w:space="0" w:color="auto"/>
        <w:bottom w:val="none" w:sz="0" w:space="0" w:color="auto"/>
        <w:right w:val="none" w:sz="0" w:space="0" w:color="auto"/>
      </w:divBdr>
    </w:div>
    <w:div w:id="736320870">
      <w:bodyDiv w:val="1"/>
      <w:marLeft w:val="0"/>
      <w:marRight w:val="0"/>
      <w:marTop w:val="0"/>
      <w:marBottom w:val="0"/>
      <w:divBdr>
        <w:top w:val="none" w:sz="0" w:space="0" w:color="auto"/>
        <w:left w:val="none" w:sz="0" w:space="0" w:color="auto"/>
        <w:bottom w:val="none" w:sz="0" w:space="0" w:color="auto"/>
        <w:right w:val="none" w:sz="0" w:space="0" w:color="auto"/>
      </w:divBdr>
    </w:div>
    <w:div w:id="746538190">
      <w:bodyDiv w:val="1"/>
      <w:marLeft w:val="0"/>
      <w:marRight w:val="0"/>
      <w:marTop w:val="0"/>
      <w:marBottom w:val="0"/>
      <w:divBdr>
        <w:top w:val="none" w:sz="0" w:space="0" w:color="auto"/>
        <w:left w:val="none" w:sz="0" w:space="0" w:color="auto"/>
        <w:bottom w:val="none" w:sz="0" w:space="0" w:color="auto"/>
        <w:right w:val="none" w:sz="0" w:space="0" w:color="auto"/>
      </w:divBdr>
    </w:div>
    <w:div w:id="753891617">
      <w:bodyDiv w:val="1"/>
      <w:marLeft w:val="0"/>
      <w:marRight w:val="0"/>
      <w:marTop w:val="0"/>
      <w:marBottom w:val="0"/>
      <w:divBdr>
        <w:top w:val="none" w:sz="0" w:space="0" w:color="auto"/>
        <w:left w:val="none" w:sz="0" w:space="0" w:color="auto"/>
        <w:bottom w:val="none" w:sz="0" w:space="0" w:color="auto"/>
        <w:right w:val="none" w:sz="0" w:space="0" w:color="auto"/>
      </w:divBdr>
    </w:div>
    <w:div w:id="839540543">
      <w:bodyDiv w:val="1"/>
      <w:marLeft w:val="0"/>
      <w:marRight w:val="0"/>
      <w:marTop w:val="0"/>
      <w:marBottom w:val="0"/>
      <w:divBdr>
        <w:top w:val="none" w:sz="0" w:space="0" w:color="auto"/>
        <w:left w:val="none" w:sz="0" w:space="0" w:color="auto"/>
        <w:bottom w:val="none" w:sz="0" w:space="0" w:color="auto"/>
        <w:right w:val="none" w:sz="0" w:space="0" w:color="auto"/>
      </w:divBdr>
    </w:div>
    <w:div w:id="862129727">
      <w:bodyDiv w:val="1"/>
      <w:marLeft w:val="0"/>
      <w:marRight w:val="0"/>
      <w:marTop w:val="0"/>
      <w:marBottom w:val="0"/>
      <w:divBdr>
        <w:top w:val="none" w:sz="0" w:space="0" w:color="auto"/>
        <w:left w:val="none" w:sz="0" w:space="0" w:color="auto"/>
        <w:bottom w:val="none" w:sz="0" w:space="0" w:color="auto"/>
        <w:right w:val="none" w:sz="0" w:space="0" w:color="auto"/>
      </w:divBdr>
    </w:div>
    <w:div w:id="881983815">
      <w:bodyDiv w:val="1"/>
      <w:marLeft w:val="0"/>
      <w:marRight w:val="0"/>
      <w:marTop w:val="0"/>
      <w:marBottom w:val="0"/>
      <w:divBdr>
        <w:top w:val="none" w:sz="0" w:space="0" w:color="auto"/>
        <w:left w:val="none" w:sz="0" w:space="0" w:color="auto"/>
        <w:bottom w:val="none" w:sz="0" w:space="0" w:color="auto"/>
        <w:right w:val="none" w:sz="0" w:space="0" w:color="auto"/>
      </w:divBdr>
    </w:div>
    <w:div w:id="958485532">
      <w:bodyDiv w:val="1"/>
      <w:marLeft w:val="0"/>
      <w:marRight w:val="0"/>
      <w:marTop w:val="0"/>
      <w:marBottom w:val="0"/>
      <w:divBdr>
        <w:top w:val="none" w:sz="0" w:space="0" w:color="auto"/>
        <w:left w:val="none" w:sz="0" w:space="0" w:color="auto"/>
        <w:bottom w:val="none" w:sz="0" w:space="0" w:color="auto"/>
        <w:right w:val="none" w:sz="0" w:space="0" w:color="auto"/>
      </w:divBdr>
    </w:div>
    <w:div w:id="963268706">
      <w:bodyDiv w:val="1"/>
      <w:marLeft w:val="0"/>
      <w:marRight w:val="0"/>
      <w:marTop w:val="0"/>
      <w:marBottom w:val="0"/>
      <w:divBdr>
        <w:top w:val="none" w:sz="0" w:space="0" w:color="auto"/>
        <w:left w:val="none" w:sz="0" w:space="0" w:color="auto"/>
        <w:bottom w:val="none" w:sz="0" w:space="0" w:color="auto"/>
        <w:right w:val="none" w:sz="0" w:space="0" w:color="auto"/>
      </w:divBdr>
    </w:div>
    <w:div w:id="1040208543">
      <w:bodyDiv w:val="1"/>
      <w:marLeft w:val="0"/>
      <w:marRight w:val="0"/>
      <w:marTop w:val="0"/>
      <w:marBottom w:val="0"/>
      <w:divBdr>
        <w:top w:val="none" w:sz="0" w:space="0" w:color="auto"/>
        <w:left w:val="none" w:sz="0" w:space="0" w:color="auto"/>
        <w:bottom w:val="none" w:sz="0" w:space="0" w:color="auto"/>
        <w:right w:val="none" w:sz="0" w:space="0" w:color="auto"/>
      </w:divBdr>
      <w:divsChild>
        <w:div w:id="1601639847">
          <w:marLeft w:val="1080"/>
          <w:marRight w:val="0"/>
          <w:marTop w:val="100"/>
          <w:marBottom w:val="0"/>
          <w:divBdr>
            <w:top w:val="none" w:sz="0" w:space="0" w:color="auto"/>
            <w:left w:val="none" w:sz="0" w:space="0" w:color="auto"/>
            <w:bottom w:val="none" w:sz="0" w:space="0" w:color="auto"/>
            <w:right w:val="none" w:sz="0" w:space="0" w:color="auto"/>
          </w:divBdr>
        </w:div>
      </w:divsChild>
    </w:div>
    <w:div w:id="1073550049">
      <w:bodyDiv w:val="1"/>
      <w:marLeft w:val="0"/>
      <w:marRight w:val="0"/>
      <w:marTop w:val="0"/>
      <w:marBottom w:val="0"/>
      <w:divBdr>
        <w:top w:val="none" w:sz="0" w:space="0" w:color="auto"/>
        <w:left w:val="none" w:sz="0" w:space="0" w:color="auto"/>
        <w:bottom w:val="none" w:sz="0" w:space="0" w:color="auto"/>
        <w:right w:val="none" w:sz="0" w:space="0" w:color="auto"/>
      </w:divBdr>
    </w:div>
    <w:div w:id="1091855035">
      <w:bodyDiv w:val="1"/>
      <w:marLeft w:val="0"/>
      <w:marRight w:val="0"/>
      <w:marTop w:val="0"/>
      <w:marBottom w:val="0"/>
      <w:divBdr>
        <w:top w:val="none" w:sz="0" w:space="0" w:color="auto"/>
        <w:left w:val="none" w:sz="0" w:space="0" w:color="auto"/>
        <w:bottom w:val="none" w:sz="0" w:space="0" w:color="auto"/>
        <w:right w:val="none" w:sz="0" w:space="0" w:color="auto"/>
      </w:divBdr>
    </w:div>
    <w:div w:id="1095327714">
      <w:bodyDiv w:val="1"/>
      <w:marLeft w:val="0"/>
      <w:marRight w:val="0"/>
      <w:marTop w:val="0"/>
      <w:marBottom w:val="0"/>
      <w:divBdr>
        <w:top w:val="none" w:sz="0" w:space="0" w:color="auto"/>
        <w:left w:val="none" w:sz="0" w:space="0" w:color="auto"/>
        <w:bottom w:val="none" w:sz="0" w:space="0" w:color="auto"/>
        <w:right w:val="none" w:sz="0" w:space="0" w:color="auto"/>
      </w:divBdr>
    </w:div>
    <w:div w:id="1126462298">
      <w:bodyDiv w:val="1"/>
      <w:marLeft w:val="0"/>
      <w:marRight w:val="0"/>
      <w:marTop w:val="0"/>
      <w:marBottom w:val="0"/>
      <w:divBdr>
        <w:top w:val="none" w:sz="0" w:space="0" w:color="auto"/>
        <w:left w:val="none" w:sz="0" w:space="0" w:color="auto"/>
        <w:bottom w:val="none" w:sz="0" w:space="0" w:color="auto"/>
        <w:right w:val="none" w:sz="0" w:space="0" w:color="auto"/>
      </w:divBdr>
    </w:div>
    <w:div w:id="1131433772">
      <w:bodyDiv w:val="1"/>
      <w:marLeft w:val="0"/>
      <w:marRight w:val="0"/>
      <w:marTop w:val="0"/>
      <w:marBottom w:val="0"/>
      <w:divBdr>
        <w:top w:val="none" w:sz="0" w:space="0" w:color="auto"/>
        <w:left w:val="none" w:sz="0" w:space="0" w:color="auto"/>
        <w:bottom w:val="none" w:sz="0" w:space="0" w:color="auto"/>
        <w:right w:val="none" w:sz="0" w:space="0" w:color="auto"/>
      </w:divBdr>
    </w:div>
    <w:div w:id="1152647344">
      <w:bodyDiv w:val="1"/>
      <w:marLeft w:val="0"/>
      <w:marRight w:val="0"/>
      <w:marTop w:val="0"/>
      <w:marBottom w:val="0"/>
      <w:divBdr>
        <w:top w:val="none" w:sz="0" w:space="0" w:color="auto"/>
        <w:left w:val="none" w:sz="0" w:space="0" w:color="auto"/>
        <w:bottom w:val="none" w:sz="0" w:space="0" w:color="auto"/>
        <w:right w:val="none" w:sz="0" w:space="0" w:color="auto"/>
      </w:divBdr>
    </w:div>
    <w:div w:id="1154419680">
      <w:bodyDiv w:val="1"/>
      <w:marLeft w:val="0"/>
      <w:marRight w:val="0"/>
      <w:marTop w:val="0"/>
      <w:marBottom w:val="0"/>
      <w:divBdr>
        <w:top w:val="none" w:sz="0" w:space="0" w:color="auto"/>
        <w:left w:val="none" w:sz="0" w:space="0" w:color="auto"/>
        <w:bottom w:val="none" w:sz="0" w:space="0" w:color="auto"/>
        <w:right w:val="none" w:sz="0" w:space="0" w:color="auto"/>
      </w:divBdr>
    </w:div>
    <w:div w:id="1173181887">
      <w:bodyDiv w:val="1"/>
      <w:marLeft w:val="0"/>
      <w:marRight w:val="0"/>
      <w:marTop w:val="0"/>
      <w:marBottom w:val="0"/>
      <w:divBdr>
        <w:top w:val="none" w:sz="0" w:space="0" w:color="auto"/>
        <w:left w:val="none" w:sz="0" w:space="0" w:color="auto"/>
        <w:bottom w:val="none" w:sz="0" w:space="0" w:color="auto"/>
        <w:right w:val="none" w:sz="0" w:space="0" w:color="auto"/>
      </w:divBdr>
    </w:div>
    <w:div w:id="1175538144">
      <w:bodyDiv w:val="1"/>
      <w:marLeft w:val="0"/>
      <w:marRight w:val="0"/>
      <w:marTop w:val="0"/>
      <w:marBottom w:val="0"/>
      <w:divBdr>
        <w:top w:val="none" w:sz="0" w:space="0" w:color="auto"/>
        <w:left w:val="none" w:sz="0" w:space="0" w:color="auto"/>
        <w:bottom w:val="none" w:sz="0" w:space="0" w:color="auto"/>
        <w:right w:val="none" w:sz="0" w:space="0" w:color="auto"/>
      </w:divBdr>
    </w:div>
    <w:div w:id="1228343602">
      <w:bodyDiv w:val="1"/>
      <w:marLeft w:val="0"/>
      <w:marRight w:val="0"/>
      <w:marTop w:val="0"/>
      <w:marBottom w:val="0"/>
      <w:divBdr>
        <w:top w:val="none" w:sz="0" w:space="0" w:color="auto"/>
        <w:left w:val="none" w:sz="0" w:space="0" w:color="auto"/>
        <w:bottom w:val="none" w:sz="0" w:space="0" w:color="auto"/>
        <w:right w:val="none" w:sz="0" w:space="0" w:color="auto"/>
      </w:divBdr>
    </w:div>
    <w:div w:id="1232502194">
      <w:bodyDiv w:val="1"/>
      <w:marLeft w:val="0"/>
      <w:marRight w:val="0"/>
      <w:marTop w:val="0"/>
      <w:marBottom w:val="0"/>
      <w:divBdr>
        <w:top w:val="none" w:sz="0" w:space="0" w:color="auto"/>
        <w:left w:val="none" w:sz="0" w:space="0" w:color="auto"/>
        <w:bottom w:val="none" w:sz="0" w:space="0" w:color="auto"/>
        <w:right w:val="none" w:sz="0" w:space="0" w:color="auto"/>
      </w:divBdr>
    </w:div>
    <w:div w:id="1266615864">
      <w:bodyDiv w:val="1"/>
      <w:marLeft w:val="0"/>
      <w:marRight w:val="0"/>
      <w:marTop w:val="0"/>
      <w:marBottom w:val="0"/>
      <w:divBdr>
        <w:top w:val="none" w:sz="0" w:space="0" w:color="auto"/>
        <w:left w:val="none" w:sz="0" w:space="0" w:color="auto"/>
        <w:bottom w:val="none" w:sz="0" w:space="0" w:color="auto"/>
        <w:right w:val="none" w:sz="0" w:space="0" w:color="auto"/>
      </w:divBdr>
    </w:div>
    <w:div w:id="1276908903">
      <w:bodyDiv w:val="1"/>
      <w:marLeft w:val="0"/>
      <w:marRight w:val="0"/>
      <w:marTop w:val="0"/>
      <w:marBottom w:val="0"/>
      <w:divBdr>
        <w:top w:val="none" w:sz="0" w:space="0" w:color="auto"/>
        <w:left w:val="none" w:sz="0" w:space="0" w:color="auto"/>
        <w:bottom w:val="none" w:sz="0" w:space="0" w:color="auto"/>
        <w:right w:val="none" w:sz="0" w:space="0" w:color="auto"/>
      </w:divBdr>
    </w:div>
    <w:div w:id="1295327032">
      <w:bodyDiv w:val="1"/>
      <w:marLeft w:val="0"/>
      <w:marRight w:val="0"/>
      <w:marTop w:val="0"/>
      <w:marBottom w:val="0"/>
      <w:divBdr>
        <w:top w:val="none" w:sz="0" w:space="0" w:color="auto"/>
        <w:left w:val="none" w:sz="0" w:space="0" w:color="auto"/>
        <w:bottom w:val="none" w:sz="0" w:space="0" w:color="auto"/>
        <w:right w:val="none" w:sz="0" w:space="0" w:color="auto"/>
      </w:divBdr>
    </w:div>
    <w:div w:id="1300186089">
      <w:bodyDiv w:val="1"/>
      <w:marLeft w:val="0"/>
      <w:marRight w:val="0"/>
      <w:marTop w:val="0"/>
      <w:marBottom w:val="0"/>
      <w:divBdr>
        <w:top w:val="none" w:sz="0" w:space="0" w:color="auto"/>
        <w:left w:val="none" w:sz="0" w:space="0" w:color="auto"/>
        <w:bottom w:val="none" w:sz="0" w:space="0" w:color="auto"/>
        <w:right w:val="none" w:sz="0" w:space="0" w:color="auto"/>
      </w:divBdr>
      <w:divsChild>
        <w:div w:id="1440566251">
          <w:marLeft w:val="0"/>
          <w:marRight w:val="0"/>
          <w:marTop w:val="150"/>
          <w:marBottom w:val="270"/>
          <w:divBdr>
            <w:top w:val="none" w:sz="0" w:space="0" w:color="auto"/>
            <w:left w:val="none" w:sz="0" w:space="0" w:color="auto"/>
            <w:bottom w:val="none" w:sz="0" w:space="0" w:color="auto"/>
            <w:right w:val="none" w:sz="0" w:space="0" w:color="auto"/>
          </w:divBdr>
        </w:div>
        <w:div w:id="1194919581">
          <w:marLeft w:val="0"/>
          <w:marRight w:val="0"/>
          <w:marTop w:val="150"/>
          <w:marBottom w:val="270"/>
          <w:divBdr>
            <w:top w:val="none" w:sz="0" w:space="0" w:color="auto"/>
            <w:left w:val="none" w:sz="0" w:space="0" w:color="auto"/>
            <w:bottom w:val="none" w:sz="0" w:space="0" w:color="auto"/>
            <w:right w:val="none" w:sz="0" w:space="0" w:color="auto"/>
          </w:divBdr>
          <w:divsChild>
            <w:div w:id="482046027">
              <w:marLeft w:val="0"/>
              <w:marRight w:val="0"/>
              <w:marTop w:val="0"/>
              <w:marBottom w:val="0"/>
              <w:divBdr>
                <w:top w:val="none" w:sz="0" w:space="0" w:color="auto"/>
                <w:left w:val="none" w:sz="0" w:space="0" w:color="auto"/>
                <w:bottom w:val="none" w:sz="0" w:space="0" w:color="auto"/>
                <w:right w:val="none" w:sz="0" w:space="0" w:color="auto"/>
              </w:divBdr>
            </w:div>
            <w:div w:id="311564652">
              <w:marLeft w:val="0"/>
              <w:marRight w:val="0"/>
              <w:marTop w:val="0"/>
              <w:marBottom w:val="0"/>
              <w:divBdr>
                <w:top w:val="none" w:sz="0" w:space="0" w:color="auto"/>
                <w:left w:val="none" w:sz="0" w:space="0" w:color="auto"/>
                <w:bottom w:val="none" w:sz="0" w:space="0" w:color="auto"/>
                <w:right w:val="none" w:sz="0" w:space="0" w:color="auto"/>
              </w:divBdr>
            </w:div>
            <w:div w:id="1679431047">
              <w:marLeft w:val="0"/>
              <w:marRight w:val="0"/>
              <w:marTop w:val="0"/>
              <w:marBottom w:val="0"/>
              <w:divBdr>
                <w:top w:val="none" w:sz="0" w:space="0" w:color="auto"/>
                <w:left w:val="none" w:sz="0" w:space="0" w:color="auto"/>
                <w:bottom w:val="none" w:sz="0" w:space="0" w:color="auto"/>
                <w:right w:val="none" w:sz="0" w:space="0" w:color="auto"/>
              </w:divBdr>
            </w:div>
            <w:div w:id="1618218388">
              <w:marLeft w:val="0"/>
              <w:marRight w:val="0"/>
              <w:marTop w:val="0"/>
              <w:marBottom w:val="0"/>
              <w:divBdr>
                <w:top w:val="none" w:sz="0" w:space="0" w:color="auto"/>
                <w:left w:val="none" w:sz="0" w:space="0" w:color="auto"/>
                <w:bottom w:val="none" w:sz="0" w:space="0" w:color="auto"/>
                <w:right w:val="none" w:sz="0" w:space="0" w:color="auto"/>
              </w:divBdr>
            </w:div>
            <w:div w:id="2132703632">
              <w:marLeft w:val="0"/>
              <w:marRight w:val="0"/>
              <w:marTop w:val="0"/>
              <w:marBottom w:val="0"/>
              <w:divBdr>
                <w:top w:val="none" w:sz="0" w:space="0" w:color="auto"/>
                <w:left w:val="none" w:sz="0" w:space="0" w:color="auto"/>
                <w:bottom w:val="none" w:sz="0" w:space="0" w:color="auto"/>
                <w:right w:val="none" w:sz="0" w:space="0" w:color="auto"/>
              </w:divBdr>
            </w:div>
            <w:div w:id="12043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041">
      <w:bodyDiv w:val="1"/>
      <w:marLeft w:val="0"/>
      <w:marRight w:val="0"/>
      <w:marTop w:val="0"/>
      <w:marBottom w:val="0"/>
      <w:divBdr>
        <w:top w:val="none" w:sz="0" w:space="0" w:color="auto"/>
        <w:left w:val="none" w:sz="0" w:space="0" w:color="auto"/>
        <w:bottom w:val="none" w:sz="0" w:space="0" w:color="auto"/>
        <w:right w:val="none" w:sz="0" w:space="0" w:color="auto"/>
      </w:divBdr>
    </w:div>
    <w:div w:id="1551379168">
      <w:bodyDiv w:val="1"/>
      <w:marLeft w:val="0"/>
      <w:marRight w:val="0"/>
      <w:marTop w:val="0"/>
      <w:marBottom w:val="0"/>
      <w:divBdr>
        <w:top w:val="none" w:sz="0" w:space="0" w:color="auto"/>
        <w:left w:val="none" w:sz="0" w:space="0" w:color="auto"/>
        <w:bottom w:val="none" w:sz="0" w:space="0" w:color="auto"/>
        <w:right w:val="none" w:sz="0" w:space="0" w:color="auto"/>
      </w:divBdr>
    </w:div>
    <w:div w:id="1560945076">
      <w:bodyDiv w:val="1"/>
      <w:marLeft w:val="0"/>
      <w:marRight w:val="0"/>
      <w:marTop w:val="0"/>
      <w:marBottom w:val="0"/>
      <w:divBdr>
        <w:top w:val="none" w:sz="0" w:space="0" w:color="auto"/>
        <w:left w:val="none" w:sz="0" w:space="0" w:color="auto"/>
        <w:bottom w:val="none" w:sz="0" w:space="0" w:color="auto"/>
        <w:right w:val="none" w:sz="0" w:space="0" w:color="auto"/>
      </w:divBdr>
    </w:div>
    <w:div w:id="1564943859">
      <w:bodyDiv w:val="1"/>
      <w:marLeft w:val="0"/>
      <w:marRight w:val="0"/>
      <w:marTop w:val="0"/>
      <w:marBottom w:val="0"/>
      <w:divBdr>
        <w:top w:val="none" w:sz="0" w:space="0" w:color="auto"/>
        <w:left w:val="none" w:sz="0" w:space="0" w:color="auto"/>
        <w:bottom w:val="none" w:sz="0" w:space="0" w:color="auto"/>
        <w:right w:val="none" w:sz="0" w:space="0" w:color="auto"/>
      </w:divBdr>
    </w:div>
    <w:div w:id="1582373987">
      <w:bodyDiv w:val="1"/>
      <w:marLeft w:val="0"/>
      <w:marRight w:val="0"/>
      <w:marTop w:val="0"/>
      <w:marBottom w:val="0"/>
      <w:divBdr>
        <w:top w:val="none" w:sz="0" w:space="0" w:color="auto"/>
        <w:left w:val="none" w:sz="0" w:space="0" w:color="auto"/>
        <w:bottom w:val="none" w:sz="0" w:space="0" w:color="auto"/>
        <w:right w:val="none" w:sz="0" w:space="0" w:color="auto"/>
      </w:divBdr>
    </w:div>
    <w:div w:id="1626621680">
      <w:bodyDiv w:val="1"/>
      <w:marLeft w:val="0"/>
      <w:marRight w:val="0"/>
      <w:marTop w:val="0"/>
      <w:marBottom w:val="0"/>
      <w:divBdr>
        <w:top w:val="none" w:sz="0" w:space="0" w:color="auto"/>
        <w:left w:val="none" w:sz="0" w:space="0" w:color="auto"/>
        <w:bottom w:val="none" w:sz="0" w:space="0" w:color="auto"/>
        <w:right w:val="none" w:sz="0" w:space="0" w:color="auto"/>
      </w:divBdr>
    </w:div>
    <w:div w:id="1659458119">
      <w:bodyDiv w:val="1"/>
      <w:marLeft w:val="0"/>
      <w:marRight w:val="0"/>
      <w:marTop w:val="0"/>
      <w:marBottom w:val="0"/>
      <w:divBdr>
        <w:top w:val="none" w:sz="0" w:space="0" w:color="auto"/>
        <w:left w:val="none" w:sz="0" w:space="0" w:color="auto"/>
        <w:bottom w:val="none" w:sz="0" w:space="0" w:color="auto"/>
        <w:right w:val="none" w:sz="0" w:space="0" w:color="auto"/>
      </w:divBdr>
    </w:div>
    <w:div w:id="1663240873">
      <w:bodyDiv w:val="1"/>
      <w:marLeft w:val="0"/>
      <w:marRight w:val="0"/>
      <w:marTop w:val="0"/>
      <w:marBottom w:val="0"/>
      <w:divBdr>
        <w:top w:val="none" w:sz="0" w:space="0" w:color="auto"/>
        <w:left w:val="none" w:sz="0" w:space="0" w:color="auto"/>
        <w:bottom w:val="none" w:sz="0" w:space="0" w:color="auto"/>
        <w:right w:val="none" w:sz="0" w:space="0" w:color="auto"/>
      </w:divBdr>
    </w:div>
    <w:div w:id="1675451478">
      <w:bodyDiv w:val="1"/>
      <w:marLeft w:val="0"/>
      <w:marRight w:val="0"/>
      <w:marTop w:val="0"/>
      <w:marBottom w:val="0"/>
      <w:divBdr>
        <w:top w:val="none" w:sz="0" w:space="0" w:color="auto"/>
        <w:left w:val="none" w:sz="0" w:space="0" w:color="auto"/>
        <w:bottom w:val="none" w:sz="0" w:space="0" w:color="auto"/>
        <w:right w:val="none" w:sz="0" w:space="0" w:color="auto"/>
      </w:divBdr>
    </w:div>
    <w:div w:id="1716197315">
      <w:bodyDiv w:val="1"/>
      <w:marLeft w:val="0"/>
      <w:marRight w:val="0"/>
      <w:marTop w:val="0"/>
      <w:marBottom w:val="0"/>
      <w:divBdr>
        <w:top w:val="none" w:sz="0" w:space="0" w:color="auto"/>
        <w:left w:val="none" w:sz="0" w:space="0" w:color="auto"/>
        <w:bottom w:val="none" w:sz="0" w:space="0" w:color="auto"/>
        <w:right w:val="none" w:sz="0" w:space="0" w:color="auto"/>
      </w:divBdr>
    </w:div>
    <w:div w:id="1753158690">
      <w:bodyDiv w:val="1"/>
      <w:marLeft w:val="0"/>
      <w:marRight w:val="0"/>
      <w:marTop w:val="0"/>
      <w:marBottom w:val="0"/>
      <w:divBdr>
        <w:top w:val="none" w:sz="0" w:space="0" w:color="auto"/>
        <w:left w:val="none" w:sz="0" w:space="0" w:color="auto"/>
        <w:bottom w:val="none" w:sz="0" w:space="0" w:color="auto"/>
        <w:right w:val="none" w:sz="0" w:space="0" w:color="auto"/>
      </w:divBdr>
    </w:div>
    <w:div w:id="1757165590">
      <w:bodyDiv w:val="1"/>
      <w:marLeft w:val="0"/>
      <w:marRight w:val="0"/>
      <w:marTop w:val="0"/>
      <w:marBottom w:val="0"/>
      <w:divBdr>
        <w:top w:val="none" w:sz="0" w:space="0" w:color="auto"/>
        <w:left w:val="none" w:sz="0" w:space="0" w:color="auto"/>
        <w:bottom w:val="none" w:sz="0" w:space="0" w:color="auto"/>
        <w:right w:val="none" w:sz="0" w:space="0" w:color="auto"/>
      </w:divBdr>
    </w:div>
    <w:div w:id="1802384045">
      <w:bodyDiv w:val="1"/>
      <w:marLeft w:val="0"/>
      <w:marRight w:val="0"/>
      <w:marTop w:val="0"/>
      <w:marBottom w:val="0"/>
      <w:divBdr>
        <w:top w:val="none" w:sz="0" w:space="0" w:color="auto"/>
        <w:left w:val="none" w:sz="0" w:space="0" w:color="auto"/>
        <w:bottom w:val="none" w:sz="0" w:space="0" w:color="auto"/>
        <w:right w:val="none" w:sz="0" w:space="0" w:color="auto"/>
      </w:divBdr>
      <w:divsChild>
        <w:div w:id="2019888420">
          <w:marLeft w:val="0"/>
          <w:marRight w:val="0"/>
          <w:marTop w:val="0"/>
          <w:marBottom w:val="450"/>
          <w:divBdr>
            <w:top w:val="none" w:sz="0" w:space="0" w:color="auto"/>
            <w:left w:val="none" w:sz="0" w:space="0" w:color="auto"/>
            <w:bottom w:val="none" w:sz="0" w:space="0" w:color="auto"/>
            <w:right w:val="none" w:sz="0" w:space="0" w:color="auto"/>
          </w:divBdr>
          <w:divsChild>
            <w:div w:id="11300239">
              <w:marLeft w:val="0"/>
              <w:marRight w:val="0"/>
              <w:marTop w:val="0"/>
              <w:marBottom w:val="0"/>
              <w:divBdr>
                <w:top w:val="none" w:sz="0" w:space="0" w:color="auto"/>
                <w:left w:val="none" w:sz="0" w:space="0" w:color="auto"/>
                <w:bottom w:val="none" w:sz="0" w:space="0" w:color="auto"/>
                <w:right w:val="none" w:sz="0" w:space="0" w:color="auto"/>
              </w:divBdr>
            </w:div>
            <w:div w:id="549808402">
              <w:marLeft w:val="0"/>
              <w:marRight w:val="0"/>
              <w:marTop w:val="0"/>
              <w:marBottom w:val="0"/>
              <w:divBdr>
                <w:top w:val="none" w:sz="0" w:space="0" w:color="auto"/>
                <w:left w:val="none" w:sz="0" w:space="0" w:color="auto"/>
                <w:bottom w:val="none" w:sz="0" w:space="0" w:color="auto"/>
                <w:right w:val="none" w:sz="0" w:space="0" w:color="auto"/>
              </w:divBdr>
            </w:div>
          </w:divsChild>
        </w:div>
        <w:div w:id="1865483140">
          <w:marLeft w:val="0"/>
          <w:marRight w:val="0"/>
          <w:marTop w:val="0"/>
          <w:marBottom w:val="450"/>
          <w:divBdr>
            <w:top w:val="none" w:sz="0" w:space="0" w:color="auto"/>
            <w:left w:val="none" w:sz="0" w:space="0" w:color="auto"/>
            <w:bottom w:val="none" w:sz="0" w:space="0" w:color="auto"/>
            <w:right w:val="none" w:sz="0" w:space="0" w:color="auto"/>
          </w:divBdr>
          <w:divsChild>
            <w:div w:id="582880498">
              <w:marLeft w:val="0"/>
              <w:marRight w:val="0"/>
              <w:marTop w:val="0"/>
              <w:marBottom w:val="0"/>
              <w:divBdr>
                <w:top w:val="none" w:sz="0" w:space="0" w:color="auto"/>
                <w:left w:val="none" w:sz="0" w:space="0" w:color="auto"/>
                <w:bottom w:val="none" w:sz="0" w:space="0" w:color="auto"/>
                <w:right w:val="none" w:sz="0" w:space="0" w:color="auto"/>
              </w:divBdr>
            </w:div>
            <w:div w:id="7660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5533">
      <w:bodyDiv w:val="1"/>
      <w:marLeft w:val="0"/>
      <w:marRight w:val="0"/>
      <w:marTop w:val="0"/>
      <w:marBottom w:val="0"/>
      <w:divBdr>
        <w:top w:val="none" w:sz="0" w:space="0" w:color="auto"/>
        <w:left w:val="none" w:sz="0" w:space="0" w:color="auto"/>
        <w:bottom w:val="none" w:sz="0" w:space="0" w:color="auto"/>
        <w:right w:val="none" w:sz="0" w:space="0" w:color="auto"/>
      </w:divBdr>
    </w:div>
    <w:div w:id="1808889799">
      <w:bodyDiv w:val="1"/>
      <w:marLeft w:val="0"/>
      <w:marRight w:val="0"/>
      <w:marTop w:val="0"/>
      <w:marBottom w:val="0"/>
      <w:divBdr>
        <w:top w:val="none" w:sz="0" w:space="0" w:color="auto"/>
        <w:left w:val="none" w:sz="0" w:space="0" w:color="auto"/>
        <w:bottom w:val="none" w:sz="0" w:space="0" w:color="auto"/>
        <w:right w:val="none" w:sz="0" w:space="0" w:color="auto"/>
      </w:divBdr>
    </w:div>
    <w:div w:id="1821189515">
      <w:bodyDiv w:val="1"/>
      <w:marLeft w:val="0"/>
      <w:marRight w:val="0"/>
      <w:marTop w:val="0"/>
      <w:marBottom w:val="0"/>
      <w:divBdr>
        <w:top w:val="none" w:sz="0" w:space="0" w:color="auto"/>
        <w:left w:val="none" w:sz="0" w:space="0" w:color="auto"/>
        <w:bottom w:val="none" w:sz="0" w:space="0" w:color="auto"/>
        <w:right w:val="none" w:sz="0" w:space="0" w:color="auto"/>
      </w:divBdr>
    </w:div>
    <w:div w:id="1849564733">
      <w:bodyDiv w:val="1"/>
      <w:marLeft w:val="0"/>
      <w:marRight w:val="0"/>
      <w:marTop w:val="0"/>
      <w:marBottom w:val="0"/>
      <w:divBdr>
        <w:top w:val="none" w:sz="0" w:space="0" w:color="auto"/>
        <w:left w:val="none" w:sz="0" w:space="0" w:color="auto"/>
        <w:bottom w:val="none" w:sz="0" w:space="0" w:color="auto"/>
        <w:right w:val="none" w:sz="0" w:space="0" w:color="auto"/>
      </w:divBdr>
    </w:div>
    <w:div w:id="1926911585">
      <w:bodyDiv w:val="1"/>
      <w:marLeft w:val="0"/>
      <w:marRight w:val="0"/>
      <w:marTop w:val="0"/>
      <w:marBottom w:val="0"/>
      <w:divBdr>
        <w:top w:val="none" w:sz="0" w:space="0" w:color="auto"/>
        <w:left w:val="none" w:sz="0" w:space="0" w:color="auto"/>
        <w:bottom w:val="none" w:sz="0" w:space="0" w:color="auto"/>
        <w:right w:val="none" w:sz="0" w:space="0" w:color="auto"/>
      </w:divBdr>
    </w:div>
    <w:div w:id="1929195788">
      <w:bodyDiv w:val="1"/>
      <w:marLeft w:val="0"/>
      <w:marRight w:val="0"/>
      <w:marTop w:val="0"/>
      <w:marBottom w:val="0"/>
      <w:divBdr>
        <w:top w:val="none" w:sz="0" w:space="0" w:color="auto"/>
        <w:left w:val="none" w:sz="0" w:space="0" w:color="auto"/>
        <w:bottom w:val="none" w:sz="0" w:space="0" w:color="auto"/>
        <w:right w:val="none" w:sz="0" w:space="0" w:color="auto"/>
      </w:divBdr>
    </w:div>
    <w:div w:id="1932160601">
      <w:bodyDiv w:val="1"/>
      <w:marLeft w:val="0"/>
      <w:marRight w:val="0"/>
      <w:marTop w:val="0"/>
      <w:marBottom w:val="0"/>
      <w:divBdr>
        <w:top w:val="none" w:sz="0" w:space="0" w:color="auto"/>
        <w:left w:val="none" w:sz="0" w:space="0" w:color="auto"/>
        <w:bottom w:val="none" w:sz="0" w:space="0" w:color="auto"/>
        <w:right w:val="none" w:sz="0" w:space="0" w:color="auto"/>
      </w:divBdr>
    </w:div>
    <w:div w:id="1934240882">
      <w:bodyDiv w:val="1"/>
      <w:marLeft w:val="0"/>
      <w:marRight w:val="0"/>
      <w:marTop w:val="0"/>
      <w:marBottom w:val="0"/>
      <w:divBdr>
        <w:top w:val="none" w:sz="0" w:space="0" w:color="auto"/>
        <w:left w:val="none" w:sz="0" w:space="0" w:color="auto"/>
        <w:bottom w:val="none" w:sz="0" w:space="0" w:color="auto"/>
        <w:right w:val="none" w:sz="0" w:space="0" w:color="auto"/>
      </w:divBdr>
    </w:div>
    <w:div w:id="1991203524">
      <w:bodyDiv w:val="1"/>
      <w:marLeft w:val="0"/>
      <w:marRight w:val="0"/>
      <w:marTop w:val="0"/>
      <w:marBottom w:val="0"/>
      <w:divBdr>
        <w:top w:val="none" w:sz="0" w:space="0" w:color="auto"/>
        <w:left w:val="none" w:sz="0" w:space="0" w:color="auto"/>
        <w:bottom w:val="none" w:sz="0" w:space="0" w:color="auto"/>
        <w:right w:val="none" w:sz="0" w:space="0" w:color="auto"/>
      </w:divBdr>
    </w:div>
    <w:div w:id="2077510636">
      <w:bodyDiv w:val="1"/>
      <w:marLeft w:val="0"/>
      <w:marRight w:val="0"/>
      <w:marTop w:val="0"/>
      <w:marBottom w:val="0"/>
      <w:divBdr>
        <w:top w:val="none" w:sz="0" w:space="0" w:color="auto"/>
        <w:left w:val="none" w:sz="0" w:space="0" w:color="auto"/>
        <w:bottom w:val="none" w:sz="0" w:space="0" w:color="auto"/>
        <w:right w:val="none" w:sz="0" w:space="0" w:color="auto"/>
      </w:divBdr>
    </w:div>
    <w:div w:id="2110273771">
      <w:bodyDiv w:val="1"/>
      <w:marLeft w:val="0"/>
      <w:marRight w:val="0"/>
      <w:marTop w:val="0"/>
      <w:marBottom w:val="0"/>
      <w:divBdr>
        <w:top w:val="none" w:sz="0" w:space="0" w:color="auto"/>
        <w:left w:val="none" w:sz="0" w:space="0" w:color="auto"/>
        <w:bottom w:val="none" w:sz="0" w:space="0" w:color="auto"/>
        <w:right w:val="none" w:sz="0" w:space="0" w:color="auto"/>
      </w:divBdr>
      <w:divsChild>
        <w:div w:id="1699771851">
          <w:marLeft w:val="432"/>
          <w:marRight w:val="0"/>
          <w:marTop w:val="91"/>
          <w:marBottom w:val="0"/>
          <w:divBdr>
            <w:top w:val="none" w:sz="0" w:space="0" w:color="auto"/>
            <w:left w:val="none" w:sz="0" w:space="0" w:color="auto"/>
            <w:bottom w:val="none" w:sz="0" w:space="0" w:color="auto"/>
            <w:right w:val="none" w:sz="0" w:space="0" w:color="auto"/>
          </w:divBdr>
        </w:div>
        <w:div w:id="1831016008">
          <w:marLeft w:val="907"/>
          <w:marRight w:val="0"/>
          <w:marTop w:val="82"/>
          <w:marBottom w:val="0"/>
          <w:divBdr>
            <w:top w:val="none" w:sz="0" w:space="0" w:color="auto"/>
            <w:left w:val="none" w:sz="0" w:space="0" w:color="auto"/>
            <w:bottom w:val="none" w:sz="0" w:space="0" w:color="auto"/>
            <w:right w:val="none" w:sz="0" w:space="0" w:color="auto"/>
          </w:divBdr>
        </w:div>
        <w:div w:id="1229341982">
          <w:marLeft w:val="907"/>
          <w:marRight w:val="0"/>
          <w:marTop w:val="82"/>
          <w:marBottom w:val="0"/>
          <w:divBdr>
            <w:top w:val="none" w:sz="0" w:space="0" w:color="auto"/>
            <w:left w:val="none" w:sz="0" w:space="0" w:color="auto"/>
            <w:bottom w:val="none" w:sz="0" w:space="0" w:color="auto"/>
            <w:right w:val="none" w:sz="0" w:space="0" w:color="auto"/>
          </w:divBdr>
        </w:div>
        <w:div w:id="273026311">
          <w:marLeft w:val="907"/>
          <w:marRight w:val="0"/>
          <w:marTop w:val="82"/>
          <w:marBottom w:val="0"/>
          <w:divBdr>
            <w:top w:val="none" w:sz="0" w:space="0" w:color="auto"/>
            <w:left w:val="none" w:sz="0" w:space="0" w:color="auto"/>
            <w:bottom w:val="none" w:sz="0" w:space="0" w:color="auto"/>
            <w:right w:val="none" w:sz="0" w:space="0" w:color="auto"/>
          </w:divBdr>
        </w:div>
        <w:div w:id="440999072">
          <w:marLeft w:val="432"/>
          <w:marRight w:val="0"/>
          <w:marTop w:val="91"/>
          <w:marBottom w:val="0"/>
          <w:divBdr>
            <w:top w:val="none" w:sz="0" w:space="0" w:color="auto"/>
            <w:left w:val="none" w:sz="0" w:space="0" w:color="auto"/>
            <w:bottom w:val="none" w:sz="0" w:space="0" w:color="auto"/>
            <w:right w:val="none" w:sz="0" w:space="0" w:color="auto"/>
          </w:divBdr>
        </w:div>
        <w:div w:id="716931065">
          <w:marLeft w:val="432"/>
          <w:marRight w:val="0"/>
          <w:marTop w:val="91"/>
          <w:marBottom w:val="0"/>
          <w:divBdr>
            <w:top w:val="none" w:sz="0" w:space="0" w:color="auto"/>
            <w:left w:val="none" w:sz="0" w:space="0" w:color="auto"/>
            <w:bottom w:val="none" w:sz="0" w:space="0" w:color="auto"/>
            <w:right w:val="none" w:sz="0" w:space="0" w:color="auto"/>
          </w:divBdr>
        </w:div>
        <w:div w:id="1830712460">
          <w:marLeft w:val="432"/>
          <w:marRight w:val="0"/>
          <w:marTop w:val="91"/>
          <w:marBottom w:val="0"/>
          <w:divBdr>
            <w:top w:val="none" w:sz="0" w:space="0" w:color="auto"/>
            <w:left w:val="none" w:sz="0" w:space="0" w:color="auto"/>
            <w:bottom w:val="none" w:sz="0" w:space="0" w:color="auto"/>
            <w:right w:val="none" w:sz="0" w:space="0" w:color="auto"/>
          </w:divBdr>
        </w:div>
        <w:div w:id="278724651">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anofi.com/-/media/Project/One-Sanofi-Web/Websites/Global/Sanofi-COM/Home/media-room/press-releases/2020/2020-04-27-12-58-00-2022288-en.pdf" TargetMode="External"/><Relationship Id="rId2" Type="http://schemas.openxmlformats.org/officeDocument/2006/relationships/customXml" Target="../customXml/item2.xml"/><Relationship Id="rId16" Type="http://schemas.openxmlformats.org/officeDocument/2006/relationships/hyperlink" Target="https://www.aphp.fr/contenu/tocilizumab-improves-significantly-clinical-outcomes-patients-moderate-or-severe-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WHO R&amp;D Theme">
  <a:themeElements>
    <a:clrScheme name="WHO R&amp;D Colours">
      <a:dk1>
        <a:srgbClr val="000000"/>
      </a:dk1>
      <a:lt1>
        <a:srgbClr val="FFFFFF"/>
      </a:lt1>
      <a:dk2>
        <a:srgbClr val="1B4379"/>
      </a:dk2>
      <a:lt2>
        <a:srgbClr val="FFFFFF"/>
      </a:lt2>
      <a:accent1>
        <a:srgbClr val="1B4379"/>
      </a:accent1>
      <a:accent2>
        <a:srgbClr val="1E7FB8"/>
      </a:accent2>
      <a:accent3>
        <a:srgbClr val="399161"/>
      </a:accent3>
      <a:accent4>
        <a:srgbClr val="7BA382"/>
      </a:accent4>
      <a:accent5>
        <a:srgbClr val="D3C8B6"/>
      </a:accent5>
      <a:accent6>
        <a:srgbClr val="E9832F"/>
      </a:accent6>
      <a:hlink>
        <a:srgbClr val="0563C1"/>
      </a:hlink>
      <a:folHlink>
        <a:srgbClr val="954F72"/>
      </a:folHlink>
    </a:clrScheme>
    <a:fontScheme name="WHO R&amp;D">
      <a:majorFont>
        <a:latin typeface="Helvetica"/>
        <a:ea typeface=""/>
        <a:cs typeface=""/>
      </a:majorFont>
      <a:minorFont>
        <a:latin typeface="Helvetica"/>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l">
          <a:defRPr sz="1200" b="1"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WHO R&amp;D Theme" id="{82AA3C86-D904-774A-9D14-F485FBB98511}" vid="{C47478DA-54DD-2544-B14B-04318AD049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684DB2C671648A2DCBB0E883F6756" ma:contentTypeVersion="13" ma:contentTypeDescription="Create a new document." ma:contentTypeScope="" ma:versionID="cd64b9fdc6fe283df1e70cf5d521c0a7">
  <xsd:schema xmlns:xsd="http://www.w3.org/2001/XMLSchema" xmlns:xs="http://www.w3.org/2001/XMLSchema" xmlns:p="http://schemas.microsoft.com/office/2006/metadata/properties" xmlns:ns3="8b8d0aab-65b3-4bba-a411-21b56abe40f7" xmlns:ns4="3ddb4cf8-4df4-4b6c-93b0-d9e7e768e9f5" targetNamespace="http://schemas.microsoft.com/office/2006/metadata/properties" ma:root="true" ma:fieldsID="10ba9803b748849dc348b81707e33cd3" ns3:_="" ns4:_="">
    <xsd:import namespace="8b8d0aab-65b3-4bba-a411-21b56abe40f7"/>
    <xsd:import namespace="3ddb4cf8-4df4-4b6c-93b0-d9e7e768e9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0aab-65b3-4bba-a411-21b56abe4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b4cf8-4df4-4b6c-93b0-d9e7e768e9f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FF9A94-B064-417C-8865-F1BC7AEC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0aab-65b3-4bba-a411-21b56abe40f7"/>
    <ds:schemaRef ds:uri="3ddb4cf8-4df4-4b6c-93b0-d9e7e768e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A4514-FBD2-42E3-9E5A-F4A1A13308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87515-FF4E-463D-BEAB-0B988BBBB8D4}">
  <ds:schemaRefs>
    <ds:schemaRef ds:uri="http://schemas.microsoft.com/sharepoint/v3/contenttype/forms"/>
  </ds:schemaRefs>
</ds:datastoreItem>
</file>

<file path=customXml/itemProps4.xml><?xml version="1.0" encoding="utf-8"?>
<ds:datastoreItem xmlns:ds="http://schemas.openxmlformats.org/officeDocument/2006/customXml" ds:itemID="{161A8015-220B-496F-9A0C-3E90B323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3085</Words>
  <Characters>17591</Characters>
  <Application>Microsoft Office Word</Application>
  <DocSecurity>0</DocSecurity>
  <Lines>146</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Publication title</vt:lpstr>
      <vt:lpstr>Publication title</vt:lpstr>
    </vt:vector>
  </TitlesOfParts>
  <Company>WHO</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title</dc:title>
  <dc:creator>Microsoft Office User</dc:creator>
  <cp:lastModifiedBy>COSTA, Alejandro Javier</cp:lastModifiedBy>
  <cp:revision>5</cp:revision>
  <cp:lastPrinted>2020-03-28T08:49:00Z</cp:lastPrinted>
  <dcterms:created xsi:type="dcterms:W3CDTF">2020-05-12T08:27:00Z</dcterms:created>
  <dcterms:modified xsi:type="dcterms:W3CDTF">2020-05-12T11:51:00Z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0x0101005B0684DB2C671648A2DCBB0E883F6756</vt:lpwstr>
  </property>
</Properties>
</file>