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E32F" w14:textId="77777777" w:rsidR="008435FC" w:rsidRPr="000C5F67" w:rsidRDefault="008435FC" w:rsidP="005F404D">
      <w:pPr>
        <w:spacing w:after="120" w:line="240" w:lineRule="auto"/>
        <w:jc w:val="center"/>
        <w:rPr>
          <w:rFonts w:cs="Times New Roman"/>
          <w:b/>
          <w:sz w:val="24"/>
          <w:szCs w:val="24"/>
        </w:rPr>
      </w:pPr>
    </w:p>
    <w:p w14:paraId="6A413E10" w14:textId="69E6306C" w:rsidR="000307EC" w:rsidRPr="000C5F67" w:rsidRDefault="00E31AD0" w:rsidP="005F404D">
      <w:pPr>
        <w:spacing w:after="120" w:line="240" w:lineRule="auto"/>
        <w:jc w:val="center"/>
        <w:rPr>
          <w:rFonts w:cs="Times New Roman"/>
          <w:b/>
          <w:sz w:val="24"/>
          <w:szCs w:val="24"/>
        </w:rPr>
      </w:pPr>
      <w:r w:rsidRPr="000C5F67">
        <w:rPr>
          <w:rFonts w:cs="Times New Roman"/>
          <w:b/>
          <w:sz w:val="24"/>
          <w:szCs w:val="24"/>
        </w:rPr>
        <w:t>T</w:t>
      </w:r>
      <w:r w:rsidR="000307EC" w:rsidRPr="000C5F67">
        <w:rPr>
          <w:rFonts w:cs="Times New Roman"/>
          <w:b/>
          <w:sz w:val="24"/>
          <w:szCs w:val="24"/>
        </w:rPr>
        <w:t xml:space="preserve">he </w:t>
      </w:r>
      <w:r w:rsidR="0075645D" w:rsidRPr="000C5F67">
        <w:rPr>
          <w:rFonts w:cs="Times New Roman"/>
          <w:b/>
          <w:sz w:val="24"/>
          <w:szCs w:val="24"/>
        </w:rPr>
        <w:t>Intersessional Process for Considering SAICM and the Sound Management of Chemicals and Waste Beyond 2020</w:t>
      </w:r>
    </w:p>
    <w:p w14:paraId="214F1687" w14:textId="5DEBCC29" w:rsidR="008435FC" w:rsidRPr="000C5F67" w:rsidDel="007E3C08" w:rsidRDefault="008435FC" w:rsidP="005F404D">
      <w:pPr>
        <w:spacing w:after="0" w:line="240" w:lineRule="auto"/>
        <w:jc w:val="center"/>
        <w:rPr>
          <w:rFonts w:cs="Times New Roman"/>
          <w:b/>
          <w:sz w:val="24"/>
          <w:szCs w:val="24"/>
        </w:rPr>
      </w:pPr>
      <w:r w:rsidRPr="000C5F67" w:rsidDel="007E3C08">
        <w:rPr>
          <w:rFonts w:cs="Times New Roman"/>
          <w:b/>
          <w:sz w:val="24"/>
          <w:szCs w:val="24"/>
        </w:rPr>
        <w:t xml:space="preserve">Health Sector Background Note  </w:t>
      </w:r>
    </w:p>
    <w:p w14:paraId="72200086" w14:textId="2E63DDA4" w:rsidR="008435FC" w:rsidRDefault="008435FC" w:rsidP="005F404D">
      <w:pPr>
        <w:spacing w:after="0" w:line="240" w:lineRule="auto"/>
        <w:jc w:val="center"/>
        <w:rPr>
          <w:rFonts w:cs="Times New Roman"/>
          <w:sz w:val="24"/>
          <w:szCs w:val="24"/>
        </w:rPr>
      </w:pPr>
      <w:r w:rsidRPr="000C5F67">
        <w:rPr>
          <w:rFonts w:cs="Times New Roman"/>
          <w:sz w:val="24"/>
          <w:szCs w:val="24"/>
        </w:rPr>
        <w:t>Prepared by the World Health Organization</w:t>
      </w:r>
    </w:p>
    <w:p w14:paraId="483AA6FB" w14:textId="0D24D330" w:rsidR="00CD6FD6" w:rsidRDefault="00CD6FD6" w:rsidP="005F404D">
      <w:pPr>
        <w:spacing w:after="0" w:line="240" w:lineRule="auto"/>
        <w:jc w:val="center"/>
        <w:rPr>
          <w:rFonts w:cs="Times New Roman"/>
          <w:sz w:val="24"/>
          <w:szCs w:val="24"/>
        </w:rPr>
      </w:pPr>
    </w:p>
    <w:p w14:paraId="58C69068" w14:textId="7DD8AA72" w:rsidR="00CD6FD6" w:rsidRPr="00CD6FD6" w:rsidRDefault="00CD6FD6" w:rsidP="00CD6FD6">
      <w:pPr>
        <w:spacing w:after="0" w:line="240" w:lineRule="auto"/>
        <w:rPr>
          <w:rFonts w:cs="Times New Roman"/>
          <w:i/>
          <w:sz w:val="24"/>
          <w:szCs w:val="24"/>
        </w:rPr>
      </w:pPr>
      <w:r>
        <w:rPr>
          <w:rFonts w:cs="Times New Roman"/>
          <w:i/>
          <w:sz w:val="24"/>
          <w:szCs w:val="24"/>
        </w:rPr>
        <w:t>12 October 2020</w:t>
      </w:r>
    </w:p>
    <w:p w14:paraId="0F04249E" w14:textId="77777777" w:rsidR="00E4189C" w:rsidRDefault="00E4189C" w:rsidP="005F404D">
      <w:pPr>
        <w:spacing w:after="0" w:line="240" w:lineRule="auto"/>
        <w:jc w:val="center"/>
        <w:rPr>
          <w:rFonts w:cs="Times New Roman"/>
          <w:sz w:val="24"/>
          <w:szCs w:val="24"/>
        </w:rPr>
      </w:pPr>
    </w:p>
    <w:p w14:paraId="66C4218F" w14:textId="4C41D351" w:rsidR="00A01D63" w:rsidRPr="000C5F67" w:rsidRDefault="00E31AD0" w:rsidP="00E4189C">
      <w:pPr>
        <w:tabs>
          <w:tab w:val="left" w:pos="851"/>
        </w:tabs>
        <w:spacing w:after="0" w:line="240" w:lineRule="auto"/>
        <w:rPr>
          <w:rFonts w:cs="Times New Roman"/>
          <w:b/>
          <w:spacing w:val="-4"/>
          <w:sz w:val="24"/>
          <w:szCs w:val="24"/>
        </w:rPr>
      </w:pPr>
      <w:r w:rsidRPr="000C5F67">
        <w:rPr>
          <w:rFonts w:cs="Times New Roman"/>
          <w:b/>
          <w:spacing w:val="-4"/>
          <w:sz w:val="24"/>
          <w:szCs w:val="24"/>
        </w:rPr>
        <w:t>Introduction</w:t>
      </w:r>
    </w:p>
    <w:p w14:paraId="4E5CA459" w14:textId="0207E2A3" w:rsidR="0065456A" w:rsidRPr="00AB7660" w:rsidRDefault="001853E4" w:rsidP="00242716">
      <w:pPr>
        <w:tabs>
          <w:tab w:val="left" w:pos="851"/>
        </w:tabs>
        <w:spacing w:after="160" w:line="240" w:lineRule="auto"/>
        <w:rPr>
          <w:rFonts w:cs="Times New Roman"/>
          <w:sz w:val="24"/>
          <w:szCs w:val="24"/>
        </w:rPr>
      </w:pPr>
      <w:r w:rsidRPr="000C5F67">
        <w:rPr>
          <w:rFonts w:cs="Times New Roman"/>
          <w:spacing w:val="-4"/>
          <w:sz w:val="24"/>
          <w:szCs w:val="24"/>
        </w:rPr>
        <w:t xml:space="preserve">The engagement of all relevant sectors and stakeholders in governments, inter-governmental and non-governmental organizations is vital to achieve the sound management of chemicals. The health sector is central to this given its key roles and responsibilities. Recognizing this, in 2016, the World Health Assembly (WHA) adopted </w:t>
      </w:r>
      <w:hyperlink r:id="rId9" w:history="1">
        <w:r w:rsidRPr="000C5F67">
          <w:rPr>
            <w:rStyle w:val="Hipercze"/>
            <w:rFonts w:cs="Times New Roman"/>
            <w:spacing w:val="-4"/>
            <w:sz w:val="24"/>
            <w:szCs w:val="24"/>
          </w:rPr>
          <w:t>Resolution 69.4 (WHA69.4)</w:t>
        </w:r>
      </w:hyperlink>
      <w:r w:rsidR="00470290">
        <w:rPr>
          <w:rStyle w:val="Odwoanieprzypisudolnego"/>
          <w:rFonts w:cs="Times New Roman"/>
          <w:color w:val="0000FF" w:themeColor="hyperlink"/>
          <w:spacing w:val="-4"/>
          <w:sz w:val="24"/>
          <w:szCs w:val="24"/>
          <w:u w:val="single"/>
        </w:rPr>
        <w:footnoteReference w:id="1"/>
      </w:r>
      <w:r w:rsidRPr="000C5F67">
        <w:rPr>
          <w:rFonts w:cs="Times New Roman"/>
          <w:spacing w:val="-4"/>
          <w:sz w:val="24"/>
          <w:szCs w:val="24"/>
        </w:rPr>
        <w:t xml:space="preserve"> entitled: </w:t>
      </w:r>
      <w:r w:rsidRPr="000C5F67">
        <w:rPr>
          <w:rFonts w:cs="Times New Roman"/>
          <w:i/>
          <w:spacing w:val="-4"/>
          <w:sz w:val="24"/>
          <w:szCs w:val="24"/>
        </w:rPr>
        <w:t>The role of the health sector in the Strategic Approach to International Chemicals Management towards 2020 and beyond</w:t>
      </w:r>
      <w:r w:rsidRPr="000C5F67">
        <w:rPr>
          <w:rFonts w:cs="Times New Roman"/>
          <w:spacing w:val="-4"/>
          <w:sz w:val="24"/>
          <w:szCs w:val="24"/>
        </w:rPr>
        <w:t>.</w:t>
      </w:r>
      <w:r w:rsidR="009D1543" w:rsidRPr="000C5F67">
        <w:rPr>
          <w:rFonts w:cs="Times New Roman"/>
          <w:color w:val="365F91" w:themeColor="accent1" w:themeShade="BF"/>
          <w:sz w:val="24"/>
          <w:szCs w:val="24"/>
        </w:rPr>
        <w:t xml:space="preserve"> </w:t>
      </w:r>
      <w:r w:rsidR="00AB7660">
        <w:rPr>
          <w:rFonts w:cs="Times New Roman"/>
          <w:color w:val="365F91" w:themeColor="accent1" w:themeShade="BF"/>
          <w:sz w:val="24"/>
          <w:szCs w:val="24"/>
        </w:rPr>
        <w:t xml:space="preserve"> </w:t>
      </w:r>
      <w:r w:rsidR="00AB7660" w:rsidRPr="00AB7660">
        <w:rPr>
          <w:rFonts w:cs="Times New Roman"/>
          <w:sz w:val="24"/>
          <w:szCs w:val="24"/>
        </w:rPr>
        <w:t xml:space="preserve">The following year, the 70th WHA approved the </w:t>
      </w:r>
      <w:hyperlink r:id="rId10" w:anchor="tab=tab_3" w:history="1">
        <w:r w:rsidR="00AB7660" w:rsidRPr="009F38D5">
          <w:rPr>
            <w:rStyle w:val="Hipercze"/>
            <w:rFonts w:cs="Times New Roman"/>
            <w:i/>
            <w:sz w:val="24"/>
            <w:szCs w:val="24"/>
          </w:rPr>
          <w:t>Road map to enhance health sector engagement in the Strategic Approach to International Chemicals Management towards the 2020 goal and beyond</w:t>
        </w:r>
      </w:hyperlink>
      <w:r w:rsidR="00470290">
        <w:rPr>
          <w:rStyle w:val="Odwoanieprzypisudolnego"/>
          <w:rFonts w:cs="Times New Roman"/>
          <w:i/>
          <w:sz w:val="24"/>
          <w:szCs w:val="24"/>
          <w:u w:val="single"/>
        </w:rPr>
        <w:footnoteReference w:id="2"/>
      </w:r>
      <w:r w:rsidR="00AB7660" w:rsidRPr="00AB7660">
        <w:rPr>
          <w:rFonts w:cs="Times New Roman"/>
          <w:sz w:val="24"/>
          <w:szCs w:val="24"/>
        </w:rPr>
        <w:t xml:space="preserve"> (the road map) requested by </w:t>
      </w:r>
      <w:r w:rsidR="00E4189C">
        <w:rPr>
          <w:rFonts w:cs="Times New Roman"/>
          <w:sz w:val="24"/>
          <w:szCs w:val="24"/>
        </w:rPr>
        <w:t>WHA69.4</w:t>
      </w:r>
      <w:r w:rsidR="00AB7660" w:rsidRPr="00AB7660">
        <w:rPr>
          <w:rFonts w:cs="Times New Roman"/>
          <w:sz w:val="24"/>
          <w:szCs w:val="24"/>
        </w:rPr>
        <w:t>.</w:t>
      </w:r>
    </w:p>
    <w:p w14:paraId="378E7DDF" w14:textId="5E45998B" w:rsidR="004774C5" w:rsidRPr="000C5F67" w:rsidRDefault="0065456A" w:rsidP="00242716">
      <w:pPr>
        <w:tabs>
          <w:tab w:val="left" w:pos="851"/>
        </w:tabs>
        <w:spacing w:after="160" w:line="240" w:lineRule="auto"/>
        <w:rPr>
          <w:rFonts w:cs="Times New Roman"/>
          <w:color w:val="365F91" w:themeColor="accent1" w:themeShade="BF"/>
          <w:sz w:val="24"/>
          <w:szCs w:val="24"/>
        </w:rPr>
      </w:pPr>
      <w:r w:rsidRPr="0065456A">
        <w:rPr>
          <w:rFonts w:cs="Times New Roman"/>
          <w:spacing w:val="-4"/>
          <w:sz w:val="24"/>
          <w:szCs w:val="24"/>
        </w:rPr>
        <w:t xml:space="preserve">During WHA discussions on resolution WHA69.4 and </w:t>
      </w:r>
      <w:r w:rsidR="004C3D16">
        <w:rPr>
          <w:rFonts w:cs="Times New Roman"/>
          <w:spacing w:val="-4"/>
          <w:sz w:val="24"/>
          <w:szCs w:val="24"/>
        </w:rPr>
        <w:t xml:space="preserve">on </w:t>
      </w:r>
      <w:r w:rsidRPr="0065456A">
        <w:rPr>
          <w:rFonts w:cs="Times New Roman"/>
          <w:spacing w:val="-4"/>
          <w:sz w:val="24"/>
          <w:szCs w:val="24"/>
        </w:rPr>
        <w:t xml:space="preserve">the road map, many Member States </w:t>
      </w:r>
      <w:r w:rsidR="009F38D5">
        <w:rPr>
          <w:rFonts w:cs="Times New Roman"/>
          <w:spacing w:val="-4"/>
          <w:sz w:val="24"/>
          <w:szCs w:val="24"/>
        </w:rPr>
        <w:t xml:space="preserve">have </w:t>
      </w:r>
      <w:r w:rsidRPr="0065456A">
        <w:rPr>
          <w:rFonts w:cs="Times New Roman"/>
          <w:spacing w:val="-4"/>
          <w:sz w:val="24"/>
          <w:szCs w:val="24"/>
        </w:rPr>
        <w:t>highlighted the importance of the health sector role in the sound management of chemicals and of the work of the WHO Secretariat in supporting Member States in this regard.</w:t>
      </w:r>
    </w:p>
    <w:p w14:paraId="1D4E450F" w14:textId="1470F4FE" w:rsidR="00E31AD0" w:rsidRPr="000C5F67" w:rsidRDefault="00E31AD0" w:rsidP="00242716">
      <w:pPr>
        <w:tabs>
          <w:tab w:val="left" w:pos="851"/>
        </w:tabs>
        <w:spacing w:after="160" w:line="240" w:lineRule="auto"/>
        <w:rPr>
          <w:rFonts w:cs="Times New Roman"/>
          <w:sz w:val="24"/>
          <w:szCs w:val="24"/>
        </w:rPr>
      </w:pPr>
      <w:r w:rsidRPr="000C5F67">
        <w:rPr>
          <w:rFonts w:cs="Times New Roman"/>
          <w:sz w:val="24"/>
          <w:szCs w:val="24"/>
        </w:rPr>
        <w:t xml:space="preserve">The </w:t>
      </w:r>
      <w:hyperlink r:id="rId11" w:history="1">
        <w:r w:rsidRPr="009F38D5">
          <w:rPr>
            <w:rStyle w:val="Hipercze"/>
            <w:rFonts w:cs="Times New Roman"/>
            <w:sz w:val="24"/>
            <w:szCs w:val="24"/>
          </w:rPr>
          <w:t>Strategic Approach to International Chemicals Management</w:t>
        </w:r>
      </w:hyperlink>
      <w:r w:rsidR="00242716">
        <w:rPr>
          <w:rStyle w:val="Odwoanieprzypisudolnego"/>
          <w:rFonts w:cs="Times New Roman"/>
          <w:sz w:val="24"/>
          <w:szCs w:val="24"/>
        </w:rPr>
        <w:footnoteReference w:id="3"/>
      </w:r>
      <w:r w:rsidRPr="000C5F67">
        <w:rPr>
          <w:rFonts w:cs="Times New Roman"/>
          <w:sz w:val="24"/>
          <w:szCs w:val="24"/>
        </w:rPr>
        <w:t xml:space="preserve"> (SAICM) is a voluntary international policy framework to foster the sound management of chemicals worldwide and, specifically, to support multi-sectoral, multi-stakeholder efforts toward the goal agreed to at the 2002 World Summit on Sustainable Development that, </w:t>
      </w:r>
      <w:r w:rsidRPr="000C5F67">
        <w:rPr>
          <w:rFonts w:cs="Times New Roman"/>
          <w:i/>
          <w:sz w:val="24"/>
          <w:szCs w:val="24"/>
        </w:rPr>
        <w:t>by the year 2020, chemicals are produced and used in ways that minimize significant adverse impacts on the environment and human health</w:t>
      </w:r>
      <w:r w:rsidRPr="000C5F67">
        <w:rPr>
          <w:rFonts w:cs="Times New Roman"/>
          <w:sz w:val="24"/>
          <w:szCs w:val="24"/>
        </w:rPr>
        <w:t>. Implementation of SAICM is overseen by the International Conference on Chemicals Management (ICCM).</w:t>
      </w:r>
    </w:p>
    <w:p w14:paraId="5BB20522" w14:textId="47CB9958" w:rsidR="00E31AD0" w:rsidRPr="000C5F67" w:rsidRDefault="00CD6FD6" w:rsidP="00242716">
      <w:pPr>
        <w:tabs>
          <w:tab w:val="left" w:pos="851"/>
        </w:tabs>
        <w:spacing w:after="160" w:line="240" w:lineRule="auto"/>
        <w:rPr>
          <w:rFonts w:cs="Times New Roman"/>
          <w:color w:val="365F91" w:themeColor="accent1" w:themeShade="BF"/>
          <w:sz w:val="24"/>
          <w:szCs w:val="24"/>
        </w:rPr>
      </w:pPr>
      <w:r>
        <w:rPr>
          <w:rFonts w:cs="Times New Roman"/>
          <w:sz w:val="24"/>
          <w:szCs w:val="24"/>
        </w:rPr>
        <w:t>A</w:t>
      </w:r>
      <w:r w:rsidR="00E31AD0" w:rsidRPr="000C5F67">
        <w:rPr>
          <w:rFonts w:cs="Times New Roman"/>
          <w:sz w:val="24"/>
          <w:szCs w:val="24"/>
        </w:rPr>
        <w:t>t its fourth session in 2015 the ICCM decided to initiate an intersessional process to prepare recommendations on SAICM and the sound management of chemicals and waste beyond 2020 (the intersessional process). The outcome of the intersessional process will be presented at ICCM’s fifth session (ICCM5)</w:t>
      </w:r>
      <w:r w:rsidR="00FF0FA1">
        <w:rPr>
          <w:rFonts w:cs="Times New Roman"/>
          <w:sz w:val="24"/>
          <w:szCs w:val="24"/>
        </w:rPr>
        <w:t>, scheduled for 5-9 July 2021, in Bonn, Germany</w:t>
      </w:r>
      <w:r w:rsidR="00E31AD0" w:rsidRPr="000C5F67">
        <w:rPr>
          <w:rFonts w:cs="Times New Roman"/>
          <w:sz w:val="24"/>
          <w:szCs w:val="24"/>
        </w:rPr>
        <w:t>.</w:t>
      </w:r>
    </w:p>
    <w:p w14:paraId="2F50CABC" w14:textId="64C2DBE6" w:rsidR="009D1543" w:rsidRPr="000C5F67" w:rsidRDefault="009D1543" w:rsidP="00242716">
      <w:pPr>
        <w:spacing w:after="80" w:line="240" w:lineRule="auto"/>
        <w:rPr>
          <w:rFonts w:cs="Times New Roman"/>
          <w:spacing w:val="-4"/>
          <w:sz w:val="24"/>
          <w:szCs w:val="24"/>
        </w:rPr>
      </w:pPr>
      <w:r w:rsidRPr="000C5F67">
        <w:rPr>
          <w:rFonts w:cs="Times New Roman"/>
          <w:spacing w:val="-4"/>
          <w:sz w:val="24"/>
          <w:szCs w:val="24"/>
        </w:rPr>
        <w:t>Of particular significance for the health sector is ensuring that the recommendations for the future meet the needs of the health sector</w:t>
      </w:r>
      <w:r w:rsidR="00E31AD0" w:rsidRPr="000C5F67">
        <w:rPr>
          <w:rFonts w:cs="Times New Roman"/>
          <w:spacing w:val="-4"/>
          <w:sz w:val="24"/>
          <w:szCs w:val="24"/>
        </w:rPr>
        <w:t>, in particular</w:t>
      </w:r>
      <w:r w:rsidRPr="000C5F67">
        <w:rPr>
          <w:rFonts w:cs="Times New Roman"/>
          <w:spacing w:val="-4"/>
          <w:sz w:val="24"/>
          <w:szCs w:val="24"/>
        </w:rPr>
        <w:t>:</w:t>
      </w:r>
    </w:p>
    <w:p w14:paraId="497E4FEF" w14:textId="77777777" w:rsidR="009D1543" w:rsidRPr="000C5F67" w:rsidRDefault="009D1543" w:rsidP="00FF0FA1">
      <w:pPr>
        <w:numPr>
          <w:ilvl w:val="0"/>
          <w:numId w:val="1"/>
        </w:numPr>
        <w:spacing w:after="0" w:line="240" w:lineRule="auto"/>
        <w:ind w:left="284" w:hanging="284"/>
        <w:contextualSpacing/>
        <w:rPr>
          <w:rFonts w:cs="Times New Roman"/>
          <w:spacing w:val="-4"/>
          <w:sz w:val="24"/>
          <w:szCs w:val="24"/>
        </w:rPr>
      </w:pPr>
      <w:r w:rsidRPr="000C5F67">
        <w:rPr>
          <w:rFonts w:cs="Times New Roman"/>
          <w:spacing w:val="-4"/>
          <w:sz w:val="24"/>
          <w:szCs w:val="24"/>
        </w:rPr>
        <w:t xml:space="preserve">inclusion and emphasis placed on health priorities </w:t>
      </w:r>
    </w:p>
    <w:p w14:paraId="0DCD622A" w14:textId="77777777" w:rsidR="009D1543" w:rsidRPr="000C5F67" w:rsidRDefault="009D1543" w:rsidP="00FF0FA1">
      <w:pPr>
        <w:numPr>
          <w:ilvl w:val="0"/>
          <w:numId w:val="1"/>
        </w:numPr>
        <w:spacing w:after="0" w:line="240" w:lineRule="auto"/>
        <w:ind w:left="284" w:hanging="284"/>
        <w:contextualSpacing/>
        <w:rPr>
          <w:rFonts w:cs="Times New Roman"/>
          <w:spacing w:val="-4"/>
          <w:sz w:val="24"/>
          <w:szCs w:val="24"/>
        </w:rPr>
      </w:pPr>
      <w:r w:rsidRPr="000C5F67">
        <w:rPr>
          <w:rFonts w:cs="Times New Roman"/>
          <w:spacing w:val="-4"/>
          <w:sz w:val="24"/>
          <w:szCs w:val="24"/>
        </w:rPr>
        <w:t>inclusion of the health sector in arrangements for decision-making/governance, and</w:t>
      </w:r>
    </w:p>
    <w:p w14:paraId="154860C8" w14:textId="416979EC" w:rsidR="004C3D16" w:rsidRPr="00242716" w:rsidRDefault="009D1543" w:rsidP="00FF0FA1">
      <w:pPr>
        <w:numPr>
          <w:ilvl w:val="0"/>
          <w:numId w:val="1"/>
        </w:numPr>
        <w:spacing w:after="0" w:line="240" w:lineRule="auto"/>
        <w:ind w:left="284" w:hanging="284"/>
        <w:contextualSpacing/>
        <w:rPr>
          <w:rFonts w:cs="Times New Roman"/>
          <w:spacing w:val="-4"/>
          <w:sz w:val="24"/>
          <w:szCs w:val="24"/>
        </w:rPr>
      </w:pPr>
      <w:r w:rsidRPr="000C5F67">
        <w:rPr>
          <w:rFonts w:cs="Times New Roman"/>
          <w:spacing w:val="-4"/>
          <w:sz w:val="24"/>
          <w:szCs w:val="24"/>
        </w:rPr>
        <w:t xml:space="preserve">support for health sector engagement and implementation. </w:t>
      </w:r>
      <w:r w:rsidR="004C3D16" w:rsidRPr="00242716">
        <w:rPr>
          <w:rFonts w:cs="Times New Roman"/>
          <w:b/>
          <w:sz w:val="24"/>
          <w:szCs w:val="24"/>
        </w:rPr>
        <w:br w:type="page"/>
      </w:r>
    </w:p>
    <w:p w14:paraId="4BE6A56D" w14:textId="367DDB07" w:rsidR="005F404D" w:rsidRPr="000C5F67" w:rsidRDefault="00C8191B" w:rsidP="00F213FD">
      <w:pPr>
        <w:spacing w:after="0" w:line="240" w:lineRule="auto"/>
        <w:rPr>
          <w:rFonts w:cs="Times New Roman"/>
          <w:b/>
          <w:sz w:val="24"/>
          <w:szCs w:val="24"/>
        </w:rPr>
      </w:pPr>
      <w:r>
        <w:rPr>
          <w:rFonts w:cs="Times New Roman"/>
          <w:b/>
          <w:sz w:val="24"/>
          <w:szCs w:val="24"/>
        </w:rPr>
        <w:lastRenderedPageBreak/>
        <w:t xml:space="preserve">The </w:t>
      </w:r>
      <w:r w:rsidR="005F404D" w:rsidRPr="000C5F67">
        <w:rPr>
          <w:rFonts w:cs="Times New Roman"/>
          <w:b/>
          <w:sz w:val="24"/>
          <w:szCs w:val="24"/>
        </w:rPr>
        <w:t xml:space="preserve">Intersessional Process: </w:t>
      </w:r>
    </w:p>
    <w:p w14:paraId="344505F3" w14:textId="615816D6" w:rsidR="00C8191B" w:rsidRDefault="005F404D" w:rsidP="00070D54">
      <w:pPr>
        <w:spacing w:after="120" w:line="240" w:lineRule="auto"/>
        <w:rPr>
          <w:rFonts w:cs="Times New Roman"/>
          <w:sz w:val="24"/>
          <w:szCs w:val="24"/>
        </w:rPr>
      </w:pPr>
      <w:r w:rsidRPr="000C5F67">
        <w:rPr>
          <w:rFonts w:cs="Times New Roman"/>
          <w:sz w:val="24"/>
          <w:szCs w:val="24"/>
          <w:lang w:val="x-none"/>
        </w:rPr>
        <w:t xml:space="preserve">The </w:t>
      </w:r>
      <w:proofErr w:type="spellStart"/>
      <w:r w:rsidRPr="000C5F67">
        <w:rPr>
          <w:rFonts w:cs="Times New Roman"/>
          <w:sz w:val="24"/>
          <w:szCs w:val="24"/>
          <w:lang w:val="x-none"/>
        </w:rPr>
        <w:t>mandate</w:t>
      </w:r>
      <w:proofErr w:type="spellEnd"/>
      <w:r w:rsidRPr="000C5F67">
        <w:rPr>
          <w:rFonts w:cs="Times New Roman"/>
          <w:sz w:val="24"/>
          <w:szCs w:val="24"/>
          <w:lang w:val="x-none"/>
        </w:rPr>
        <w:t xml:space="preserve"> for </w:t>
      </w:r>
      <w:r w:rsidR="00C8191B">
        <w:rPr>
          <w:rFonts w:cs="Times New Roman"/>
          <w:sz w:val="24"/>
          <w:szCs w:val="24"/>
        </w:rPr>
        <w:t>the intersessional process is set out</w:t>
      </w:r>
      <w:r w:rsidRPr="000C5F67">
        <w:rPr>
          <w:rFonts w:cs="Times New Roman"/>
          <w:sz w:val="24"/>
          <w:szCs w:val="24"/>
          <w:lang w:val="x-none"/>
        </w:rPr>
        <w:t xml:space="preserve"> in </w:t>
      </w:r>
      <w:r w:rsidR="00C8191B">
        <w:rPr>
          <w:rFonts w:cs="Times New Roman"/>
          <w:sz w:val="24"/>
          <w:szCs w:val="24"/>
        </w:rPr>
        <w:t xml:space="preserve">SAICM ICCM 4 </w:t>
      </w:r>
      <w:r w:rsidRPr="000C5F67">
        <w:rPr>
          <w:rFonts w:cs="Times New Roman"/>
          <w:b/>
          <w:sz w:val="24"/>
          <w:szCs w:val="24"/>
          <w:u w:val="single"/>
          <w:lang w:val="x-none"/>
        </w:rPr>
        <w:t>resolution IV/4</w:t>
      </w:r>
      <w:r w:rsidRPr="000C5F67">
        <w:rPr>
          <w:rFonts w:cs="Times New Roman"/>
          <w:sz w:val="24"/>
          <w:szCs w:val="24"/>
          <w:lang w:val="x-none"/>
        </w:rPr>
        <w:t>.</w:t>
      </w:r>
      <w:r w:rsidR="00C8191B">
        <w:rPr>
          <w:rFonts w:cs="Times New Roman"/>
          <w:sz w:val="24"/>
          <w:szCs w:val="24"/>
        </w:rPr>
        <w:t xml:space="preserve"> To date, t</w:t>
      </w:r>
      <w:r w:rsidRPr="000C5F67">
        <w:rPr>
          <w:rFonts w:cs="Times New Roman"/>
          <w:sz w:val="24"/>
          <w:szCs w:val="24"/>
        </w:rPr>
        <w:t>he intersessional process has included three meetings (IP1, IP2, and IP3)</w:t>
      </w:r>
      <w:r w:rsidR="00C8191B">
        <w:rPr>
          <w:rFonts w:cs="Times New Roman"/>
          <w:sz w:val="24"/>
          <w:szCs w:val="24"/>
        </w:rPr>
        <w:t>, as follows:</w:t>
      </w:r>
    </w:p>
    <w:p w14:paraId="5F5236A9" w14:textId="77777777" w:rsidR="00C8191B" w:rsidRDefault="00C8191B" w:rsidP="00FF0FA1">
      <w:pPr>
        <w:pStyle w:val="Akapitzlist"/>
        <w:numPr>
          <w:ilvl w:val="0"/>
          <w:numId w:val="5"/>
        </w:numPr>
        <w:spacing w:after="240" w:line="240" w:lineRule="auto"/>
        <w:rPr>
          <w:rFonts w:cs="Times New Roman"/>
          <w:sz w:val="24"/>
          <w:szCs w:val="24"/>
        </w:rPr>
      </w:pPr>
      <w:r>
        <w:rPr>
          <w:rFonts w:cs="Times New Roman"/>
          <w:sz w:val="24"/>
          <w:szCs w:val="24"/>
        </w:rPr>
        <w:t xml:space="preserve">IP1: </w:t>
      </w:r>
      <w:r w:rsidR="005F404D" w:rsidRPr="00C8191B">
        <w:rPr>
          <w:rFonts w:cs="Times New Roman"/>
          <w:sz w:val="24"/>
          <w:szCs w:val="24"/>
        </w:rPr>
        <w:t xml:space="preserve">7-9 February, 2017 in Brasilia, Brazil </w:t>
      </w:r>
    </w:p>
    <w:p w14:paraId="08BEAF59" w14:textId="77777777" w:rsidR="00C8191B" w:rsidRDefault="00C8191B" w:rsidP="00FF0FA1">
      <w:pPr>
        <w:pStyle w:val="Akapitzlist"/>
        <w:numPr>
          <w:ilvl w:val="0"/>
          <w:numId w:val="5"/>
        </w:numPr>
        <w:spacing w:after="240" w:line="240" w:lineRule="auto"/>
        <w:rPr>
          <w:rFonts w:cs="Times New Roman"/>
          <w:sz w:val="24"/>
          <w:szCs w:val="24"/>
        </w:rPr>
      </w:pPr>
      <w:r>
        <w:rPr>
          <w:rFonts w:cs="Times New Roman"/>
          <w:sz w:val="24"/>
          <w:szCs w:val="24"/>
        </w:rPr>
        <w:t xml:space="preserve">IP2: </w:t>
      </w:r>
      <w:r w:rsidR="005F404D" w:rsidRPr="00C8191B">
        <w:rPr>
          <w:rFonts w:cs="Times New Roman"/>
          <w:sz w:val="24"/>
          <w:szCs w:val="24"/>
        </w:rPr>
        <w:t>13-15 M</w:t>
      </w:r>
      <w:r>
        <w:rPr>
          <w:rFonts w:cs="Times New Roman"/>
          <w:sz w:val="24"/>
          <w:szCs w:val="24"/>
        </w:rPr>
        <w:t>arch, 2018 in Stockholm, Sweden</w:t>
      </w:r>
    </w:p>
    <w:p w14:paraId="69CCA08C" w14:textId="77777777" w:rsidR="00C8191B" w:rsidRDefault="00C8191B" w:rsidP="00FF0FA1">
      <w:pPr>
        <w:pStyle w:val="Akapitzlist"/>
        <w:numPr>
          <w:ilvl w:val="0"/>
          <w:numId w:val="5"/>
        </w:numPr>
        <w:spacing w:after="120" w:line="240" w:lineRule="auto"/>
        <w:ind w:left="777" w:hanging="357"/>
        <w:rPr>
          <w:rFonts w:cs="Times New Roman"/>
          <w:sz w:val="24"/>
          <w:szCs w:val="24"/>
        </w:rPr>
      </w:pPr>
      <w:r>
        <w:rPr>
          <w:rFonts w:cs="Times New Roman"/>
          <w:sz w:val="24"/>
          <w:szCs w:val="24"/>
        </w:rPr>
        <w:t>IP3: 1-</w:t>
      </w:r>
      <w:r w:rsidR="005F404D" w:rsidRPr="00C8191B">
        <w:rPr>
          <w:rFonts w:cs="Times New Roman"/>
          <w:sz w:val="24"/>
          <w:szCs w:val="24"/>
        </w:rPr>
        <w:t>4 October 2019 in Thailand</w:t>
      </w:r>
      <w:r>
        <w:rPr>
          <w:rFonts w:cs="Times New Roman"/>
          <w:sz w:val="24"/>
          <w:szCs w:val="24"/>
        </w:rPr>
        <w:t>,</w:t>
      </w:r>
      <w:r w:rsidR="005F404D" w:rsidRPr="00C8191B">
        <w:rPr>
          <w:rFonts w:cs="Times New Roman"/>
          <w:sz w:val="24"/>
          <w:szCs w:val="24"/>
        </w:rPr>
        <w:t xml:space="preserve"> Bangkok. </w:t>
      </w:r>
    </w:p>
    <w:p w14:paraId="5EE302E8" w14:textId="1A3EBC7A" w:rsidR="00DB636C" w:rsidRDefault="00CD6FD6" w:rsidP="00416517">
      <w:pPr>
        <w:spacing w:after="240" w:line="240" w:lineRule="auto"/>
        <w:rPr>
          <w:rFonts w:cs="Times New Roman"/>
          <w:sz w:val="24"/>
          <w:szCs w:val="24"/>
        </w:rPr>
      </w:pPr>
      <w:r>
        <w:rPr>
          <w:rFonts w:cs="Times New Roman"/>
          <w:sz w:val="24"/>
          <w:szCs w:val="24"/>
        </w:rPr>
        <w:t xml:space="preserve">IP4 is tentatively scheduled for March 2021, Romania, however confirmation depends upon the </w:t>
      </w:r>
      <w:r w:rsidR="001124BC">
        <w:rPr>
          <w:rFonts w:cs="Times New Roman"/>
          <w:sz w:val="24"/>
          <w:szCs w:val="24"/>
        </w:rPr>
        <w:t>COVID-19</w:t>
      </w:r>
      <w:r>
        <w:rPr>
          <w:rFonts w:cs="Times New Roman"/>
          <w:sz w:val="24"/>
          <w:szCs w:val="24"/>
        </w:rPr>
        <w:t xml:space="preserve"> situation. </w:t>
      </w:r>
    </w:p>
    <w:p w14:paraId="0C2C5E62" w14:textId="0518A8CF" w:rsidR="00E4189C" w:rsidRPr="004A1F4C" w:rsidRDefault="00E4189C" w:rsidP="00E4189C">
      <w:pPr>
        <w:spacing w:after="60" w:line="240" w:lineRule="auto"/>
        <w:rPr>
          <w:rFonts w:cs="Times New Roman"/>
          <w:sz w:val="24"/>
          <w:szCs w:val="24"/>
        </w:rPr>
      </w:pPr>
      <w:r w:rsidRPr="004A1F4C">
        <w:rPr>
          <w:rFonts w:cs="Times New Roman"/>
          <w:sz w:val="24"/>
          <w:szCs w:val="24"/>
        </w:rPr>
        <w:t>Key outcomes from IP3 included:</w:t>
      </w:r>
    </w:p>
    <w:p w14:paraId="7812E8DF" w14:textId="115389C1" w:rsidR="00E4189C" w:rsidRPr="004A1F4C" w:rsidRDefault="00E4189C" w:rsidP="00FF0FA1">
      <w:pPr>
        <w:pStyle w:val="Akapitzlist"/>
        <w:numPr>
          <w:ilvl w:val="0"/>
          <w:numId w:val="8"/>
        </w:numPr>
        <w:spacing w:after="60" w:line="240" w:lineRule="auto"/>
        <w:ind w:left="284" w:hanging="284"/>
        <w:rPr>
          <w:rFonts w:cs="Times New Roman"/>
          <w:sz w:val="24"/>
          <w:szCs w:val="24"/>
        </w:rPr>
      </w:pPr>
      <w:r w:rsidRPr="001124BC">
        <w:rPr>
          <w:rFonts w:cs="Times New Roman"/>
          <w:b/>
          <w:sz w:val="24"/>
          <w:szCs w:val="24"/>
        </w:rPr>
        <w:t>Governance:</w:t>
      </w:r>
      <w:r w:rsidRPr="004A1F4C">
        <w:rPr>
          <w:rFonts w:cs="Times New Roman"/>
          <w:sz w:val="24"/>
          <w:szCs w:val="24"/>
        </w:rPr>
        <w:t xml:space="preserve"> </w:t>
      </w:r>
      <w:r w:rsidR="009F38D5">
        <w:rPr>
          <w:rFonts w:cs="Times New Roman"/>
          <w:sz w:val="24"/>
          <w:szCs w:val="24"/>
        </w:rPr>
        <w:t>T</w:t>
      </w:r>
      <w:r w:rsidRPr="004A1F4C">
        <w:rPr>
          <w:rFonts w:cs="Times New Roman"/>
          <w:sz w:val="24"/>
          <w:szCs w:val="24"/>
        </w:rPr>
        <w:t xml:space="preserve">ext </w:t>
      </w:r>
      <w:r w:rsidR="009F38D5">
        <w:rPr>
          <w:rFonts w:cs="Times New Roman"/>
          <w:sz w:val="24"/>
          <w:szCs w:val="24"/>
        </w:rPr>
        <w:t xml:space="preserve">related to the </w:t>
      </w:r>
      <w:r w:rsidRPr="004A1F4C">
        <w:rPr>
          <w:rFonts w:cs="Times New Roman"/>
          <w:sz w:val="24"/>
          <w:szCs w:val="24"/>
        </w:rPr>
        <w:t xml:space="preserve">operations of the ICCM, the bureau and the secretariat were discussed as well as mechanisms for enhancing </w:t>
      </w:r>
      <w:proofErr w:type="spellStart"/>
      <w:r w:rsidRPr="004A1F4C">
        <w:rPr>
          <w:rFonts w:cs="Times New Roman"/>
          <w:sz w:val="24"/>
          <w:szCs w:val="24"/>
        </w:rPr>
        <w:t>multisectoral</w:t>
      </w:r>
      <w:proofErr w:type="spellEnd"/>
      <w:r w:rsidRPr="004A1F4C">
        <w:rPr>
          <w:rFonts w:cs="Times New Roman"/>
          <w:sz w:val="24"/>
          <w:szCs w:val="24"/>
        </w:rPr>
        <w:t xml:space="preserve"> and </w:t>
      </w:r>
      <w:proofErr w:type="spellStart"/>
      <w:r w:rsidRPr="004A1F4C">
        <w:rPr>
          <w:rFonts w:cs="Times New Roman"/>
          <w:sz w:val="24"/>
          <w:szCs w:val="24"/>
        </w:rPr>
        <w:t>multistakeholder</w:t>
      </w:r>
      <w:proofErr w:type="spellEnd"/>
      <w:r w:rsidRPr="004A1F4C">
        <w:rPr>
          <w:rFonts w:cs="Times New Roman"/>
          <w:sz w:val="24"/>
          <w:szCs w:val="24"/>
        </w:rPr>
        <w:t xml:space="preserve"> engagement.  </w:t>
      </w:r>
    </w:p>
    <w:p w14:paraId="087CB88A" w14:textId="1DA37ABC" w:rsidR="00E4189C" w:rsidRPr="004A1F4C" w:rsidRDefault="00E4189C" w:rsidP="00FF0FA1">
      <w:pPr>
        <w:pStyle w:val="Akapitzlist"/>
        <w:numPr>
          <w:ilvl w:val="0"/>
          <w:numId w:val="8"/>
        </w:numPr>
        <w:spacing w:after="60" w:line="240" w:lineRule="auto"/>
        <w:ind w:left="284" w:hanging="284"/>
        <w:rPr>
          <w:rFonts w:cs="Times New Roman"/>
          <w:sz w:val="24"/>
          <w:szCs w:val="24"/>
        </w:rPr>
      </w:pPr>
      <w:r w:rsidRPr="001124BC">
        <w:rPr>
          <w:rFonts w:cs="Times New Roman"/>
          <w:b/>
          <w:sz w:val="24"/>
          <w:szCs w:val="24"/>
        </w:rPr>
        <w:t>Targets and milestones:</w:t>
      </w:r>
      <w:r w:rsidRPr="004A1F4C">
        <w:rPr>
          <w:rFonts w:cs="Times New Roman"/>
          <w:sz w:val="24"/>
          <w:szCs w:val="24"/>
        </w:rPr>
        <w:t xml:space="preserve"> There was some progress in working towards agreement on text for various targets but little time to discuss milestones.  Further work was </w:t>
      </w:r>
      <w:r w:rsidR="009F38D5">
        <w:rPr>
          <w:rFonts w:cs="Times New Roman"/>
          <w:sz w:val="24"/>
          <w:szCs w:val="24"/>
        </w:rPr>
        <w:t>agreed</w:t>
      </w:r>
      <w:r w:rsidRPr="004A1F4C">
        <w:rPr>
          <w:rFonts w:cs="Times New Roman"/>
          <w:sz w:val="24"/>
          <w:szCs w:val="24"/>
        </w:rPr>
        <w:t xml:space="preserve"> to be done </w:t>
      </w:r>
      <w:r w:rsidR="009F38D5">
        <w:rPr>
          <w:rFonts w:cs="Times New Roman"/>
          <w:sz w:val="24"/>
          <w:szCs w:val="24"/>
        </w:rPr>
        <w:t>in advance of IP4 through a Technical Working Group</w:t>
      </w:r>
      <w:r w:rsidRPr="004A1F4C">
        <w:rPr>
          <w:rFonts w:cs="Times New Roman"/>
          <w:sz w:val="24"/>
          <w:szCs w:val="24"/>
        </w:rPr>
        <w:t>.</w:t>
      </w:r>
    </w:p>
    <w:p w14:paraId="33C02D9F" w14:textId="7D047E09" w:rsidR="00E4189C" w:rsidRPr="004A1F4C" w:rsidRDefault="00E4189C" w:rsidP="00FF0FA1">
      <w:pPr>
        <w:pStyle w:val="Akapitzlist"/>
        <w:numPr>
          <w:ilvl w:val="0"/>
          <w:numId w:val="8"/>
        </w:numPr>
        <w:spacing w:after="60" w:line="240" w:lineRule="auto"/>
        <w:ind w:left="284" w:hanging="284"/>
        <w:rPr>
          <w:rFonts w:cs="Times New Roman"/>
          <w:sz w:val="24"/>
          <w:szCs w:val="24"/>
        </w:rPr>
      </w:pPr>
      <w:r w:rsidRPr="001124BC">
        <w:rPr>
          <w:rFonts w:cs="Times New Roman"/>
          <w:b/>
          <w:sz w:val="24"/>
          <w:szCs w:val="24"/>
        </w:rPr>
        <w:t>Mechanisms for implementation:</w:t>
      </w:r>
      <w:r w:rsidRPr="004A1F4C">
        <w:rPr>
          <w:rFonts w:cs="Times New Roman"/>
          <w:sz w:val="24"/>
          <w:szCs w:val="24"/>
        </w:rPr>
        <w:t xml:space="preserve"> Participants discussed the criteria and process for </w:t>
      </w:r>
      <w:r w:rsidR="001124BC">
        <w:rPr>
          <w:rFonts w:cs="Times New Roman"/>
          <w:sz w:val="24"/>
          <w:szCs w:val="24"/>
        </w:rPr>
        <w:t>selecting “</w:t>
      </w:r>
      <w:r w:rsidRPr="004A1F4C">
        <w:rPr>
          <w:rFonts w:cs="Times New Roman"/>
          <w:sz w:val="24"/>
          <w:szCs w:val="24"/>
        </w:rPr>
        <w:t>issues of concern</w:t>
      </w:r>
      <w:r w:rsidR="001124BC">
        <w:rPr>
          <w:rFonts w:cs="Times New Roman"/>
          <w:sz w:val="24"/>
          <w:szCs w:val="24"/>
        </w:rPr>
        <w:t>”</w:t>
      </w:r>
      <w:r w:rsidRPr="004A1F4C">
        <w:rPr>
          <w:rFonts w:cs="Times New Roman"/>
          <w:sz w:val="24"/>
          <w:szCs w:val="24"/>
        </w:rPr>
        <w:t xml:space="preserve"> with some progress in creating new proposed text. </w:t>
      </w:r>
      <w:r w:rsidR="001124BC">
        <w:rPr>
          <w:rFonts w:cs="Times New Roman"/>
          <w:sz w:val="24"/>
          <w:szCs w:val="24"/>
        </w:rPr>
        <w:t>The need to strengthen the science policy interface was also discussed but t</w:t>
      </w:r>
      <w:r w:rsidRPr="004A1F4C">
        <w:rPr>
          <w:rFonts w:cs="Times New Roman"/>
          <w:sz w:val="24"/>
          <w:szCs w:val="24"/>
        </w:rPr>
        <w:t>here was no consensus on approach</w:t>
      </w:r>
      <w:r w:rsidR="001124BC">
        <w:rPr>
          <w:rFonts w:cs="Times New Roman"/>
          <w:sz w:val="24"/>
          <w:szCs w:val="24"/>
        </w:rPr>
        <w:t xml:space="preserve">. </w:t>
      </w:r>
      <w:r w:rsidRPr="004A1F4C">
        <w:rPr>
          <w:rFonts w:cs="Times New Roman"/>
          <w:sz w:val="24"/>
          <w:szCs w:val="24"/>
        </w:rPr>
        <w:t xml:space="preserve">The group ran out of time </w:t>
      </w:r>
      <w:r w:rsidR="001124BC">
        <w:rPr>
          <w:rFonts w:cs="Times New Roman"/>
          <w:sz w:val="24"/>
          <w:szCs w:val="24"/>
        </w:rPr>
        <w:t>to</w:t>
      </w:r>
      <w:r w:rsidRPr="004A1F4C">
        <w:rPr>
          <w:rFonts w:cs="Times New Roman"/>
          <w:sz w:val="24"/>
          <w:szCs w:val="24"/>
        </w:rPr>
        <w:t xml:space="preserve"> discuss </w:t>
      </w:r>
      <w:r w:rsidR="001124BC">
        <w:rPr>
          <w:rFonts w:cs="Times New Roman"/>
          <w:sz w:val="24"/>
          <w:szCs w:val="24"/>
        </w:rPr>
        <w:t>approach to updating</w:t>
      </w:r>
      <w:r w:rsidRPr="004A1F4C">
        <w:rPr>
          <w:rFonts w:cs="Times New Roman"/>
          <w:sz w:val="24"/>
          <w:szCs w:val="24"/>
        </w:rPr>
        <w:t xml:space="preserve"> the </w:t>
      </w:r>
      <w:r w:rsidR="001124BC">
        <w:rPr>
          <w:rFonts w:cs="Times New Roman"/>
          <w:sz w:val="24"/>
          <w:szCs w:val="24"/>
        </w:rPr>
        <w:t>text</w:t>
      </w:r>
      <w:r w:rsidRPr="004A1F4C">
        <w:rPr>
          <w:rFonts w:cs="Times New Roman"/>
          <w:sz w:val="24"/>
          <w:szCs w:val="24"/>
        </w:rPr>
        <w:t xml:space="preserve"> in the future </w:t>
      </w:r>
      <w:r w:rsidR="001124BC">
        <w:rPr>
          <w:rFonts w:cs="Times New Roman"/>
          <w:sz w:val="24"/>
          <w:szCs w:val="24"/>
        </w:rPr>
        <w:t>or how to</w:t>
      </w:r>
      <w:r w:rsidRPr="004A1F4C">
        <w:rPr>
          <w:rFonts w:cs="Times New Roman"/>
          <w:sz w:val="24"/>
          <w:szCs w:val="24"/>
        </w:rPr>
        <w:t xml:space="preserve"> report on progress.</w:t>
      </w:r>
    </w:p>
    <w:p w14:paraId="1B399B87" w14:textId="276C3FCD" w:rsidR="00E4189C" w:rsidRPr="004A1F4C" w:rsidRDefault="00E4189C" w:rsidP="00FF0FA1">
      <w:pPr>
        <w:pStyle w:val="Akapitzlist"/>
        <w:numPr>
          <w:ilvl w:val="0"/>
          <w:numId w:val="8"/>
        </w:numPr>
        <w:spacing w:after="240" w:line="240" w:lineRule="auto"/>
        <w:ind w:left="284" w:hanging="284"/>
        <w:rPr>
          <w:rFonts w:cs="Times New Roman"/>
          <w:sz w:val="24"/>
          <w:szCs w:val="24"/>
        </w:rPr>
      </w:pPr>
      <w:r w:rsidRPr="001124BC">
        <w:rPr>
          <w:rFonts w:cs="Times New Roman"/>
          <w:b/>
          <w:sz w:val="24"/>
          <w:szCs w:val="24"/>
        </w:rPr>
        <w:t>Finance:</w:t>
      </w:r>
      <w:r w:rsidRPr="004A1F4C">
        <w:rPr>
          <w:rFonts w:cs="Times New Roman"/>
          <w:sz w:val="24"/>
          <w:szCs w:val="24"/>
        </w:rPr>
        <w:t xml:space="preserve"> Proposals for enhanced funding mechanisms, including the possibilities of a dedicated fund for developing countries and voluntary assessed contributions to fund the secretariat, were discussed.</w:t>
      </w:r>
    </w:p>
    <w:p w14:paraId="4741D5F3" w14:textId="6351BB2A" w:rsidR="0025044A" w:rsidRPr="00F213FD" w:rsidRDefault="00A01D63" w:rsidP="00D31D8C">
      <w:pPr>
        <w:spacing w:after="0" w:line="240" w:lineRule="auto"/>
        <w:rPr>
          <w:rFonts w:cs="Times New Roman"/>
          <w:sz w:val="24"/>
          <w:szCs w:val="24"/>
        </w:rPr>
      </w:pPr>
      <w:r w:rsidRPr="000C5F67">
        <w:rPr>
          <w:rFonts w:cs="Times New Roman"/>
          <w:b/>
          <w:sz w:val="24"/>
          <w:szCs w:val="24"/>
        </w:rPr>
        <w:t xml:space="preserve">Background on </w:t>
      </w:r>
      <w:r w:rsidR="0025044A" w:rsidRPr="000C5F67">
        <w:rPr>
          <w:rFonts w:cs="Times New Roman"/>
          <w:b/>
          <w:sz w:val="24"/>
          <w:szCs w:val="24"/>
        </w:rPr>
        <w:t>Health Sector engagement in the Intersessional Process</w:t>
      </w:r>
      <w:r w:rsidR="00C42523" w:rsidRPr="000C5F67">
        <w:rPr>
          <w:rFonts w:cs="Times New Roman"/>
          <w:b/>
          <w:sz w:val="24"/>
          <w:szCs w:val="24"/>
        </w:rPr>
        <w:t xml:space="preserve"> </w:t>
      </w:r>
    </w:p>
    <w:p w14:paraId="5D32F42D" w14:textId="55303007" w:rsidR="009F1CB0" w:rsidRDefault="00737985" w:rsidP="00234A1C">
      <w:pPr>
        <w:spacing w:line="240" w:lineRule="auto"/>
        <w:rPr>
          <w:sz w:val="24"/>
          <w:szCs w:val="24"/>
        </w:rPr>
      </w:pPr>
      <w:r>
        <w:rPr>
          <w:rFonts w:cs="Times New Roman"/>
          <w:sz w:val="24"/>
          <w:szCs w:val="24"/>
        </w:rPr>
        <w:t>R</w:t>
      </w:r>
      <w:r w:rsidRPr="000C5F67">
        <w:rPr>
          <w:rFonts w:cs="Times New Roman"/>
          <w:sz w:val="24"/>
          <w:szCs w:val="24"/>
        </w:rPr>
        <w:t xml:space="preserve">epresentatives from </w:t>
      </w:r>
      <w:r>
        <w:rPr>
          <w:rFonts w:cs="Times New Roman"/>
          <w:sz w:val="24"/>
          <w:szCs w:val="24"/>
        </w:rPr>
        <w:t>M</w:t>
      </w:r>
      <w:r w:rsidRPr="000C5F67">
        <w:rPr>
          <w:rFonts w:cs="Times New Roman"/>
          <w:sz w:val="24"/>
          <w:szCs w:val="24"/>
        </w:rPr>
        <w:t xml:space="preserve">inistries of </w:t>
      </w:r>
      <w:r>
        <w:rPr>
          <w:rFonts w:cs="Times New Roman"/>
          <w:sz w:val="24"/>
          <w:szCs w:val="24"/>
        </w:rPr>
        <w:t>H</w:t>
      </w:r>
      <w:r w:rsidRPr="000C5F67">
        <w:rPr>
          <w:rFonts w:cs="Times New Roman"/>
          <w:sz w:val="24"/>
          <w:szCs w:val="24"/>
        </w:rPr>
        <w:t xml:space="preserve">ealth from around the world as well as </w:t>
      </w:r>
      <w:r>
        <w:rPr>
          <w:rFonts w:cs="Times New Roman"/>
          <w:sz w:val="24"/>
          <w:szCs w:val="24"/>
        </w:rPr>
        <w:t xml:space="preserve">from </w:t>
      </w:r>
      <w:r w:rsidRPr="000C5F67">
        <w:rPr>
          <w:rFonts w:cs="Times New Roman"/>
          <w:sz w:val="24"/>
          <w:szCs w:val="24"/>
        </w:rPr>
        <w:t xml:space="preserve">many health-focussed civil society organisations </w:t>
      </w:r>
      <w:r>
        <w:rPr>
          <w:rFonts w:cs="Times New Roman"/>
          <w:sz w:val="24"/>
          <w:szCs w:val="24"/>
        </w:rPr>
        <w:t xml:space="preserve">have participated actively in the </w:t>
      </w:r>
      <w:r w:rsidR="00070D54">
        <w:rPr>
          <w:rFonts w:cs="Times New Roman"/>
          <w:sz w:val="24"/>
          <w:szCs w:val="24"/>
        </w:rPr>
        <w:t xml:space="preserve">intersessional </w:t>
      </w:r>
      <w:r>
        <w:rPr>
          <w:rFonts w:cs="Times New Roman"/>
          <w:sz w:val="24"/>
          <w:szCs w:val="24"/>
        </w:rPr>
        <w:t xml:space="preserve">process. </w:t>
      </w:r>
      <w:r w:rsidRPr="000C5F67">
        <w:rPr>
          <w:rFonts w:cs="Times New Roman"/>
          <w:sz w:val="24"/>
          <w:szCs w:val="24"/>
        </w:rPr>
        <w:t xml:space="preserve"> </w:t>
      </w:r>
      <w:r w:rsidR="00894295">
        <w:rPr>
          <w:rFonts w:cs="Times New Roman"/>
          <w:sz w:val="24"/>
          <w:szCs w:val="24"/>
        </w:rPr>
        <w:t>A</w:t>
      </w:r>
      <w:r>
        <w:rPr>
          <w:rFonts w:cs="Times New Roman"/>
          <w:sz w:val="24"/>
          <w:szCs w:val="24"/>
        </w:rPr>
        <w:t xml:space="preserve">t each </w:t>
      </w:r>
      <w:r w:rsidR="00894295">
        <w:rPr>
          <w:rFonts w:cs="Times New Roman"/>
          <w:sz w:val="24"/>
          <w:szCs w:val="24"/>
        </w:rPr>
        <w:t xml:space="preserve">IP </w:t>
      </w:r>
      <w:r>
        <w:rPr>
          <w:rFonts w:cs="Times New Roman"/>
          <w:sz w:val="24"/>
          <w:szCs w:val="24"/>
        </w:rPr>
        <w:t>meeting</w:t>
      </w:r>
      <w:r w:rsidR="00894295">
        <w:rPr>
          <w:rFonts w:cs="Times New Roman"/>
          <w:sz w:val="24"/>
          <w:szCs w:val="24"/>
        </w:rPr>
        <w:t xml:space="preserve"> and </w:t>
      </w:r>
      <w:r w:rsidR="003C4B33">
        <w:rPr>
          <w:rFonts w:cs="Times New Roman"/>
          <w:sz w:val="24"/>
          <w:szCs w:val="24"/>
        </w:rPr>
        <w:t xml:space="preserve">during </w:t>
      </w:r>
      <w:r w:rsidR="00894295">
        <w:rPr>
          <w:rFonts w:cs="Times New Roman"/>
          <w:sz w:val="24"/>
          <w:szCs w:val="24"/>
        </w:rPr>
        <w:t>OEWG3</w:t>
      </w:r>
      <w:r w:rsidR="003C4B33">
        <w:rPr>
          <w:rStyle w:val="Odwoanieprzypisudolnego"/>
          <w:rFonts w:cs="Times New Roman"/>
          <w:sz w:val="24"/>
          <w:szCs w:val="24"/>
        </w:rPr>
        <w:footnoteReference w:id="4"/>
      </w:r>
      <w:r>
        <w:rPr>
          <w:rFonts w:cs="Times New Roman"/>
          <w:sz w:val="24"/>
          <w:szCs w:val="24"/>
        </w:rPr>
        <w:t>,</w:t>
      </w:r>
      <w:r w:rsidRPr="000C5F67">
        <w:rPr>
          <w:rFonts w:cs="Times New Roman"/>
          <w:sz w:val="24"/>
          <w:szCs w:val="24"/>
        </w:rPr>
        <w:t xml:space="preserve"> WHO </w:t>
      </w:r>
      <w:r>
        <w:rPr>
          <w:rFonts w:cs="Times New Roman"/>
          <w:sz w:val="24"/>
          <w:szCs w:val="24"/>
        </w:rPr>
        <w:t xml:space="preserve">has </w:t>
      </w:r>
      <w:r w:rsidRPr="000C5F67">
        <w:rPr>
          <w:rFonts w:cs="Times New Roman"/>
          <w:sz w:val="24"/>
          <w:szCs w:val="24"/>
        </w:rPr>
        <w:t xml:space="preserve">convened </w:t>
      </w:r>
      <w:r w:rsidR="00070D54">
        <w:rPr>
          <w:rFonts w:cs="Times New Roman"/>
          <w:sz w:val="24"/>
          <w:szCs w:val="24"/>
        </w:rPr>
        <w:t xml:space="preserve">a </w:t>
      </w:r>
      <w:r>
        <w:rPr>
          <w:rFonts w:cs="Times New Roman"/>
          <w:sz w:val="24"/>
          <w:szCs w:val="24"/>
        </w:rPr>
        <w:t xml:space="preserve">side meeting for the </w:t>
      </w:r>
      <w:r w:rsidR="00236DBC">
        <w:rPr>
          <w:rFonts w:cs="Times New Roman"/>
          <w:sz w:val="24"/>
          <w:szCs w:val="24"/>
        </w:rPr>
        <w:t xml:space="preserve">health sector to </w:t>
      </w:r>
      <w:r w:rsidR="00236DBC">
        <w:rPr>
          <w:sz w:val="24"/>
          <w:szCs w:val="24"/>
        </w:rPr>
        <w:t xml:space="preserve">share views on </w:t>
      </w:r>
      <w:r w:rsidR="00236DBC" w:rsidRPr="002A269B">
        <w:rPr>
          <w:sz w:val="24"/>
          <w:szCs w:val="24"/>
        </w:rPr>
        <w:t xml:space="preserve">both the challenges faced by Health Ministries in engaging in SAICM to date, and how </w:t>
      </w:r>
      <w:r w:rsidR="00236DBC">
        <w:rPr>
          <w:sz w:val="24"/>
          <w:szCs w:val="24"/>
        </w:rPr>
        <w:t xml:space="preserve">the </w:t>
      </w:r>
      <w:r w:rsidR="00236DBC" w:rsidRPr="002A269B">
        <w:rPr>
          <w:sz w:val="24"/>
          <w:szCs w:val="24"/>
        </w:rPr>
        <w:t xml:space="preserve">health sector could further engage beyond 2020 including but not limited to implementation of the </w:t>
      </w:r>
      <w:r w:rsidR="00236DBC">
        <w:rPr>
          <w:sz w:val="24"/>
          <w:szCs w:val="24"/>
        </w:rPr>
        <w:t xml:space="preserve">WHO </w:t>
      </w:r>
      <w:r w:rsidR="00236DBC" w:rsidRPr="002A269B">
        <w:rPr>
          <w:sz w:val="24"/>
          <w:szCs w:val="24"/>
        </w:rPr>
        <w:t xml:space="preserve">Chemicals Road Map, </w:t>
      </w:r>
      <w:r w:rsidR="00236DBC">
        <w:rPr>
          <w:sz w:val="24"/>
          <w:szCs w:val="24"/>
        </w:rPr>
        <w:t xml:space="preserve">and the </w:t>
      </w:r>
      <w:r w:rsidR="00236DBC" w:rsidRPr="002A269B">
        <w:rPr>
          <w:sz w:val="24"/>
          <w:szCs w:val="24"/>
        </w:rPr>
        <w:t>development of health sector specific targets and milestones.</w:t>
      </w:r>
      <w:r w:rsidR="00236DBC">
        <w:rPr>
          <w:sz w:val="24"/>
          <w:szCs w:val="24"/>
        </w:rPr>
        <w:t xml:space="preserve"> </w:t>
      </w:r>
    </w:p>
    <w:p w14:paraId="17817368" w14:textId="73D1447F" w:rsidR="004E66A2" w:rsidRDefault="00C85C5E" w:rsidP="00894295">
      <w:pPr>
        <w:spacing w:after="120" w:line="240" w:lineRule="auto"/>
        <w:rPr>
          <w:rFonts w:cs="Times New Roman"/>
          <w:sz w:val="24"/>
          <w:szCs w:val="24"/>
        </w:rPr>
      </w:pPr>
      <w:r>
        <w:rPr>
          <w:sz w:val="24"/>
          <w:szCs w:val="24"/>
        </w:rPr>
        <w:t xml:space="preserve">In addition, </w:t>
      </w:r>
      <w:r>
        <w:rPr>
          <w:rFonts w:cs="Times New Roman"/>
          <w:sz w:val="24"/>
          <w:szCs w:val="24"/>
        </w:rPr>
        <w:t xml:space="preserve">as mandated by the road map, </w:t>
      </w:r>
      <w:r w:rsidRPr="000C5F67">
        <w:rPr>
          <w:rFonts w:cs="Times New Roman"/>
          <w:sz w:val="24"/>
          <w:szCs w:val="24"/>
        </w:rPr>
        <w:t xml:space="preserve">the </w:t>
      </w:r>
      <w:r>
        <w:rPr>
          <w:rFonts w:cs="Times New Roman"/>
          <w:sz w:val="24"/>
          <w:szCs w:val="24"/>
        </w:rPr>
        <w:t>WHO Secretariat</w:t>
      </w:r>
      <w:r w:rsidRPr="000C5F67">
        <w:rPr>
          <w:rFonts w:cs="Times New Roman"/>
          <w:sz w:val="24"/>
          <w:szCs w:val="24"/>
        </w:rPr>
        <w:t xml:space="preserve"> establish</w:t>
      </w:r>
      <w:r>
        <w:rPr>
          <w:rFonts w:cs="Times New Roman"/>
          <w:sz w:val="24"/>
          <w:szCs w:val="24"/>
        </w:rPr>
        <w:t>ed</w:t>
      </w:r>
      <w:r w:rsidRPr="000C5F67">
        <w:rPr>
          <w:rFonts w:cs="Times New Roman"/>
          <w:sz w:val="24"/>
          <w:szCs w:val="24"/>
        </w:rPr>
        <w:t xml:space="preserve"> the WHO Global Chemicals and Health Network to facilitate health sector implementation of the road map</w:t>
      </w:r>
      <w:r>
        <w:rPr>
          <w:rFonts w:cs="Times New Roman"/>
          <w:sz w:val="24"/>
          <w:szCs w:val="24"/>
        </w:rPr>
        <w:t>, which includes engagement in the intersessional process</w:t>
      </w:r>
      <w:r w:rsidRPr="000C5F67">
        <w:rPr>
          <w:rFonts w:cs="Times New Roman"/>
          <w:sz w:val="24"/>
          <w:szCs w:val="24"/>
        </w:rPr>
        <w:t xml:space="preserve">. </w:t>
      </w:r>
      <w:r w:rsidR="00846CDE">
        <w:rPr>
          <w:rFonts w:cs="Times New Roman"/>
          <w:sz w:val="24"/>
          <w:szCs w:val="24"/>
        </w:rPr>
        <w:t>As of October 2020, 75</w:t>
      </w:r>
      <w:r w:rsidRPr="000C5F67">
        <w:rPr>
          <w:rFonts w:cs="Times New Roman"/>
          <w:sz w:val="24"/>
          <w:szCs w:val="24"/>
        </w:rPr>
        <w:t xml:space="preserve"> Member States have joined the </w:t>
      </w:r>
      <w:r>
        <w:rPr>
          <w:rFonts w:cs="Times New Roman"/>
          <w:sz w:val="24"/>
          <w:szCs w:val="24"/>
        </w:rPr>
        <w:t>n</w:t>
      </w:r>
      <w:r w:rsidRPr="000C5F67">
        <w:rPr>
          <w:rFonts w:cs="Times New Roman"/>
          <w:sz w:val="24"/>
          <w:szCs w:val="24"/>
        </w:rPr>
        <w:t>etwork</w:t>
      </w:r>
      <w:r>
        <w:rPr>
          <w:rFonts w:cs="Times New Roman"/>
          <w:sz w:val="24"/>
          <w:szCs w:val="24"/>
        </w:rPr>
        <w:t>.  All are encouraged to join.</w:t>
      </w:r>
      <w:r w:rsidR="00894295">
        <w:rPr>
          <w:rFonts w:cs="Times New Roman"/>
          <w:sz w:val="24"/>
          <w:szCs w:val="24"/>
        </w:rPr>
        <w:t xml:space="preserve">  </w:t>
      </w:r>
    </w:p>
    <w:p w14:paraId="587B1077" w14:textId="77777777" w:rsidR="00BD4327" w:rsidRDefault="00E25F1F" w:rsidP="00BD4327">
      <w:pPr>
        <w:spacing w:after="240" w:line="240" w:lineRule="auto"/>
        <w:rPr>
          <w:rFonts w:cs="Times New Roman"/>
          <w:sz w:val="24"/>
          <w:szCs w:val="24"/>
        </w:rPr>
      </w:pPr>
      <w:r>
        <w:rPr>
          <w:sz w:val="24"/>
          <w:szCs w:val="24"/>
        </w:rPr>
        <w:t xml:space="preserve">For OEWG3, </w:t>
      </w:r>
      <w:r w:rsidRPr="00F823C4">
        <w:rPr>
          <w:sz w:val="24"/>
          <w:szCs w:val="24"/>
        </w:rPr>
        <w:t xml:space="preserve">WHO provided a report focusing on health sector progress </w:t>
      </w:r>
      <w:hyperlink r:id="rId12" w:history="1">
        <w:r w:rsidRPr="00717E60">
          <w:rPr>
            <w:rStyle w:val="Hipercze"/>
            <w:sz w:val="24"/>
            <w:szCs w:val="24"/>
          </w:rPr>
          <w:t>(SAICM/OEWG.3/INF/26)</w:t>
        </w:r>
      </w:hyperlink>
      <w:r w:rsidR="00242716">
        <w:rPr>
          <w:rStyle w:val="Odwoanieprzypisudolnego"/>
          <w:color w:val="0000FF" w:themeColor="hyperlink"/>
          <w:sz w:val="24"/>
          <w:szCs w:val="24"/>
          <w:u w:val="single"/>
        </w:rPr>
        <w:footnoteReference w:id="5"/>
      </w:r>
      <w:r>
        <w:rPr>
          <w:sz w:val="24"/>
          <w:szCs w:val="24"/>
        </w:rPr>
        <w:t xml:space="preserve"> and a report</w:t>
      </w:r>
      <w:r w:rsidRPr="00E25F1F">
        <w:rPr>
          <w:sz w:val="24"/>
          <w:szCs w:val="24"/>
        </w:rPr>
        <w:t xml:space="preserve"> on the WHO Chemicals Road Map and Global Chemicals and Health Network</w:t>
      </w:r>
      <w:r>
        <w:rPr>
          <w:sz w:val="24"/>
          <w:szCs w:val="24"/>
        </w:rPr>
        <w:t xml:space="preserve"> (</w:t>
      </w:r>
      <w:hyperlink r:id="rId13" w:history="1">
        <w:r w:rsidRPr="00E25F1F">
          <w:rPr>
            <w:rStyle w:val="Hipercze"/>
            <w:sz w:val="24"/>
            <w:szCs w:val="24"/>
          </w:rPr>
          <w:t>SAICM/OEWG.3/INF/10</w:t>
        </w:r>
      </w:hyperlink>
      <w:r w:rsidR="00242716">
        <w:rPr>
          <w:rStyle w:val="Odwoanieprzypisudolnego"/>
          <w:sz w:val="24"/>
          <w:szCs w:val="24"/>
        </w:rPr>
        <w:footnoteReference w:id="6"/>
      </w:r>
      <w:r>
        <w:rPr>
          <w:sz w:val="24"/>
          <w:szCs w:val="24"/>
        </w:rPr>
        <w:t xml:space="preserve">). </w:t>
      </w:r>
      <w:r w:rsidR="002D2449" w:rsidRPr="000C5F67">
        <w:rPr>
          <w:rFonts w:cs="Times New Roman"/>
          <w:sz w:val="24"/>
          <w:szCs w:val="24"/>
        </w:rPr>
        <w:t xml:space="preserve">Following OEWG3, WHO consulted with the WHO Global Chemicals and Health Network to develop a document on </w:t>
      </w:r>
      <w:r w:rsidR="002D2449" w:rsidRPr="000C5F67">
        <w:rPr>
          <w:rFonts w:cs="Times New Roman"/>
          <w:sz w:val="24"/>
          <w:szCs w:val="24"/>
        </w:rPr>
        <w:lastRenderedPageBreak/>
        <w:t xml:space="preserve">“additional measures to achieve </w:t>
      </w:r>
      <w:proofErr w:type="spellStart"/>
      <w:r w:rsidR="002D2449" w:rsidRPr="000C5F67">
        <w:rPr>
          <w:rFonts w:cs="Times New Roman"/>
          <w:sz w:val="24"/>
          <w:szCs w:val="24"/>
        </w:rPr>
        <w:t>multisectoral</w:t>
      </w:r>
      <w:proofErr w:type="spellEnd"/>
      <w:r w:rsidR="002D2449" w:rsidRPr="000C5F67">
        <w:rPr>
          <w:rFonts w:cs="Times New Roman"/>
          <w:sz w:val="24"/>
          <w:szCs w:val="24"/>
        </w:rPr>
        <w:t xml:space="preserve"> engagement” and submitted the document to the SAICM Secretariat</w:t>
      </w:r>
      <w:r w:rsidR="00CD6FD6">
        <w:rPr>
          <w:rStyle w:val="Odwoanieprzypisudolnego"/>
          <w:rFonts w:cs="Times New Roman"/>
          <w:sz w:val="24"/>
          <w:szCs w:val="24"/>
        </w:rPr>
        <w:footnoteReference w:id="7"/>
      </w:r>
      <w:r w:rsidR="002D2449" w:rsidRPr="000C5F67">
        <w:rPr>
          <w:rFonts w:cs="Times New Roman"/>
          <w:sz w:val="24"/>
          <w:szCs w:val="24"/>
        </w:rPr>
        <w:t>.</w:t>
      </w:r>
      <w:r w:rsidR="002D2449">
        <w:rPr>
          <w:rFonts w:cs="Times New Roman"/>
          <w:sz w:val="24"/>
          <w:szCs w:val="24"/>
        </w:rPr>
        <w:t xml:space="preserve"> </w:t>
      </w:r>
      <w:r w:rsidR="00BD4327">
        <w:rPr>
          <w:rFonts w:cs="Times New Roman"/>
          <w:sz w:val="24"/>
          <w:szCs w:val="24"/>
        </w:rPr>
        <w:t xml:space="preserve">  </w:t>
      </w:r>
    </w:p>
    <w:p w14:paraId="0FD6ED12" w14:textId="4F2EFBB4" w:rsidR="00E25F1F" w:rsidRDefault="00E25F1F" w:rsidP="00BD4327">
      <w:pPr>
        <w:spacing w:after="240" w:line="240" w:lineRule="auto"/>
        <w:rPr>
          <w:rFonts w:cs="Times New Roman"/>
          <w:sz w:val="24"/>
          <w:szCs w:val="24"/>
        </w:rPr>
      </w:pPr>
      <w:r>
        <w:rPr>
          <w:rFonts w:cs="Times New Roman"/>
          <w:sz w:val="24"/>
          <w:szCs w:val="24"/>
        </w:rPr>
        <w:t>T</w:t>
      </w:r>
      <w:r w:rsidRPr="00C85C5E">
        <w:rPr>
          <w:rFonts w:cs="Times New Roman"/>
          <w:sz w:val="24"/>
          <w:szCs w:val="24"/>
        </w:rPr>
        <w:t>he proposals in the WHO submission on multi-sectoral engagement provide a range of suggestions</w:t>
      </w:r>
      <w:r>
        <w:rPr>
          <w:rFonts w:cs="Times New Roman"/>
          <w:sz w:val="24"/>
          <w:szCs w:val="24"/>
        </w:rPr>
        <w:t>, including:</w:t>
      </w:r>
      <w:r w:rsidRPr="00C85C5E">
        <w:rPr>
          <w:rFonts w:cs="Times New Roman"/>
          <w:sz w:val="24"/>
          <w:szCs w:val="24"/>
        </w:rPr>
        <w:t xml:space="preserve"> </w:t>
      </w:r>
    </w:p>
    <w:p w14:paraId="43518D67" w14:textId="77777777" w:rsidR="00E25F1F" w:rsidRDefault="00E25F1F" w:rsidP="00FF0FA1">
      <w:pPr>
        <w:pStyle w:val="Akapitzlist"/>
        <w:numPr>
          <w:ilvl w:val="0"/>
          <w:numId w:val="7"/>
        </w:numPr>
        <w:spacing w:after="120" w:line="240" w:lineRule="auto"/>
        <w:rPr>
          <w:rFonts w:cs="Times New Roman"/>
          <w:sz w:val="24"/>
          <w:szCs w:val="24"/>
        </w:rPr>
      </w:pPr>
      <w:r>
        <w:rPr>
          <w:rFonts w:cs="Times New Roman"/>
          <w:sz w:val="24"/>
          <w:szCs w:val="24"/>
        </w:rPr>
        <w:t>T</w:t>
      </w:r>
      <w:r w:rsidRPr="008719C8">
        <w:rPr>
          <w:rFonts w:cs="Times New Roman"/>
          <w:sz w:val="24"/>
          <w:szCs w:val="24"/>
        </w:rPr>
        <w:t xml:space="preserve">hemed discussions on sectoral subjects of interest during meetings would provide further rationale for increased sectoral attendance. </w:t>
      </w:r>
    </w:p>
    <w:p w14:paraId="178EECD9" w14:textId="0016C8C1" w:rsidR="00E25F1F" w:rsidRPr="00CD6FD6" w:rsidRDefault="00E25F1F" w:rsidP="00FF0FA1">
      <w:pPr>
        <w:pStyle w:val="Akapitzlist"/>
        <w:numPr>
          <w:ilvl w:val="0"/>
          <w:numId w:val="7"/>
        </w:numPr>
        <w:spacing w:after="240" w:line="240" w:lineRule="auto"/>
        <w:rPr>
          <w:rFonts w:cs="Times New Roman"/>
          <w:sz w:val="24"/>
          <w:szCs w:val="24"/>
        </w:rPr>
      </w:pPr>
      <w:r w:rsidRPr="00E25F1F">
        <w:rPr>
          <w:rFonts w:cs="Times New Roman"/>
          <w:sz w:val="24"/>
          <w:szCs w:val="24"/>
        </w:rPr>
        <w:t xml:space="preserve">Inclusion of the IOMC organizations’ logos on SAICM meeting invitations, rather than only the UNEP logo, could make it easier for sectors other than environment to get </w:t>
      </w:r>
      <w:r w:rsidRPr="00CD6FD6">
        <w:rPr>
          <w:rFonts w:cs="Times New Roman"/>
          <w:sz w:val="24"/>
          <w:szCs w:val="24"/>
        </w:rPr>
        <w:t xml:space="preserve">approval to participate, including with their own resources. </w:t>
      </w:r>
    </w:p>
    <w:p w14:paraId="32372486" w14:textId="55FB6C1C" w:rsidR="002D2449" w:rsidRPr="00CD6FD6" w:rsidRDefault="002D2449" w:rsidP="002D2449">
      <w:pPr>
        <w:spacing w:after="120" w:line="240" w:lineRule="auto"/>
        <w:rPr>
          <w:rFonts w:cs="Times New Roman"/>
          <w:b/>
          <w:sz w:val="24"/>
          <w:szCs w:val="24"/>
        </w:rPr>
      </w:pPr>
      <w:r w:rsidRPr="00CD6FD6">
        <w:rPr>
          <w:rFonts w:cs="Times New Roman"/>
          <w:b/>
          <w:sz w:val="24"/>
          <w:szCs w:val="24"/>
        </w:rPr>
        <w:t>IP3 Health Sector meeting</w:t>
      </w:r>
    </w:p>
    <w:p w14:paraId="42491100" w14:textId="100B32AC" w:rsidR="00DB6047" w:rsidRPr="00E25F1F" w:rsidRDefault="00894295" w:rsidP="00E25F1F">
      <w:pPr>
        <w:spacing w:line="240" w:lineRule="auto"/>
        <w:rPr>
          <w:sz w:val="24"/>
          <w:szCs w:val="24"/>
        </w:rPr>
      </w:pPr>
      <w:r w:rsidRPr="00CD6FD6">
        <w:rPr>
          <w:rFonts w:cs="Times New Roman"/>
          <w:sz w:val="24"/>
          <w:szCs w:val="24"/>
        </w:rPr>
        <w:t>The</w:t>
      </w:r>
      <w:r w:rsidR="00C85C5E" w:rsidRPr="00CD6FD6">
        <w:rPr>
          <w:rFonts w:cs="Times New Roman"/>
          <w:sz w:val="24"/>
          <w:szCs w:val="24"/>
        </w:rPr>
        <w:t xml:space="preserve"> </w:t>
      </w:r>
      <w:r w:rsidR="009F1CB0" w:rsidRPr="00CD6FD6">
        <w:rPr>
          <w:rFonts w:cs="Times New Roman"/>
          <w:sz w:val="24"/>
          <w:szCs w:val="24"/>
        </w:rPr>
        <w:t xml:space="preserve">health sector meeting </w:t>
      </w:r>
      <w:r w:rsidR="004465B6" w:rsidRPr="00CD6FD6">
        <w:rPr>
          <w:rFonts w:cs="Times New Roman"/>
          <w:sz w:val="24"/>
          <w:szCs w:val="24"/>
        </w:rPr>
        <w:t xml:space="preserve">convened by WHO </w:t>
      </w:r>
      <w:r w:rsidR="009F1CB0" w:rsidRPr="00CD6FD6">
        <w:rPr>
          <w:rFonts w:cs="Times New Roman"/>
          <w:sz w:val="24"/>
          <w:szCs w:val="24"/>
        </w:rPr>
        <w:t xml:space="preserve">at IP3 </w:t>
      </w:r>
      <w:r w:rsidRPr="00CD6FD6">
        <w:rPr>
          <w:rFonts w:cs="Times New Roman"/>
          <w:sz w:val="24"/>
          <w:szCs w:val="24"/>
        </w:rPr>
        <w:t xml:space="preserve">was attended by </w:t>
      </w:r>
      <w:r w:rsidR="009F1CB0" w:rsidRPr="00CD6FD6">
        <w:rPr>
          <w:rFonts w:cs="Times New Roman"/>
          <w:sz w:val="24"/>
          <w:szCs w:val="24"/>
        </w:rPr>
        <w:t>approximately sixty</w:t>
      </w:r>
      <w:r w:rsidR="009F1CB0" w:rsidRPr="000C5F67">
        <w:rPr>
          <w:rFonts w:cs="Times New Roman"/>
          <w:sz w:val="24"/>
          <w:szCs w:val="24"/>
        </w:rPr>
        <w:t xml:space="preserve"> SAICM health-sector stakeholders, including ministries of health, non-governmental organizations, intergovernmental organizations, industry and academia. It was also attended by colleagues from other sectors. </w:t>
      </w:r>
      <w:r w:rsidR="00C85C5E">
        <w:rPr>
          <w:rFonts w:cs="Times New Roman"/>
          <w:sz w:val="24"/>
          <w:szCs w:val="24"/>
        </w:rPr>
        <w:t xml:space="preserve"> </w:t>
      </w:r>
      <w:r w:rsidRPr="00071A97">
        <w:rPr>
          <w:sz w:val="24"/>
          <w:szCs w:val="24"/>
        </w:rPr>
        <w:t xml:space="preserve">The meeting focused on health sector perspectives on the </w:t>
      </w:r>
      <w:r>
        <w:rPr>
          <w:sz w:val="24"/>
          <w:szCs w:val="24"/>
        </w:rPr>
        <w:t xml:space="preserve">IP </w:t>
      </w:r>
      <w:r w:rsidRPr="00071A97">
        <w:rPr>
          <w:sz w:val="24"/>
          <w:szCs w:val="24"/>
        </w:rPr>
        <w:t xml:space="preserve">co-chairs paper on multi-sectoral engagement </w:t>
      </w:r>
      <w:r>
        <w:rPr>
          <w:sz w:val="24"/>
          <w:szCs w:val="24"/>
        </w:rPr>
        <w:t xml:space="preserve">(SAICM/IP.3/3) </w:t>
      </w:r>
      <w:r w:rsidRPr="00071A97">
        <w:rPr>
          <w:sz w:val="24"/>
          <w:szCs w:val="24"/>
        </w:rPr>
        <w:t>and the relevance of proposed indicators and milestones.</w:t>
      </w:r>
    </w:p>
    <w:p w14:paraId="47CE38FC" w14:textId="2B70D82B" w:rsidR="008719C8" w:rsidRDefault="00E25F1F" w:rsidP="00C85C5E">
      <w:pPr>
        <w:spacing w:after="120" w:line="240" w:lineRule="auto"/>
        <w:rPr>
          <w:rFonts w:cs="Times New Roman"/>
          <w:sz w:val="24"/>
          <w:szCs w:val="24"/>
        </w:rPr>
      </w:pPr>
      <w:r>
        <w:rPr>
          <w:rFonts w:cs="Times New Roman"/>
          <w:sz w:val="24"/>
          <w:szCs w:val="24"/>
        </w:rPr>
        <w:t>P</w:t>
      </w:r>
      <w:r w:rsidR="008719C8">
        <w:rPr>
          <w:rFonts w:cs="Times New Roman"/>
          <w:sz w:val="24"/>
          <w:szCs w:val="24"/>
        </w:rPr>
        <w:t>articipants noted</w:t>
      </w:r>
      <w:r>
        <w:rPr>
          <w:rFonts w:cs="Times New Roman"/>
          <w:sz w:val="24"/>
          <w:szCs w:val="24"/>
        </w:rPr>
        <w:t xml:space="preserve"> the following</w:t>
      </w:r>
      <w:r w:rsidR="008719C8">
        <w:rPr>
          <w:rFonts w:cs="Times New Roman"/>
          <w:sz w:val="24"/>
          <w:szCs w:val="24"/>
        </w:rPr>
        <w:t xml:space="preserve">: </w:t>
      </w:r>
    </w:p>
    <w:p w14:paraId="685368EF" w14:textId="011947F7" w:rsidR="008719C8" w:rsidRDefault="008719C8" w:rsidP="00FF0FA1">
      <w:pPr>
        <w:pStyle w:val="Akapitzlist"/>
        <w:numPr>
          <w:ilvl w:val="0"/>
          <w:numId w:val="6"/>
        </w:numPr>
        <w:spacing w:after="120" w:line="240" w:lineRule="auto"/>
        <w:rPr>
          <w:rFonts w:cs="Times New Roman"/>
          <w:sz w:val="24"/>
          <w:szCs w:val="24"/>
        </w:rPr>
      </w:pPr>
      <w:r w:rsidRPr="008719C8">
        <w:rPr>
          <w:rFonts w:cs="Times New Roman"/>
          <w:sz w:val="24"/>
          <w:szCs w:val="24"/>
        </w:rPr>
        <w:t>A</w:t>
      </w:r>
      <w:r w:rsidR="00C85C5E" w:rsidRPr="008719C8">
        <w:rPr>
          <w:rFonts w:cs="Times New Roman"/>
          <w:sz w:val="24"/>
          <w:szCs w:val="24"/>
        </w:rPr>
        <w:t xml:space="preserve">vailability of </w:t>
      </w:r>
      <w:r w:rsidRPr="008719C8">
        <w:rPr>
          <w:rFonts w:cs="Times New Roman"/>
          <w:sz w:val="24"/>
          <w:szCs w:val="24"/>
        </w:rPr>
        <w:t>formal “sectoral space” during IP3</w:t>
      </w:r>
      <w:r w:rsidR="00C85C5E" w:rsidRPr="008719C8">
        <w:rPr>
          <w:rFonts w:cs="Times New Roman"/>
          <w:sz w:val="24"/>
          <w:szCs w:val="24"/>
        </w:rPr>
        <w:t xml:space="preserve"> provided important time for discussion and networking. Such practices during SAICM meetings should continue. </w:t>
      </w:r>
    </w:p>
    <w:p w14:paraId="4F9FE778" w14:textId="77777777" w:rsidR="00E25F1F" w:rsidRDefault="008719C8" w:rsidP="00FF0FA1">
      <w:pPr>
        <w:pStyle w:val="Akapitzlist"/>
        <w:numPr>
          <w:ilvl w:val="0"/>
          <w:numId w:val="6"/>
        </w:numPr>
        <w:spacing w:after="120" w:line="240" w:lineRule="auto"/>
        <w:rPr>
          <w:rFonts w:cs="Times New Roman"/>
          <w:sz w:val="24"/>
          <w:szCs w:val="24"/>
        </w:rPr>
      </w:pPr>
      <w:r w:rsidRPr="008719C8">
        <w:rPr>
          <w:rFonts w:cs="Times New Roman"/>
          <w:sz w:val="24"/>
          <w:szCs w:val="24"/>
        </w:rPr>
        <w:t>T</w:t>
      </w:r>
      <w:r w:rsidR="00C85C5E" w:rsidRPr="008719C8">
        <w:rPr>
          <w:rFonts w:cs="Times New Roman"/>
          <w:sz w:val="24"/>
          <w:szCs w:val="24"/>
        </w:rPr>
        <w:t xml:space="preserve">he IOMC is useful in bringing the sectors together, including at the national and regional levels. </w:t>
      </w:r>
    </w:p>
    <w:p w14:paraId="16BB5053" w14:textId="7E6D7681" w:rsidR="00FD17B3" w:rsidRDefault="00FD17B3" w:rsidP="00FF0FA1">
      <w:pPr>
        <w:pStyle w:val="Akapitzlist"/>
        <w:numPr>
          <w:ilvl w:val="0"/>
          <w:numId w:val="6"/>
        </w:numPr>
        <w:spacing w:after="120" w:line="240" w:lineRule="auto"/>
        <w:rPr>
          <w:rFonts w:cs="Times New Roman"/>
          <w:sz w:val="24"/>
          <w:szCs w:val="24"/>
        </w:rPr>
      </w:pPr>
      <w:r w:rsidRPr="00E25F1F">
        <w:rPr>
          <w:rFonts w:cs="Times New Roman"/>
          <w:sz w:val="24"/>
          <w:szCs w:val="24"/>
        </w:rPr>
        <w:t xml:space="preserve">The WHO Chemicals Road Map </w:t>
      </w:r>
      <w:r>
        <w:rPr>
          <w:rFonts w:cs="Times New Roman"/>
          <w:sz w:val="24"/>
          <w:szCs w:val="24"/>
        </w:rPr>
        <w:t>has proven</w:t>
      </w:r>
      <w:r w:rsidRPr="00E25F1F">
        <w:rPr>
          <w:rFonts w:cs="Times New Roman"/>
          <w:sz w:val="24"/>
          <w:szCs w:val="24"/>
        </w:rPr>
        <w:t xml:space="preserve"> a useful approach to improving sectoral engagement and </w:t>
      </w:r>
      <w:r>
        <w:rPr>
          <w:rFonts w:cs="Times New Roman"/>
          <w:sz w:val="24"/>
          <w:szCs w:val="24"/>
        </w:rPr>
        <w:t xml:space="preserve">this </w:t>
      </w:r>
      <w:r w:rsidRPr="00E25F1F">
        <w:rPr>
          <w:rFonts w:cs="Times New Roman"/>
          <w:sz w:val="24"/>
          <w:szCs w:val="24"/>
        </w:rPr>
        <w:t>is enhanced by the WHO Global Chemicals and Health Network.</w:t>
      </w:r>
    </w:p>
    <w:p w14:paraId="28B6435E" w14:textId="77777777" w:rsidR="00E25F1F" w:rsidRDefault="00E25F1F" w:rsidP="00FF0FA1">
      <w:pPr>
        <w:pStyle w:val="Akapitzlist"/>
        <w:numPr>
          <w:ilvl w:val="0"/>
          <w:numId w:val="6"/>
        </w:numPr>
        <w:spacing w:after="120" w:line="240" w:lineRule="auto"/>
        <w:rPr>
          <w:rFonts w:cs="Times New Roman"/>
          <w:sz w:val="24"/>
          <w:szCs w:val="24"/>
        </w:rPr>
      </w:pPr>
      <w:r>
        <w:rPr>
          <w:rFonts w:cs="Times New Roman"/>
          <w:sz w:val="24"/>
          <w:szCs w:val="24"/>
        </w:rPr>
        <w:t>M</w:t>
      </w:r>
      <w:r w:rsidR="008719C8" w:rsidRPr="00E25F1F">
        <w:rPr>
          <w:rFonts w:cs="Times New Roman"/>
          <w:sz w:val="24"/>
          <w:szCs w:val="24"/>
        </w:rPr>
        <w:t xml:space="preserve">inistries of </w:t>
      </w:r>
      <w:r>
        <w:rPr>
          <w:rFonts w:cs="Times New Roman"/>
          <w:sz w:val="24"/>
          <w:szCs w:val="24"/>
        </w:rPr>
        <w:t>H</w:t>
      </w:r>
      <w:r w:rsidR="008719C8" w:rsidRPr="00E25F1F">
        <w:rPr>
          <w:rFonts w:cs="Times New Roman"/>
          <w:sz w:val="24"/>
          <w:szCs w:val="24"/>
        </w:rPr>
        <w:t xml:space="preserve">ealth lead various aspects of chemicals regulation in many countries, for example on drinking water, air quality, food safety, and in some countries also industrial chemicals and pesticides. Other important roles include health impact assessments, e.g. on contaminated sites. </w:t>
      </w:r>
    </w:p>
    <w:p w14:paraId="6DF75316" w14:textId="7C59B5E8" w:rsidR="009F1CB0" w:rsidRPr="00E25F1F" w:rsidRDefault="00E25F1F" w:rsidP="00FF0FA1">
      <w:pPr>
        <w:pStyle w:val="Akapitzlist"/>
        <w:numPr>
          <w:ilvl w:val="0"/>
          <w:numId w:val="6"/>
        </w:numPr>
        <w:spacing w:after="120" w:line="240" w:lineRule="auto"/>
        <w:rPr>
          <w:rFonts w:cs="Times New Roman"/>
          <w:sz w:val="24"/>
          <w:szCs w:val="24"/>
        </w:rPr>
      </w:pPr>
      <w:r>
        <w:rPr>
          <w:rFonts w:cs="Times New Roman"/>
          <w:sz w:val="24"/>
          <w:szCs w:val="24"/>
        </w:rPr>
        <w:t>I</w:t>
      </w:r>
      <w:r w:rsidR="00C85C5E" w:rsidRPr="00E25F1F">
        <w:rPr>
          <w:rFonts w:cs="Times New Roman"/>
          <w:sz w:val="24"/>
          <w:szCs w:val="24"/>
        </w:rPr>
        <w:t xml:space="preserve">nformation on the health impacts of chemicals and on issues of food safety </w:t>
      </w:r>
      <w:r>
        <w:rPr>
          <w:rFonts w:cs="Times New Roman"/>
          <w:sz w:val="24"/>
          <w:szCs w:val="24"/>
        </w:rPr>
        <w:t xml:space="preserve">can </w:t>
      </w:r>
      <w:r w:rsidR="00C85C5E" w:rsidRPr="00E25F1F">
        <w:rPr>
          <w:rFonts w:cs="Times New Roman"/>
          <w:sz w:val="24"/>
          <w:szCs w:val="24"/>
        </w:rPr>
        <w:t xml:space="preserve">help </w:t>
      </w:r>
      <w:r>
        <w:rPr>
          <w:rFonts w:cs="Times New Roman"/>
          <w:sz w:val="24"/>
          <w:szCs w:val="24"/>
        </w:rPr>
        <w:t>attract political</w:t>
      </w:r>
      <w:r w:rsidR="00C85C5E" w:rsidRPr="00E25F1F">
        <w:rPr>
          <w:rFonts w:cs="Times New Roman"/>
          <w:sz w:val="24"/>
          <w:szCs w:val="24"/>
        </w:rPr>
        <w:t xml:space="preserve"> attention</w:t>
      </w:r>
      <w:r w:rsidR="00FD17B3">
        <w:rPr>
          <w:rFonts w:cs="Times New Roman"/>
          <w:sz w:val="24"/>
          <w:szCs w:val="24"/>
        </w:rPr>
        <w:t xml:space="preserve"> to chemicals management</w:t>
      </w:r>
      <w:r w:rsidR="00C85C5E" w:rsidRPr="00E25F1F">
        <w:rPr>
          <w:rFonts w:cs="Times New Roman"/>
          <w:sz w:val="24"/>
          <w:szCs w:val="24"/>
        </w:rPr>
        <w:t xml:space="preserve">. </w:t>
      </w:r>
      <w:r w:rsidR="008719C8" w:rsidRPr="00E25F1F">
        <w:rPr>
          <w:rFonts w:cs="Times New Roman"/>
          <w:sz w:val="24"/>
          <w:szCs w:val="24"/>
        </w:rPr>
        <w:t xml:space="preserve"> </w:t>
      </w:r>
      <w:r w:rsidR="00C85C5E" w:rsidRPr="00E25F1F">
        <w:rPr>
          <w:rFonts w:cs="Times New Roman"/>
          <w:sz w:val="24"/>
          <w:szCs w:val="24"/>
        </w:rPr>
        <w:t xml:space="preserve"> </w:t>
      </w:r>
    </w:p>
    <w:p w14:paraId="343B5F77" w14:textId="13D7CB15" w:rsidR="009F1CB0" w:rsidRPr="00E25F1F" w:rsidRDefault="008719C8" w:rsidP="00FF0FA1">
      <w:pPr>
        <w:pStyle w:val="Akapitzlist"/>
        <w:numPr>
          <w:ilvl w:val="0"/>
          <w:numId w:val="6"/>
        </w:numPr>
        <w:spacing w:after="120" w:line="240" w:lineRule="auto"/>
        <w:rPr>
          <w:rFonts w:cs="Times New Roman"/>
          <w:sz w:val="24"/>
          <w:szCs w:val="24"/>
        </w:rPr>
      </w:pPr>
      <w:r w:rsidRPr="00E25F1F">
        <w:rPr>
          <w:rFonts w:cs="Times New Roman"/>
          <w:sz w:val="24"/>
          <w:szCs w:val="24"/>
        </w:rPr>
        <w:t>Having targets and indicators relevant to the health sector is important for encouraging health sector participation in the work beyond 2020. This could include an indicator for sectoral participation in SAICM bodies and events and an indicator on sectoral access to support for implementation of SAICM, e.g. through any financial arrangements.</w:t>
      </w:r>
    </w:p>
    <w:p w14:paraId="5D6D2400" w14:textId="0DAFADE8" w:rsidR="00E25F1F" w:rsidRDefault="008719C8" w:rsidP="00FF0FA1">
      <w:pPr>
        <w:pStyle w:val="Akapitzlist"/>
        <w:numPr>
          <w:ilvl w:val="0"/>
          <w:numId w:val="6"/>
        </w:numPr>
        <w:spacing w:after="120" w:line="240" w:lineRule="auto"/>
        <w:rPr>
          <w:rFonts w:cs="Times New Roman"/>
          <w:sz w:val="24"/>
          <w:szCs w:val="24"/>
        </w:rPr>
      </w:pPr>
      <w:r w:rsidRPr="00E25F1F">
        <w:rPr>
          <w:rFonts w:cs="Times New Roman"/>
          <w:sz w:val="24"/>
          <w:szCs w:val="24"/>
        </w:rPr>
        <w:t xml:space="preserve">The </w:t>
      </w:r>
      <w:r w:rsidR="0012450B" w:rsidRPr="00E25F1F">
        <w:rPr>
          <w:rFonts w:cs="Times New Roman"/>
          <w:sz w:val="24"/>
          <w:szCs w:val="24"/>
        </w:rPr>
        <w:t>S</w:t>
      </w:r>
      <w:r w:rsidRPr="00E25F1F">
        <w:rPr>
          <w:rFonts w:cs="Times New Roman"/>
          <w:sz w:val="24"/>
          <w:szCs w:val="24"/>
        </w:rPr>
        <w:t xml:space="preserve">ustainable </w:t>
      </w:r>
      <w:r w:rsidR="0012450B" w:rsidRPr="00E25F1F">
        <w:rPr>
          <w:rFonts w:cs="Times New Roman"/>
          <w:sz w:val="24"/>
          <w:szCs w:val="24"/>
        </w:rPr>
        <w:t>D</w:t>
      </w:r>
      <w:r w:rsidRPr="00E25F1F">
        <w:rPr>
          <w:rFonts w:cs="Times New Roman"/>
          <w:sz w:val="24"/>
          <w:szCs w:val="24"/>
        </w:rPr>
        <w:t xml:space="preserve">evelopment </w:t>
      </w:r>
      <w:r w:rsidR="0012450B" w:rsidRPr="00E25F1F">
        <w:rPr>
          <w:rFonts w:cs="Times New Roman"/>
          <w:sz w:val="24"/>
          <w:szCs w:val="24"/>
        </w:rPr>
        <w:t>G</w:t>
      </w:r>
      <w:r w:rsidRPr="00E25F1F">
        <w:rPr>
          <w:rFonts w:cs="Times New Roman"/>
          <w:sz w:val="24"/>
          <w:szCs w:val="24"/>
        </w:rPr>
        <w:t xml:space="preserve">oals </w:t>
      </w:r>
      <w:r w:rsidR="0012450B" w:rsidRPr="00E25F1F">
        <w:rPr>
          <w:rFonts w:cs="Times New Roman"/>
          <w:sz w:val="24"/>
          <w:szCs w:val="24"/>
        </w:rPr>
        <w:t xml:space="preserve">(SDGs) </w:t>
      </w:r>
      <w:r w:rsidRPr="00E25F1F">
        <w:rPr>
          <w:rFonts w:cs="Times New Roman"/>
          <w:sz w:val="24"/>
          <w:szCs w:val="24"/>
        </w:rPr>
        <w:t>provide the big picture for countries</w:t>
      </w:r>
      <w:r w:rsidR="00E25F1F">
        <w:rPr>
          <w:rFonts w:cs="Times New Roman"/>
          <w:sz w:val="24"/>
          <w:szCs w:val="24"/>
        </w:rPr>
        <w:t xml:space="preserve"> in terms of targets and indicators</w:t>
      </w:r>
      <w:r w:rsidRPr="00E25F1F">
        <w:rPr>
          <w:rFonts w:cs="Times New Roman"/>
          <w:sz w:val="24"/>
          <w:szCs w:val="24"/>
        </w:rPr>
        <w:t xml:space="preserve">. </w:t>
      </w:r>
    </w:p>
    <w:p w14:paraId="11D2BE0C" w14:textId="35968497" w:rsidR="00CD6FD6" w:rsidRPr="00CD6FD6" w:rsidRDefault="009F1CB0" w:rsidP="00FF0FA1">
      <w:pPr>
        <w:pStyle w:val="Akapitzlist"/>
        <w:numPr>
          <w:ilvl w:val="0"/>
          <w:numId w:val="6"/>
        </w:numPr>
        <w:spacing w:after="160" w:line="240" w:lineRule="auto"/>
        <w:rPr>
          <w:rFonts w:cs="Times New Roman"/>
          <w:b/>
          <w:sz w:val="24"/>
          <w:szCs w:val="24"/>
        </w:rPr>
      </w:pPr>
      <w:r w:rsidRPr="00CD6FD6">
        <w:rPr>
          <w:rFonts w:cs="Times New Roman"/>
          <w:sz w:val="24"/>
          <w:szCs w:val="24"/>
        </w:rPr>
        <w:t>Existing WHO data sources on health impact and burden of disease</w:t>
      </w:r>
      <w:r w:rsidR="0012450B" w:rsidRPr="00CD6FD6">
        <w:rPr>
          <w:rFonts w:cs="Times New Roman"/>
          <w:sz w:val="24"/>
          <w:szCs w:val="24"/>
        </w:rPr>
        <w:t xml:space="preserve"> </w:t>
      </w:r>
      <w:r w:rsidRPr="00CD6FD6">
        <w:rPr>
          <w:rFonts w:cs="Times New Roman"/>
          <w:sz w:val="24"/>
          <w:szCs w:val="24"/>
        </w:rPr>
        <w:t xml:space="preserve">were identified, including several where WHO is a custodial agency under the </w:t>
      </w:r>
      <w:r w:rsidR="0012450B" w:rsidRPr="00CD6FD6">
        <w:rPr>
          <w:rFonts w:cs="Times New Roman"/>
          <w:sz w:val="24"/>
          <w:szCs w:val="24"/>
        </w:rPr>
        <w:t>SDGs</w:t>
      </w:r>
      <w:r w:rsidRPr="00CD6FD6">
        <w:rPr>
          <w:rFonts w:cs="Times New Roman"/>
          <w:sz w:val="24"/>
          <w:szCs w:val="24"/>
        </w:rPr>
        <w:t xml:space="preserve">. </w:t>
      </w:r>
      <w:r w:rsidR="0012450B" w:rsidRPr="00CD6FD6">
        <w:rPr>
          <w:rFonts w:cs="Times New Roman"/>
          <w:sz w:val="24"/>
          <w:szCs w:val="24"/>
        </w:rPr>
        <w:t xml:space="preserve">For example, </w:t>
      </w:r>
      <w:r w:rsidRPr="00CD6FD6">
        <w:rPr>
          <w:rFonts w:cs="Times New Roman"/>
          <w:sz w:val="24"/>
          <w:szCs w:val="24"/>
        </w:rPr>
        <w:t xml:space="preserve">the core capacities </w:t>
      </w:r>
      <w:r w:rsidR="0012450B" w:rsidRPr="00CD6FD6">
        <w:rPr>
          <w:rFonts w:cs="Times New Roman"/>
          <w:sz w:val="24"/>
          <w:szCs w:val="24"/>
        </w:rPr>
        <w:t xml:space="preserve">of the International Health Regulations (2005) (IHR) </w:t>
      </w:r>
      <w:r w:rsidRPr="00CD6FD6">
        <w:rPr>
          <w:rFonts w:cs="Times New Roman"/>
          <w:sz w:val="24"/>
          <w:szCs w:val="24"/>
        </w:rPr>
        <w:t xml:space="preserve">for chemical-related incidents and emergencies </w:t>
      </w:r>
      <w:r w:rsidR="0012450B" w:rsidRPr="00CD6FD6">
        <w:rPr>
          <w:rFonts w:cs="Times New Roman"/>
          <w:sz w:val="24"/>
          <w:szCs w:val="24"/>
        </w:rPr>
        <w:t xml:space="preserve">is monitored </w:t>
      </w:r>
      <w:r w:rsidRPr="00CD6FD6">
        <w:rPr>
          <w:rFonts w:cs="Times New Roman"/>
          <w:sz w:val="24"/>
          <w:szCs w:val="24"/>
        </w:rPr>
        <w:t xml:space="preserve">by </w:t>
      </w:r>
      <w:r w:rsidR="0012450B" w:rsidRPr="00CD6FD6">
        <w:rPr>
          <w:rFonts w:cs="Times New Roman"/>
          <w:sz w:val="24"/>
          <w:szCs w:val="24"/>
        </w:rPr>
        <w:t>WHO and a</w:t>
      </w:r>
      <w:r w:rsidRPr="00CD6FD6">
        <w:rPr>
          <w:rFonts w:cs="Times New Roman"/>
          <w:sz w:val="24"/>
          <w:szCs w:val="24"/>
        </w:rPr>
        <w:t xml:space="preserve">chievement of the IHR capacities </w:t>
      </w:r>
      <w:r w:rsidRPr="00CD6FD6">
        <w:rPr>
          <w:rFonts w:cs="Times New Roman"/>
          <w:sz w:val="24"/>
          <w:szCs w:val="24"/>
        </w:rPr>
        <w:lastRenderedPageBreak/>
        <w:t xml:space="preserve">is also </w:t>
      </w:r>
      <w:r w:rsidR="0012450B" w:rsidRPr="00CD6FD6">
        <w:rPr>
          <w:rFonts w:cs="Times New Roman"/>
          <w:sz w:val="24"/>
          <w:szCs w:val="24"/>
        </w:rPr>
        <w:t>SDG</w:t>
      </w:r>
      <w:r w:rsidRPr="00CD6FD6">
        <w:rPr>
          <w:rFonts w:cs="Times New Roman"/>
          <w:sz w:val="24"/>
          <w:szCs w:val="24"/>
        </w:rPr>
        <w:t xml:space="preserve"> indicator 3d.</w:t>
      </w:r>
      <w:r w:rsidR="0012450B" w:rsidRPr="00CD6FD6">
        <w:rPr>
          <w:rFonts w:cs="Times New Roman"/>
          <w:sz w:val="24"/>
          <w:szCs w:val="24"/>
        </w:rPr>
        <w:t xml:space="preserve"> IHR capacity also presents a number of opportunities for cooperation between health, environment and other stakeholders since it encompasses a range of aspects such as chemical regulation, availability of poisons centres, development of laboratory capacity and multi-sectoral coordination.</w:t>
      </w:r>
    </w:p>
    <w:p w14:paraId="6A696D6B" w14:textId="77777777" w:rsidR="00CD6FD6" w:rsidRPr="00CD6FD6" w:rsidRDefault="00CD6FD6" w:rsidP="00CD6FD6">
      <w:pPr>
        <w:pStyle w:val="Akapitzlist"/>
        <w:spacing w:after="160" w:line="240" w:lineRule="auto"/>
        <w:ind w:left="360"/>
        <w:rPr>
          <w:rFonts w:cs="Times New Roman"/>
          <w:b/>
          <w:sz w:val="24"/>
          <w:szCs w:val="24"/>
        </w:rPr>
      </w:pPr>
    </w:p>
    <w:p w14:paraId="1F9A7D70" w14:textId="5CD18F59" w:rsidR="001124BC" w:rsidRPr="00CD6FD6" w:rsidRDefault="001124BC" w:rsidP="00CD6FD6">
      <w:pPr>
        <w:spacing w:after="120" w:line="240" w:lineRule="auto"/>
        <w:rPr>
          <w:rFonts w:cs="Times New Roman"/>
          <w:b/>
          <w:sz w:val="24"/>
          <w:szCs w:val="24"/>
        </w:rPr>
      </w:pPr>
      <w:r w:rsidRPr="00CD6FD6">
        <w:rPr>
          <w:rFonts w:cs="Times New Roman"/>
          <w:b/>
          <w:sz w:val="24"/>
          <w:szCs w:val="24"/>
        </w:rPr>
        <w:t>Post IP3 work on specific issues:</w:t>
      </w:r>
    </w:p>
    <w:p w14:paraId="1F4C8276" w14:textId="77777777" w:rsidR="001124BC" w:rsidRPr="000C5F67" w:rsidRDefault="001124BC" w:rsidP="00FF0FA1">
      <w:pPr>
        <w:pStyle w:val="Akapitzlist"/>
        <w:numPr>
          <w:ilvl w:val="0"/>
          <w:numId w:val="6"/>
        </w:numPr>
        <w:spacing w:after="160" w:line="240" w:lineRule="auto"/>
        <w:rPr>
          <w:rFonts w:cs="Times New Roman"/>
          <w:b/>
          <w:sz w:val="24"/>
          <w:szCs w:val="24"/>
        </w:rPr>
      </w:pPr>
      <w:r w:rsidRPr="000C5F67">
        <w:rPr>
          <w:rFonts w:cs="Times New Roman"/>
          <w:b/>
          <w:sz w:val="24"/>
          <w:szCs w:val="24"/>
        </w:rPr>
        <w:t>Technical Working Group on targets, indicators and milestones</w:t>
      </w:r>
    </w:p>
    <w:p w14:paraId="0293F469" w14:textId="74825D62" w:rsidR="00143B02" w:rsidRDefault="001124BC" w:rsidP="00CD6FD6">
      <w:pPr>
        <w:pStyle w:val="Akapitzlist"/>
        <w:spacing w:after="160" w:line="240" w:lineRule="auto"/>
        <w:ind w:left="360"/>
        <w:rPr>
          <w:rFonts w:cs="Times New Roman"/>
          <w:sz w:val="24"/>
          <w:szCs w:val="24"/>
        </w:rPr>
      </w:pPr>
      <w:r w:rsidRPr="00CD6FD6">
        <w:rPr>
          <w:rFonts w:cs="Times New Roman"/>
          <w:sz w:val="24"/>
          <w:szCs w:val="24"/>
        </w:rPr>
        <w:t>IP3 requested that a Technical Working Group be tasked to advance work on targets, indicators and milestones in preparation for the fourth meeting of the intersessional process. This group deliberated through two e-meetings held January 10 and February 3rd, 2020 and one face to face meeting held February 13-14 in Geneva.</w:t>
      </w:r>
      <w:r w:rsidR="003E1249" w:rsidRPr="00CD6FD6">
        <w:rPr>
          <w:rFonts w:cs="Times New Roman"/>
          <w:sz w:val="24"/>
          <w:szCs w:val="24"/>
        </w:rPr>
        <w:t xml:space="preserve"> </w:t>
      </w:r>
      <w:r w:rsidR="00CD6FD6">
        <w:rPr>
          <w:rFonts w:cs="Times New Roman"/>
          <w:sz w:val="24"/>
          <w:szCs w:val="24"/>
        </w:rPr>
        <w:t xml:space="preserve"> </w:t>
      </w:r>
      <w:r w:rsidR="003E1249" w:rsidRPr="00CD6FD6">
        <w:rPr>
          <w:rFonts w:cs="Times New Roman"/>
          <w:sz w:val="24"/>
          <w:szCs w:val="24"/>
        </w:rPr>
        <w:t xml:space="preserve">The outcome of the Technical Working group can be found in: </w:t>
      </w:r>
      <w:hyperlink r:id="rId14" w:history="1">
        <w:r w:rsidR="003E1249" w:rsidRPr="00CD6FD6">
          <w:rPr>
            <w:rFonts w:cs="Times New Roman"/>
            <w:sz w:val="24"/>
            <w:szCs w:val="24"/>
          </w:rPr>
          <w:t>SAICM/IP.4/3</w:t>
        </w:r>
      </w:hyperlink>
      <w:r w:rsidR="00242716" w:rsidRPr="00867FCD">
        <w:rPr>
          <w:rFonts w:cs="Times New Roman"/>
          <w:sz w:val="24"/>
          <w:szCs w:val="24"/>
          <w:vertAlign w:val="superscript"/>
        </w:rPr>
        <w:footnoteReference w:id="8"/>
      </w:r>
      <w:r w:rsidR="003E1249" w:rsidRPr="00CD6FD6">
        <w:rPr>
          <w:rFonts w:cs="Times New Roman"/>
          <w:sz w:val="24"/>
          <w:szCs w:val="24"/>
        </w:rPr>
        <w:t xml:space="preserve"> Proposed targets prepared by the Technical Working Group on targets, indicators and milestones for SAICM and the sound management of chemicals and waste beyond 2020</w:t>
      </w:r>
      <w:r w:rsidR="00CD6FD6">
        <w:rPr>
          <w:rFonts w:cs="Times New Roman"/>
          <w:sz w:val="24"/>
          <w:szCs w:val="24"/>
        </w:rPr>
        <w:t xml:space="preserve">. </w:t>
      </w:r>
      <w:r w:rsidR="00BD4327">
        <w:rPr>
          <w:rFonts w:cs="Times New Roman"/>
          <w:sz w:val="24"/>
          <w:szCs w:val="24"/>
        </w:rPr>
        <w:t xml:space="preserve"> </w:t>
      </w:r>
      <w:r w:rsidR="00143B02">
        <w:rPr>
          <w:rFonts w:cs="Times New Roman"/>
          <w:sz w:val="24"/>
          <w:szCs w:val="24"/>
        </w:rPr>
        <w:t xml:space="preserve">Supplemental information can be found in: </w:t>
      </w:r>
      <w:hyperlink r:id="rId15" w:history="1">
        <w:r w:rsidR="00143B02" w:rsidRPr="00CD6FD6">
          <w:t>SAICM/IP.4/INF/15</w:t>
        </w:r>
      </w:hyperlink>
      <w:r w:rsidR="00242716" w:rsidRPr="00867FCD">
        <w:rPr>
          <w:vertAlign w:val="superscript"/>
        </w:rPr>
        <w:footnoteReference w:id="9"/>
      </w:r>
      <w:r w:rsidR="00867FCD" w:rsidRPr="00867FCD">
        <w:rPr>
          <w:rFonts w:cs="Times New Roman"/>
          <w:sz w:val="24"/>
          <w:szCs w:val="24"/>
          <w:vertAlign w:val="superscript"/>
        </w:rPr>
        <w:t>.</w:t>
      </w:r>
    </w:p>
    <w:p w14:paraId="4F41C1DA" w14:textId="77777777" w:rsidR="00CD6FD6" w:rsidRPr="00CD6FD6" w:rsidRDefault="00CD6FD6" w:rsidP="00CD6FD6">
      <w:pPr>
        <w:pStyle w:val="Akapitzlist"/>
        <w:spacing w:after="160" w:line="240" w:lineRule="auto"/>
        <w:ind w:left="360"/>
        <w:rPr>
          <w:rFonts w:cs="Times New Roman"/>
          <w:sz w:val="24"/>
          <w:szCs w:val="24"/>
        </w:rPr>
      </w:pPr>
    </w:p>
    <w:p w14:paraId="75282135" w14:textId="32FE2AED" w:rsidR="001124BC" w:rsidRDefault="001124BC" w:rsidP="00CD6FD6">
      <w:pPr>
        <w:pStyle w:val="Akapitzlist"/>
        <w:spacing w:after="160" w:line="240" w:lineRule="auto"/>
        <w:ind w:left="360"/>
        <w:rPr>
          <w:rFonts w:cs="Times New Roman"/>
          <w:sz w:val="24"/>
          <w:szCs w:val="24"/>
        </w:rPr>
      </w:pPr>
      <w:r w:rsidRPr="002E3F68">
        <w:rPr>
          <w:rFonts w:cs="Times New Roman"/>
          <w:b/>
          <w:sz w:val="24"/>
          <w:szCs w:val="24"/>
        </w:rPr>
        <w:t>The second Workshop on strengthening governance</w:t>
      </w:r>
      <w:r w:rsidRPr="002E3F68">
        <w:rPr>
          <w:rFonts w:cs="Times New Roman"/>
          <w:sz w:val="24"/>
          <w:szCs w:val="24"/>
        </w:rPr>
        <w:t xml:space="preserve"> </w:t>
      </w:r>
      <w:r w:rsidRPr="002E3F68">
        <w:rPr>
          <w:rFonts w:cs="Times New Roman"/>
          <w:b/>
          <w:sz w:val="24"/>
          <w:szCs w:val="24"/>
        </w:rPr>
        <w:t xml:space="preserve">for the sound management of chemicals and waste beyond 2020 </w:t>
      </w:r>
      <w:r w:rsidRPr="002E3F68">
        <w:rPr>
          <w:rFonts w:cs="Times New Roman"/>
          <w:sz w:val="24"/>
          <w:szCs w:val="24"/>
        </w:rPr>
        <w:t>was hosted by UNITAR</w:t>
      </w:r>
      <w:r w:rsidRPr="002E3F68">
        <w:rPr>
          <w:rFonts w:cs="Times New Roman"/>
          <w:b/>
          <w:sz w:val="24"/>
          <w:szCs w:val="24"/>
        </w:rPr>
        <w:t xml:space="preserve"> </w:t>
      </w:r>
      <w:r w:rsidRPr="002E3F68">
        <w:rPr>
          <w:rFonts w:cs="Times New Roman"/>
          <w:sz w:val="24"/>
          <w:szCs w:val="24"/>
        </w:rPr>
        <w:t xml:space="preserve">in Frankfurt, Germany </w:t>
      </w:r>
      <w:r w:rsidR="003E1249" w:rsidRPr="002E3F68">
        <w:rPr>
          <w:rFonts w:cs="Times New Roman"/>
          <w:sz w:val="24"/>
          <w:szCs w:val="24"/>
        </w:rPr>
        <w:t xml:space="preserve">14-16 January, 2020 </w:t>
      </w:r>
      <w:r w:rsidRPr="002E3F68">
        <w:rPr>
          <w:rFonts w:cs="Times New Roman"/>
          <w:sz w:val="24"/>
          <w:szCs w:val="24"/>
        </w:rPr>
        <w:t>supported by the Governments of Germany, Norway, and Switzerland.</w:t>
      </w:r>
      <w:r w:rsidR="002E3F68" w:rsidRPr="002E3F68">
        <w:rPr>
          <w:rFonts w:cs="Times New Roman"/>
          <w:sz w:val="24"/>
          <w:szCs w:val="24"/>
        </w:rPr>
        <w:t xml:space="preserve"> </w:t>
      </w:r>
      <w:r w:rsidR="003E1249" w:rsidRPr="002E3F68">
        <w:rPr>
          <w:rFonts w:cs="Times New Roman"/>
          <w:sz w:val="24"/>
          <w:szCs w:val="24"/>
        </w:rPr>
        <w:t>T</w:t>
      </w:r>
      <w:r w:rsidRPr="002E3F68">
        <w:rPr>
          <w:rFonts w:cs="Times New Roman"/>
          <w:sz w:val="24"/>
          <w:szCs w:val="24"/>
        </w:rPr>
        <w:t xml:space="preserve">he workshop provided participants with an opportunity to consider progress to date on governance matters and to share views on priority areas. </w:t>
      </w:r>
      <w:r w:rsidR="003E1249">
        <w:rPr>
          <w:rFonts w:cs="Times New Roman"/>
          <w:sz w:val="24"/>
          <w:szCs w:val="24"/>
        </w:rPr>
        <w:t xml:space="preserve">The </w:t>
      </w:r>
      <w:r w:rsidR="00143B02">
        <w:rPr>
          <w:rFonts w:cs="Times New Roman"/>
          <w:sz w:val="24"/>
          <w:szCs w:val="24"/>
        </w:rPr>
        <w:t>report from</w:t>
      </w:r>
      <w:r w:rsidR="003E1249">
        <w:rPr>
          <w:rFonts w:cs="Times New Roman"/>
          <w:sz w:val="24"/>
          <w:szCs w:val="24"/>
        </w:rPr>
        <w:t xml:space="preserve"> this workshop can be found in: </w:t>
      </w:r>
      <w:hyperlink r:id="rId16" w:history="1">
        <w:r w:rsidR="003E1249" w:rsidRPr="00CD6FD6">
          <w:t>SAICM/IP.4/INF/6</w:t>
        </w:r>
      </w:hyperlink>
      <w:r w:rsidR="002E3F68" w:rsidRPr="00867FCD">
        <w:rPr>
          <w:vertAlign w:val="superscript"/>
        </w:rPr>
        <w:footnoteReference w:id="10"/>
      </w:r>
      <w:r w:rsidR="002E3F68">
        <w:rPr>
          <w:rFonts w:cs="Times New Roman"/>
          <w:sz w:val="24"/>
          <w:szCs w:val="24"/>
        </w:rPr>
        <w:t xml:space="preserve"> </w:t>
      </w:r>
      <w:r w:rsidR="003E1249" w:rsidRPr="00CD6FD6">
        <w:rPr>
          <w:rFonts w:cs="Times New Roman"/>
          <w:sz w:val="24"/>
          <w:szCs w:val="24"/>
        </w:rPr>
        <w:t>Submission from UNITAR: Summary document of the stakeholder workshop on strengthening governance for the sound management of chemicals and waste beyond 2020</w:t>
      </w:r>
      <w:r w:rsidR="00CD6FD6">
        <w:rPr>
          <w:rFonts w:cs="Times New Roman"/>
          <w:sz w:val="24"/>
          <w:szCs w:val="24"/>
        </w:rPr>
        <w:t>.</w:t>
      </w:r>
    </w:p>
    <w:p w14:paraId="2D48037D" w14:textId="77777777" w:rsidR="00CD6FD6" w:rsidRPr="000C5F67" w:rsidRDefault="00CD6FD6" w:rsidP="00CD6FD6">
      <w:pPr>
        <w:pStyle w:val="Akapitzlist"/>
        <w:spacing w:after="160" w:line="240" w:lineRule="auto"/>
        <w:ind w:left="360"/>
        <w:rPr>
          <w:rFonts w:cs="Times New Roman"/>
          <w:sz w:val="24"/>
          <w:szCs w:val="24"/>
        </w:rPr>
      </w:pPr>
    </w:p>
    <w:p w14:paraId="3F36ED2C" w14:textId="7F7CB45A" w:rsidR="001124BC" w:rsidRPr="00BD4327" w:rsidRDefault="003E1249" w:rsidP="00FF0FA1">
      <w:pPr>
        <w:pStyle w:val="Akapitzlist"/>
        <w:numPr>
          <w:ilvl w:val="0"/>
          <w:numId w:val="6"/>
        </w:numPr>
        <w:spacing w:after="120" w:line="240" w:lineRule="auto"/>
        <w:ind w:left="284"/>
        <w:rPr>
          <w:rFonts w:cs="Times New Roman"/>
          <w:sz w:val="24"/>
          <w:szCs w:val="24"/>
        </w:rPr>
      </w:pPr>
      <w:r w:rsidRPr="00BD4327">
        <w:rPr>
          <w:rFonts w:cs="Times New Roman"/>
          <w:b/>
          <w:sz w:val="24"/>
          <w:szCs w:val="24"/>
        </w:rPr>
        <w:t>A</w:t>
      </w:r>
      <w:r w:rsidR="0013369C" w:rsidRPr="00BD4327">
        <w:rPr>
          <w:rFonts w:cs="Times New Roman"/>
          <w:b/>
          <w:sz w:val="24"/>
          <w:szCs w:val="24"/>
        </w:rPr>
        <w:t>n Informal</w:t>
      </w:r>
      <w:r w:rsidRPr="00BD4327">
        <w:rPr>
          <w:rFonts w:cs="Times New Roman"/>
          <w:b/>
          <w:sz w:val="24"/>
          <w:szCs w:val="24"/>
        </w:rPr>
        <w:t xml:space="preserve"> </w:t>
      </w:r>
      <w:r w:rsidR="00143B02" w:rsidRPr="00BD4327">
        <w:rPr>
          <w:rFonts w:cs="Times New Roman"/>
          <w:b/>
          <w:sz w:val="24"/>
          <w:szCs w:val="24"/>
        </w:rPr>
        <w:t xml:space="preserve">Technical Expert Workshop on Criteria for Substances of International Concern Beyond 2020 </w:t>
      </w:r>
      <w:r w:rsidR="00143B02" w:rsidRPr="00BD4327">
        <w:rPr>
          <w:rFonts w:cs="Times New Roman"/>
          <w:sz w:val="24"/>
          <w:szCs w:val="24"/>
        </w:rPr>
        <w:t>was held</w:t>
      </w:r>
      <w:r w:rsidR="001124BC" w:rsidRPr="00BD4327">
        <w:rPr>
          <w:rFonts w:cs="Times New Roman"/>
          <w:sz w:val="24"/>
          <w:szCs w:val="24"/>
        </w:rPr>
        <w:t xml:space="preserve"> February 24-25, 2020, Gothenburg, Sweden</w:t>
      </w:r>
      <w:r w:rsidR="0013369C" w:rsidRPr="00BD4327">
        <w:rPr>
          <w:rFonts w:cs="Times New Roman"/>
          <w:sz w:val="24"/>
          <w:szCs w:val="24"/>
        </w:rPr>
        <w:t xml:space="preserve"> arranged by UNITAR in collaboration with University of Gothenburg, Centre for Future Chemical Risk Assessment and Management Strategies (FRAM) and the Swedish Chemicals Agency (</w:t>
      </w:r>
      <w:proofErr w:type="spellStart"/>
      <w:r w:rsidR="0013369C" w:rsidRPr="00BD4327">
        <w:rPr>
          <w:rFonts w:cs="Times New Roman"/>
          <w:sz w:val="24"/>
          <w:szCs w:val="24"/>
        </w:rPr>
        <w:t>KemI</w:t>
      </w:r>
      <w:proofErr w:type="spellEnd"/>
      <w:r w:rsidR="0013369C" w:rsidRPr="00BD4327">
        <w:rPr>
          <w:rFonts w:cs="Times New Roman"/>
          <w:sz w:val="24"/>
          <w:szCs w:val="24"/>
        </w:rPr>
        <w:t>).</w:t>
      </w:r>
      <w:r w:rsidR="00143B02" w:rsidRPr="00BD4327">
        <w:rPr>
          <w:rFonts w:cs="Times New Roman"/>
          <w:sz w:val="24"/>
          <w:szCs w:val="24"/>
        </w:rPr>
        <w:t xml:space="preserve">  The report from this workshop </w:t>
      </w:r>
      <w:r w:rsidR="0013369C" w:rsidRPr="00BD4327">
        <w:rPr>
          <w:rFonts w:cs="Times New Roman"/>
          <w:sz w:val="24"/>
          <w:szCs w:val="24"/>
        </w:rPr>
        <w:t>i</w:t>
      </w:r>
      <w:r w:rsidR="00143B02" w:rsidRPr="00BD4327">
        <w:rPr>
          <w:rFonts w:cs="Times New Roman"/>
          <w:sz w:val="24"/>
          <w:szCs w:val="24"/>
        </w:rPr>
        <w:t xml:space="preserve">s </w:t>
      </w:r>
      <w:r w:rsidR="00BD4327" w:rsidRPr="00BD4327">
        <w:rPr>
          <w:rFonts w:cs="Times New Roman"/>
          <w:sz w:val="24"/>
          <w:szCs w:val="24"/>
        </w:rPr>
        <w:t>available on the IP4 website</w:t>
      </w:r>
      <w:r w:rsidR="00BD4327">
        <w:rPr>
          <w:rStyle w:val="Odwoanieprzypisudolnego"/>
          <w:rFonts w:cs="Times New Roman"/>
          <w:sz w:val="24"/>
          <w:szCs w:val="24"/>
        </w:rPr>
        <w:footnoteReference w:id="11"/>
      </w:r>
      <w:r w:rsidR="00BD4327" w:rsidRPr="00BD4327">
        <w:rPr>
          <w:rFonts w:cs="Times New Roman"/>
          <w:sz w:val="24"/>
          <w:szCs w:val="24"/>
        </w:rPr>
        <w:t xml:space="preserve">. </w:t>
      </w:r>
    </w:p>
    <w:p w14:paraId="04901D91" w14:textId="127A2377" w:rsidR="001124BC" w:rsidRPr="001124BC" w:rsidRDefault="001124BC" w:rsidP="002E3F68">
      <w:pPr>
        <w:spacing w:after="120" w:line="240" w:lineRule="auto"/>
        <w:rPr>
          <w:rFonts w:cs="Times New Roman"/>
          <w:b/>
          <w:sz w:val="24"/>
          <w:szCs w:val="24"/>
        </w:rPr>
      </w:pPr>
      <w:r w:rsidRPr="001124BC">
        <w:rPr>
          <w:rFonts w:cs="Times New Roman"/>
          <w:b/>
          <w:sz w:val="24"/>
          <w:szCs w:val="24"/>
        </w:rPr>
        <w:t>Moving Forward</w:t>
      </w:r>
    </w:p>
    <w:p w14:paraId="192E19FA" w14:textId="76DCCC79" w:rsidR="002D31ED" w:rsidRDefault="001124BC" w:rsidP="00D31D8C">
      <w:pPr>
        <w:spacing w:after="120" w:line="240" w:lineRule="auto"/>
        <w:rPr>
          <w:rFonts w:cs="Times New Roman"/>
          <w:sz w:val="24"/>
          <w:szCs w:val="24"/>
        </w:rPr>
      </w:pPr>
      <w:r>
        <w:rPr>
          <w:rFonts w:cs="Times New Roman"/>
          <w:sz w:val="24"/>
          <w:szCs w:val="24"/>
        </w:rPr>
        <w:t xml:space="preserve">While IP4 </w:t>
      </w:r>
      <w:r w:rsidR="009F38D5">
        <w:rPr>
          <w:rFonts w:cs="Times New Roman"/>
          <w:sz w:val="24"/>
          <w:szCs w:val="24"/>
        </w:rPr>
        <w:t xml:space="preserve">is </w:t>
      </w:r>
      <w:r w:rsidR="00BD4327">
        <w:rPr>
          <w:rFonts w:cs="Times New Roman"/>
          <w:sz w:val="24"/>
          <w:szCs w:val="24"/>
        </w:rPr>
        <w:t>not confirmed</w:t>
      </w:r>
      <w:r>
        <w:rPr>
          <w:rFonts w:cs="Times New Roman"/>
          <w:sz w:val="24"/>
          <w:szCs w:val="24"/>
        </w:rPr>
        <w:t xml:space="preserve"> due to the COVID-19 outbreak, </w:t>
      </w:r>
      <w:r w:rsidR="002D31ED">
        <w:rPr>
          <w:rFonts w:cs="Times New Roman"/>
          <w:sz w:val="24"/>
          <w:szCs w:val="24"/>
        </w:rPr>
        <w:t>work in the meantime will continue through a series of virtual working groups, as follows:</w:t>
      </w:r>
    </w:p>
    <w:p w14:paraId="2E083892" w14:textId="1859238E" w:rsidR="002D31ED" w:rsidRDefault="002D31ED" w:rsidP="00FF0FA1">
      <w:pPr>
        <w:pStyle w:val="Akapitzlist"/>
        <w:numPr>
          <w:ilvl w:val="0"/>
          <w:numId w:val="4"/>
        </w:numPr>
        <w:spacing w:after="240" w:line="240" w:lineRule="auto"/>
        <w:ind w:left="284" w:hanging="284"/>
        <w:rPr>
          <w:rFonts w:cs="Times New Roman"/>
          <w:sz w:val="24"/>
          <w:szCs w:val="24"/>
        </w:rPr>
      </w:pPr>
      <w:r>
        <w:rPr>
          <w:rFonts w:cs="Times New Roman"/>
          <w:sz w:val="24"/>
          <w:szCs w:val="24"/>
        </w:rPr>
        <w:t>Targets, indicators and milestones</w:t>
      </w:r>
    </w:p>
    <w:p w14:paraId="2EB5B715" w14:textId="53B69724" w:rsidR="002D31ED" w:rsidRDefault="002D31ED" w:rsidP="00FF0FA1">
      <w:pPr>
        <w:pStyle w:val="Akapitzlist"/>
        <w:numPr>
          <w:ilvl w:val="0"/>
          <w:numId w:val="4"/>
        </w:numPr>
        <w:spacing w:after="240" w:line="240" w:lineRule="auto"/>
        <w:ind w:left="284" w:hanging="284"/>
        <w:rPr>
          <w:rFonts w:cs="Times New Roman"/>
          <w:sz w:val="24"/>
          <w:szCs w:val="24"/>
        </w:rPr>
      </w:pPr>
      <w:r>
        <w:rPr>
          <w:rFonts w:cs="Times New Roman"/>
          <w:sz w:val="24"/>
          <w:szCs w:val="24"/>
        </w:rPr>
        <w:t xml:space="preserve">Governance and mechanisms to support </w:t>
      </w:r>
      <w:proofErr w:type="spellStart"/>
      <w:r>
        <w:rPr>
          <w:rFonts w:cs="Times New Roman"/>
          <w:sz w:val="24"/>
          <w:szCs w:val="24"/>
        </w:rPr>
        <w:t>implementaton</w:t>
      </w:r>
      <w:proofErr w:type="spellEnd"/>
    </w:p>
    <w:p w14:paraId="1ED118CC" w14:textId="7AD1332F" w:rsidR="002D31ED" w:rsidRDefault="002D31ED" w:rsidP="00FF0FA1">
      <w:pPr>
        <w:pStyle w:val="Akapitzlist"/>
        <w:numPr>
          <w:ilvl w:val="0"/>
          <w:numId w:val="4"/>
        </w:numPr>
        <w:spacing w:after="240" w:line="240" w:lineRule="auto"/>
        <w:ind w:left="284" w:hanging="284"/>
        <w:rPr>
          <w:rFonts w:cs="Times New Roman"/>
          <w:sz w:val="24"/>
          <w:szCs w:val="24"/>
        </w:rPr>
      </w:pPr>
      <w:r>
        <w:rPr>
          <w:rFonts w:cs="Times New Roman"/>
          <w:sz w:val="24"/>
          <w:szCs w:val="24"/>
        </w:rPr>
        <w:t>Issues of concern; and</w:t>
      </w:r>
    </w:p>
    <w:p w14:paraId="46A5931A" w14:textId="11E98FEA" w:rsidR="002D31ED" w:rsidRPr="002D31ED" w:rsidRDefault="002D31ED" w:rsidP="00FF0FA1">
      <w:pPr>
        <w:pStyle w:val="Akapitzlist"/>
        <w:numPr>
          <w:ilvl w:val="0"/>
          <w:numId w:val="4"/>
        </w:numPr>
        <w:spacing w:after="240" w:line="240" w:lineRule="auto"/>
        <w:ind w:left="284" w:hanging="284"/>
        <w:rPr>
          <w:rFonts w:cs="Times New Roman"/>
          <w:sz w:val="24"/>
          <w:szCs w:val="24"/>
        </w:rPr>
      </w:pPr>
      <w:r>
        <w:rPr>
          <w:rFonts w:cs="Times New Roman"/>
          <w:sz w:val="24"/>
          <w:szCs w:val="24"/>
        </w:rPr>
        <w:t xml:space="preserve">Financial </w:t>
      </w:r>
      <w:proofErr w:type="spellStart"/>
      <w:r>
        <w:rPr>
          <w:rFonts w:cs="Times New Roman"/>
          <w:sz w:val="24"/>
          <w:szCs w:val="24"/>
        </w:rPr>
        <w:t>considerstions</w:t>
      </w:r>
      <w:proofErr w:type="spellEnd"/>
      <w:r>
        <w:rPr>
          <w:rFonts w:cs="Times New Roman"/>
          <w:sz w:val="24"/>
          <w:szCs w:val="24"/>
        </w:rPr>
        <w:t xml:space="preserve">. </w:t>
      </w:r>
    </w:p>
    <w:p w14:paraId="39E28444" w14:textId="67361A8E" w:rsidR="001124BC" w:rsidRPr="000C5F67" w:rsidRDefault="002D31ED" w:rsidP="00D31D8C">
      <w:pPr>
        <w:spacing w:after="120" w:line="240" w:lineRule="auto"/>
        <w:rPr>
          <w:rFonts w:cs="Times New Roman"/>
          <w:sz w:val="24"/>
          <w:szCs w:val="24"/>
        </w:rPr>
      </w:pPr>
      <w:r>
        <w:rPr>
          <w:rFonts w:cs="Times New Roman"/>
          <w:sz w:val="24"/>
          <w:szCs w:val="24"/>
        </w:rPr>
        <w:lastRenderedPageBreak/>
        <w:t>M</w:t>
      </w:r>
      <w:r w:rsidR="001124BC">
        <w:rPr>
          <w:rFonts w:cs="Times New Roman"/>
          <w:sz w:val="24"/>
          <w:szCs w:val="24"/>
        </w:rPr>
        <w:t xml:space="preserve">any useful documents have been prepared and can be found on the SAICM website </w:t>
      </w:r>
      <w:r w:rsidR="001124BC" w:rsidRPr="00070D54">
        <w:rPr>
          <w:rFonts w:cs="Times New Roman"/>
          <w:color w:val="0000FF"/>
          <w:sz w:val="24"/>
          <w:szCs w:val="24"/>
          <w:u w:val="single"/>
        </w:rPr>
        <w:t>(</w:t>
      </w:r>
      <w:hyperlink r:id="rId17" w:history="1">
        <w:r w:rsidR="001124BC" w:rsidRPr="00630676">
          <w:rPr>
            <w:rStyle w:val="Hipercze"/>
            <w:rFonts w:cs="Times New Roman"/>
            <w:sz w:val="24"/>
            <w:szCs w:val="24"/>
          </w:rPr>
          <w:t>www.saicm.org</w:t>
        </w:r>
      </w:hyperlink>
      <w:r w:rsidR="001124BC" w:rsidRPr="00070D54">
        <w:rPr>
          <w:rFonts w:cs="Times New Roman"/>
          <w:color w:val="0000FF"/>
          <w:sz w:val="24"/>
          <w:szCs w:val="24"/>
          <w:u w:val="single"/>
        </w:rPr>
        <w:t>)</w:t>
      </w:r>
      <w:r w:rsidR="001124BC">
        <w:rPr>
          <w:rFonts w:cs="Times New Roman"/>
          <w:color w:val="0000FF"/>
          <w:sz w:val="24"/>
          <w:szCs w:val="24"/>
        </w:rPr>
        <w:t xml:space="preserve">. </w:t>
      </w:r>
      <w:r w:rsidR="001124BC">
        <w:rPr>
          <w:rFonts w:cs="Times New Roman"/>
          <w:sz w:val="24"/>
          <w:szCs w:val="24"/>
        </w:rPr>
        <w:t>In particular, t</w:t>
      </w:r>
      <w:r w:rsidR="001124BC" w:rsidRPr="005F404D">
        <w:rPr>
          <w:rFonts w:cs="Times New Roman"/>
          <w:sz w:val="24"/>
          <w:szCs w:val="24"/>
        </w:rPr>
        <w:t xml:space="preserve">he results of discussions </w:t>
      </w:r>
      <w:r w:rsidR="001124BC">
        <w:rPr>
          <w:rFonts w:cs="Times New Roman"/>
          <w:sz w:val="24"/>
          <w:szCs w:val="24"/>
        </w:rPr>
        <w:t xml:space="preserve">to date </w:t>
      </w:r>
      <w:r w:rsidR="001124BC" w:rsidRPr="005F404D">
        <w:rPr>
          <w:rFonts w:cs="Times New Roman"/>
          <w:sz w:val="24"/>
          <w:szCs w:val="24"/>
        </w:rPr>
        <w:t xml:space="preserve">are presented in </w:t>
      </w:r>
      <w:r w:rsidR="001124BC" w:rsidRPr="005D62D5">
        <w:rPr>
          <w:rFonts w:cs="Times New Roman"/>
          <w:b/>
          <w:sz w:val="24"/>
          <w:szCs w:val="24"/>
        </w:rPr>
        <w:t>SAICM/IP4/2</w:t>
      </w:r>
      <w:r w:rsidR="001124BC" w:rsidRPr="00070D54">
        <w:rPr>
          <w:rFonts w:cs="Times New Roman"/>
          <w:b/>
          <w:sz w:val="24"/>
          <w:szCs w:val="24"/>
        </w:rPr>
        <w:t xml:space="preserve">: </w:t>
      </w:r>
      <w:r w:rsidR="001124BC" w:rsidRPr="00070D54">
        <w:rPr>
          <w:rFonts w:cs="Times New Roman"/>
          <w:b/>
          <w:i/>
          <w:sz w:val="24"/>
          <w:szCs w:val="24"/>
        </w:rPr>
        <w:t>Compilation of recommendations regarding the Strategic Approach and the sound management of chemicals and waste beyond 2020</w:t>
      </w:r>
      <w:r w:rsidR="001124BC">
        <w:rPr>
          <w:rFonts w:cs="Times New Roman"/>
          <w:sz w:val="24"/>
          <w:szCs w:val="24"/>
        </w:rPr>
        <w:t xml:space="preserve"> (the compilation document). In summary, issues </w:t>
      </w:r>
      <w:r w:rsidR="001124BC" w:rsidRPr="000C5F67">
        <w:rPr>
          <w:rFonts w:cs="Times New Roman"/>
          <w:sz w:val="24"/>
          <w:szCs w:val="24"/>
        </w:rPr>
        <w:t>that have been discussed but need to be finalized with recommend</w:t>
      </w:r>
      <w:r w:rsidR="001124BC">
        <w:rPr>
          <w:rFonts w:cs="Times New Roman"/>
          <w:sz w:val="24"/>
          <w:szCs w:val="24"/>
        </w:rPr>
        <w:t>ed</w:t>
      </w:r>
      <w:r w:rsidR="001124BC" w:rsidRPr="000C5F67">
        <w:rPr>
          <w:rFonts w:cs="Times New Roman"/>
          <w:sz w:val="24"/>
          <w:szCs w:val="24"/>
        </w:rPr>
        <w:t xml:space="preserve"> text include: </w:t>
      </w:r>
    </w:p>
    <w:p w14:paraId="41F90789"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Vision</w:t>
      </w:r>
    </w:p>
    <w:p w14:paraId="09A2DCA7"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Scope</w:t>
      </w:r>
    </w:p>
    <w:p w14:paraId="47F7A9E4"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Principles and Approaches</w:t>
      </w:r>
    </w:p>
    <w:p w14:paraId="033D64A7"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Strategic objectives</w:t>
      </w:r>
    </w:p>
    <w:p w14:paraId="654AFF75"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Targets and indicators and milestones</w:t>
      </w:r>
    </w:p>
    <w:p w14:paraId="09370C78"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Institutional arrangements and mechanisms to support implementation</w:t>
      </w:r>
    </w:p>
    <w:p w14:paraId="1FE5FD5C"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Financial considerations</w:t>
      </w:r>
    </w:p>
    <w:p w14:paraId="55357AE0" w14:textId="77777777" w:rsidR="001124BC" w:rsidRPr="000C5F67" w:rsidRDefault="001124BC" w:rsidP="00FF0FA1">
      <w:pPr>
        <w:pStyle w:val="Akapitzlist"/>
        <w:numPr>
          <w:ilvl w:val="0"/>
          <w:numId w:val="4"/>
        </w:numPr>
        <w:spacing w:after="240" w:line="240" w:lineRule="auto"/>
        <w:ind w:left="284" w:hanging="284"/>
        <w:rPr>
          <w:rFonts w:cs="Times New Roman"/>
          <w:sz w:val="24"/>
          <w:szCs w:val="24"/>
        </w:rPr>
      </w:pPr>
      <w:r w:rsidRPr="000C5F67">
        <w:rPr>
          <w:rFonts w:cs="Times New Roman"/>
          <w:sz w:val="24"/>
          <w:szCs w:val="24"/>
        </w:rPr>
        <w:t>Potential name for a new instrument</w:t>
      </w:r>
    </w:p>
    <w:p w14:paraId="7FB7D603" w14:textId="3EC53012" w:rsidR="001124BC" w:rsidRPr="000C5F67" w:rsidRDefault="001124BC" w:rsidP="001124BC">
      <w:pPr>
        <w:spacing w:after="120" w:line="240" w:lineRule="auto"/>
        <w:rPr>
          <w:rFonts w:cs="Times New Roman"/>
          <w:sz w:val="24"/>
          <w:szCs w:val="24"/>
        </w:rPr>
      </w:pPr>
      <w:r w:rsidRPr="000C5F67">
        <w:rPr>
          <w:rFonts w:cs="Times New Roman"/>
          <w:sz w:val="24"/>
          <w:szCs w:val="24"/>
        </w:rPr>
        <w:t>In addition</w:t>
      </w:r>
      <w:r>
        <w:rPr>
          <w:rFonts w:cs="Times New Roman"/>
          <w:sz w:val="24"/>
          <w:szCs w:val="24"/>
        </w:rPr>
        <w:t>,</w:t>
      </w:r>
      <w:r w:rsidRPr="000C5F67">
        <w:rPr>
          <w:rFonts w:cs="Times New Roman"/>
          <w:sz w:val="24"/>
          <w:szCs w:val="24"/>
        </w:rPr>
        <w:t xml:space="preserve"> </w:t>
      </w:r>
      <w:r>
        <w:rPr>
          <w:rFonts w:cs="Times New Roman"/>
          <w:sz w:val="24"/>
          <w:szCs w:val="24"/>
        </w:rPr>
        <w:t>the following issues have</w:t>
      </w:r>
      <w:r w:rsidRPr="000C5F67">
        <w:rPr>
          <w:rFonts w:cs="Times New Roman"/>
          <w:sz w:val="24"/>
          <w:szCs w:val="24"/>
        </w:rPr>
        <w:t xml:space="preserve"> not yet be</w:t>
      </w:r>
      <w:r>
        <w:rPr>
          <w:rFonts w:cs="Times New Roman"/>
          <w:sz w:val="24"/>
          <w:szCs w:val="24"/>
        </w:rPr>
        <w:t xml:space="preserve">en discussed: </w:t>
      </w:r>
    </w:p>
    <w:p w14:paraId="4A9A2DD8" w14:textId="77777777" w:rsidR="001124BC" w:rsidRDefault="001124BC" w:rsidP="00FF0FA1">
      <w:pPr>
        <w:pStyle w:val="Akapitzlist"/>
        <w:numPr>
          <w:ilvl w:val="0"/>
          <w:numId w:val="3"/>
        </w:numPr>
        <w:spacing w:after="240" w:line="240" w:lineRule="auto"/>
        <w:ind w:left="284" w:hanging="284"/>
        <w:rPr>
          <w:rFonts w:cs="Times New Roman"/>
          <w:sz w:val="24"/>
          <w:szCs w:val="24"/>
        </w:rPr>
      </w:pPr>
      <w:r>
        <w:rPr>
          <w:rFonts w:cs="Times New Roman"/>
          <w:sz w:val="24"/>
          <w:szCs w:val="24"/>
        </w:rPr>
        <w:t>Taking stock of progress/</w:t>
      </w:r>
      <w:r w:rsidRPr="000C5F67">
        <w:rPr>
          <w:rFonts w:cs="Times New Roman"/>
          <w:sz w:val="24"/>
          <w:szCs w:val="24"/>
        </w:rPr>
        <w:t xml:space="preserve">reporting; </w:t>
      </w:r>
    </w:p>
    <w:p w14:paraId="17DDA1F2" w14:textId="77777777" w:rsidR="001124BC" w:rsidRPr="000C5F67" w:rsidRDefault="001124BC" w:rsidP="00FF0FA1">
      <w:pPr>
        <w:pStyle w:val="Akapitzlist"/>
        <w:numPr>
          <w:ilvl w:val="0"/>
          <w:numId w:val="3"/>
        </w:numPr>
        <w:spacing w:after="240" w:line="240" w:lineRule="auto"/>
        <w:ind w:left="284" w:hanging="284"/>
        <w:rPr>
          <w:rFonts w:cs="Times New Roman"/>
          <w:sz w:val="24"/>
          <w:szCs w:val="24"/>
        </w:rPr>
      </w:pPr>
      <w:r>
        <w:rPr>
          <w:rFonts w:cs="Times New Roman"/>
          <w:sz w:val="24"/>
          <w:szCs w:val="24"/>
        </w:rPr>
        <w:t xml:space="preserve">How </w:t>
      </w:r>
      <w:r w:rsidRPr="000C5F67">
        <w:rPr>
          <w:rFonts w:cs="Times New Roman"/>
          <w:sz w:val="24"/>
          <w:szCs w:val="24"/>
        </w:rPr>
        <w:t>to update the ‘instrument’ over time;</w:t>
      </w:r>
    </w:p>
    <w:p w14:paraId="3D13CAA1" w14:textId="77777777" w:rsidR="001124BC" w:rsidRPr="000C5F67" w:rsidRDefault="001124BC" w:rsidP="00FF0FA1">
      <w:pPr>
        <w:pStyle w:val="Akapitzlist"/>
        <w:numPr>
          <w:ilvl w:val="0"/>
          <w:numId w:val="3"/>
        </w:numPr>
        <w:spacing w:after="240" w:line="240" w:lineRule="auto"/>
        <w:ind w:left="284" w:hanging="284"/>
        <w:rPr>
          <w:rFonts w:cs="Times New Roman"/>
          <w:sz w:val="24"/>
          <w:szCs w:val="24"/>
        </w:rPr>
      </w:pPr>
      <w:r w:rsidRPr="000C5F67">
        <w:rPr>
          <w:rFonts w:cs="Times New Roman"/>
          <w:sz w:val="24"/>
          <w:szCs w:val="24"/>
        </w:rPr>
        <w:t>Mechanisms for capacity building</w:t>
      </w:r>
    </w:p>
    <w:p w14:paraId="3B515728" w14:textId="77777777" w:rsidR="001124BC" w:rsidRPr="000C5F67" w:rsidRDefault="001124BC" w:rsidP="00FF0FA1">
      <w:pPr>
        <w:pStyle w:val="Akapitzlist"/>
        <w:numPr>
          <w:ilvl w:val="0"/>
          <w:numId w:val="3"/>
        </w:numPr>
        <w:spacing w:after="240" w:line="240" w:lineRule="auto"/>
        <w:ind w:left="284" w:hanging="284"/>
        <w:rPr>
          <w:rFonts w:cs="Times New Roman"/>
          <w:sz w:val="24"/>
          <w:szCs w:val="24"/>
        </w:rPr>
      </w:pPr>
      <w:r w:rsidRPr="000C5F67">
        <w:rPr>
          <w:rFonts w:cs="Times New Roman"/>
          <w:sz w:val="24"/>
          <w:szCs w:val="24"/>
        </w:rPr>
        <w:t>Mechanisms to address any gaps within the Science Policy interface</w:t>
      </w:r>
    </w:p>
    <w:p w14:paraId="6A69179B" w14:textId="66E5BA76" w:rsidR="009F38D5" w:rsidRPr="00FF0FA1" w:rsidRDefault="00FF0FA1" w:rsidP="004A1F4C">
      <w:pPr>
        <w:spacing w:after="120" w:line="240" w:lineRule="auto"/>
        <w:rPr>
          <w:rFonts w:cs="Times New Roman"/>
          <w:sz w:val="24"/>
          <w:szCs w:val="24"/>
        </w:rPr>
      </w:pPr>
      <w:r>
        <w:rPr>
          <w:rFonts w:cs="Times New Roman"/>
          <w:sz w:val="24"/>
          <w:szCs w:val="24"/>
        </w:rPr>
        <w:t>During the next phase of the intersessional work, h</w:t>
      </w:r>
      <w:r w:rsidR="004A1F4C" w:rsidRPr="00FF0FA1">
        <w:rPr>
          <w:rFonts w:cs="Times New Roman"/>
          <w:sz w:val="24"/>
          <w:szCs w:val="24"/>
        </w:rPr>
        <w:t>ealth sector representatives may wish to</w:t>
      </w:r>
      <w:r w:rsidR="009F38D5" w:rsidRPr="00FF0FA1">
        <w:rPr>
          <w:rFonts w:cs="Times New Roman"/>
          <w:sz w:val="24"/>
          <w:szCs w:val="24"/>
        </w:rPr>
        <w:t xml:space="preserve"> focus their attention on:</w:t>
      </w:r>
    </w:p>
    <w:p w14:paraId="1EC11391" w14:textId="06D458A6" w:rsidR="004A1F4C" w:rsidRPr="00470290" w:rsidRDefault="009F38D5" w:rsidP="00FF0FA1">
      <w:pPr>
        <w:pStyle w:val="Akapitzlist"/>
        <w:numPr>
          <w:ilvl w:val="0"/>
          <w:numId w:val="10"/>
        </w:numPr>
        <w:spacing w:after="240" w:line="240" w:lineRule="auto"/>
        <w:rPr>
          <w:rFonts w:cs="Times New Roman"/>
          <w:sz w:val="24"/>
          <w:szCs w:val="24"/>
        </w:rPr>
      </w:pPr>
      <w:r w:rsidRPr="00470290">
        <w:rPr>
          <w:rFonts w:cs="Times New Roman"/>
          <w:sz w:val="24"/>
          <w:szCs w:val="24"/>
        </w:rPr>
        <w:t>Improving</w:t>
      </w:r>
      <w:r w:rsidR="004A1F4C" w:rsidRPr="00470290">
        <w:rPr>
          <w:rFonts w:cs="Times New Roman"/>
          <w:sz w:val="24"/>
          <w:szCs w:val="24"/>
        </w:rPr>
        <w:t xml:space="preserve"> multi-sector engagement</w:t>
      </w:r>
      <w:r w:rsidR="00470290">
        <w:rPr>
          <w:rFonts w:cs="Times New Roman"/>
          <w:sz w:val="24"/>
          <w:szCs w:val="24"/>
        </w:rPr>
        <w:t>;</w:t>
      </w:r>
      <w:r w:rsidR="004A1F4C" w:rsidRPr="00470290">
        <w:rPr>
          <w:rFonts w:cs="Times New Roman"/>
          <w:sz w:val="24"/>
          <w:szCs w:val="24"/>
        </w:rPr>
        <w:t xml:space="preserve">  </w:t>
      </w:r>
    </w:p>
    <w:p w14:paraId="6FA5D53A" w14:textId="7BEA0759" w:rsidR="007B3C5F" w:rsidRDefault="00D31D8C" w:rsidP="00FF0FA1">
      <w:pPr>
        <w:pStyle w:val="Akapitzlist"/>
        <w:numPr>
          <w:ilvl w:val="0"/>
          <w:numId w:val="10"/>
        </w:numPr>
        <w:spacing w:after="60" w:line="240" w:lineRule="auto"/>
        <w:rPr>
          <w:rFonts w:cs="Times New Roman"/>
          <w:sz w:val="24"/>
          <w:szCs w:val="24"/>
        </w:rPr>
      </w:pPr>
      <w:r>
        <w:rPr>
          <w:rFonts w:cs="Times New Roman"/>
          <w:sz w:val="24"/>
          <w:szCs w:val="24"/>
        </w:rPr>
        <w:t xml:space="preserve">Inclusion of targets, indicators and milestones </w:t>
      </w:r>
      <w:r w:rsidR="007B3C5F">
        <w:rPr>
          <w:rFonts w:cs="Times New Roman"/>
          <w:sz w:val="24"/>
          <w:szCs w:val="24"/>
        </w:rPr>
        <w:t>relevant to the health sector;</w:t>
      </w:r>
    </w:p>
    <w:p w14:paraId="2219188A" w14:textId="70A154AC" w:rsidR="002F6FC5" w:rsidRDefault="00D31D8C" w:rsidP="00FF0FA1">
      <w:pPr>
        <w:pStyle w:val="Akapitzlist"/>
        <w:numPr>
          <w:ilvl w:val="0"/>
          <w:numId w:val="10"/>
        </w:numPr>
        <w:spacing w:after="60" w:line="240" w:lineRule="auto"/>
        <w:rPr>
          <w:rFonts w:cs="Times New Roman"/>
          <w:sz w:val="24"/>
          <w:szCs w:val="24"/>
        </w:rPr>
      </w:pPr>
      <w:r w:rsidRPr="007B3C5F">
        <w:rPr>
          <w:rFonts w:cs="Times New Roman"/>
          <w:sz w:val="24"/>
          <w:szCs w:val="24"/>
        </w:rPr>
        <w:t xml:space="preserve">Criteria for selecting </w:t>
      </w:r>
      <w:r w:rsidR="007B3C5F" w:rsidRPr="007B3C5F">
        <w:rPr>
          <w:rFonts w:cs="Times New Roman"/>
          <w:sz w:val="24"/>
          <w:szCs w:val="24"/>
        </w:rPr>
        <w:t>issues of international concern or interest</w:t>
      </w:r>
      <w:r w:rsidR="007B3C5F">
        <w:rPr>
          <w:rFonts w:cs="Times New Roman"/>
          <w:sz w:val="24"/>
          <w:szCs w:val="24"/>
        </w:rPr>
        <w:t>;</w:t>
      </w:r>
    </w:p>
    <w:p w14:paraId="3A9B3DDF" w14:textId="625DF2B4" w:rsidR="007B3C5F" w:rsidRDefault="007B3C5F" w:rsidP="00FF0FA1">
      <w:pPr>
        <w:pStyle w:val="Akapitzlist"/>
        <w:numPr>
          <w:ilvl w:val="0"/>
          <w:numId w:val="10"/>
        </w:numPr>
        <w:spacing w:after="60" w:line="240" w:lineRule="auto"/>
        <w:rPr>
          <w:rFonts w:cs="Times New Roman"/>
          <w:sz w:val="24"/>
          <w:szCs w:val="24"/>
        </w:rPr>
      </w:pPr>
      <w:r>
        <w:rPr>
          <w:rFonts w:cs="Times New Roman"/>
          <w:sz w:val="24"/>
          <w:szCs w:val="24"/>
        </w:rPr>
        <w:t>Gaps that need to be filled in the science-policy interface that are relevant for health and ensuring the health sector is included in future approaches to bridge these gaps;</w:t>
      </w:r>
    </w:p>
    <w:p w14:paraId="751FDC93" w14:textId="78E84FD7" w:rsidR="007B3C5F" w:rsidRPr="007B3C5F" w:rsidRDefault="007B3C5F" w:rsidP="00FF0FA1">
      <w:pPr>
        <w:pStyle w:val="Akapitzlist"/>
        <w:numPr>
          <w:ilvl w:val="0"/>
          <w:numId w:val="10"/>
        </w:numPr>
        <w:spacing w:after="60" w:line="240" w:lineRule="auto"/>
        <w:rPr>
          <w:rFonts w:cs="Times New Roman"/>
          <w:sz w:val="24"/>
          <w:szCs w:val="24"/>
        </w:rPr>
      </w:pPr>
      <w:r>
        <w:rPr>
          <w:rFonts w:cs="Times New Roman"/>
          <w:sz w:val="24"/>
          <w:szCs w:val="24"/>
        </w:rPr>
        <w:t xml:space="preserve">Improved access to resources for the health sector for implementation beyond 2020. </w:t>
      </w:r>
    </w:p>
    <w:p w14:paraId="25B6FCE1" w14:textId="77777777" w:rsidR="00FF0FA1" w:rsidRDefault="00FF0FA1" w:rsidP="005F404D">
      <w:pPr>
        <w:spacing w:after="120" w:line="240" w:lineRule="auto"/>
        <w:rPr>
          <w:rFonts w:cs="Times New Roman"/>
          <w:b/>
          <w:sz w:val="24"/>
          <w:szCs w:val="24"/>
        </w:rPr>
      </w:pPr>
    </w:p>
    <w:p w14:paraId="1957B5F6" w14:textId="77777777" w:rsidR="00FF0FA1" w:rsidRDefault="00FF0FA1" w:rsidP="005F404D">
      <w:pPr>
        <w:spacing w:after="120" w:line="240" w:lineRule="auto"/>
        <w:rPr>
          <w:rFonts w:cs="Times New Roman"/>
          <w:b/>
          <w:sz w:val="24"/>
          <w:szCs w:val="24"/>
        </w:rPr>
      </w:pPr>
      <w:bookmarkStart w:id="0" w:name="_GoBack"/>
      <w:bookmarkEnd w:id="0"/>
    </w:p>
    <w:p w14:paraId="0DACE7DD" w14:textId="77777777" w:rsidR="00FF0FA1" w:rsidRDefault="00FF0FA1" w:rsidP="005F404D">
      <w:pPr>
        <w:spacing w:after="120" w:line="240" w:lineRule="auto"/>
        <w:rPr>
          <w:rFonts w:cs="Times New Roman"/>
          <w:b/>
          <w:sz w:val="24"/>
          <w:szCs w:val="24"/>
        </w:rPr>
      </w:pPr>
    </w:p>
    <w:p w14:paraId="6EC5DFD5" w14:textId="54EC70B6" w:rsidR="00805485" w:rsidRPr="000C5F67" w:rsidRDefault="00805485" w:rsidP="005F404D">
      <w:pPr>
        <w:spacing w:after="120" w:line="240" w:lineRule="auto"/>
        <w:rPr>
          <w:rFonts w:cs="Times New Roman"/>
          <w:b/>
          <w:sz w:val="24"/>
          <w:szCs w:val="24"/>
        </w:rPr>
      </w:pPr>
      <w:r w:rsidRPr="000C5F67">
        <w:rPr>
          <w:rFonts w:cs="Times New Roman"/>
          <w:b/>
          <w:sz w:val="24"/>
          <w:szCs w:val="24"/>
        </w:rPr>
        <w:t xml:space="preserve">Other relevant WHO activities </w:t>
      </w:r>
    </w:p>
    <w:p w14:paraId="3828EAC3" w14:textId="77777777" w:rsidR="00805485" w:rsidRPr="000C5F67" w:rsidRDefault="00805485" w:rsidP="00FF0FA1">
      <w:pPr>
        <w:pStyle w:val="Akapitzlist"/>
        <w:numPr>
          <w:ilvl w:val="0"/>
          <w:numId w:val="2"/>
        </w:numPr>
        <w:spacing w:after="120" w:line="240" w:lineRule="auto"/>
        <w:ind w:left="426" w:hanging="357"/>
        <w:contextualSpacing w:val="0"/>
        <w:rPr>
          <w:rFonts w:cs="Times New Roman"/>
          <w:sz w:val="24"/>
          <w:szCs w:val="24"/>
          <w:lang w:val="en-GB"/>
        </w:rPr>
      </w:pPr>
      <w:r w:rsidRPr="000C5F67">
        <w:rPr>
          <w:rFonts w:cs="Times New Roman"/>
          <w:sz w:val="24"/>
          <w:szCs w:val="24"/>
        </w:rPr>
        <w:t>WHO released an addendum to the WHO publication “</w:t>
      </w:r>
      <w:hyperlink r:id="rId18" w:history="1">
        <w:r w:rsidRPr="000C5F67">
          <w:rPr>
            <w:rStyle w:val="Hipercze"/>
            <w:rFonts w:cs="Times New Roman"/>
            <w:sz w:val="24"/>
            <w:szCs w:val="24"/>
          </w:rPr>
          <w:t>The Public Health Impact of Chemicals: Knowns and Unknowns</w:t>
        </w:r>
      </w:hyperlink>
      <w:r w:rsidRPr="000C5F67">
        <w:rPr>
          <w:rFonts w:cs="Times New Roman"/>
          <w:sz w:val="24"/>
          <w:szCs w:val="24"/>
        </w:rPr>
        <w:t xml:space="preserve">” to provide </w:t>
      </w:r>
      <w:hyperlink r:id="rId19" w:history="1">
        <w:r w:rsidRPr="000C5F67">
          <w:rPr>
            <w:rStyle w:val="Hipercze"/>
            <w:rFonts w:cs="Times New Roman"/>
            <w:sz w:val="24"/>
            <w:szCs w:val="24"/>
          </w:rPr>
          <w:t>an update of the main data tables and figures for the year 2016</w:t>
        </w:r>
      </w:hyperlink>
      <w:r w:rsidRPr="000C5F67">
        <w:rPr>
          <w:rFonts w:cs="Times New Roman"/>
          <w:sz w:val="24"/>
          <w:szCs w:val="24"/>
        </w:rPr>
        <w:t xml:space="preserve">. </w:t>
      </w:r>
      <w:r w:rsidRPr="000C5F67">
        <w:rPr>
          <w:rFonts w:cs="Times New Roman"/>
          <w:sz w:val="24"/>
          <w:szCs w:val="24"/>
          <w:lang w:val="en-GB"/>
        </w:rPr>
        <w:t xml:space="preserve"> </w:t>
      </w:r>
    </w:p>
    <w:p w14:paraId="14C30266" w14:textId="77777777" w:rsidR="00805485" w:rsidRPr="000C5F67" w:rsidRDefault="00805485" w:rsidP="00FF0FA1">
      <w:pPr>
        <w:pStyle w:val="Akapitzlist"/>
        <w:numPr>
          <w:ilvl w:val="0"/>
          <w:numId w:val="2"/>
        </w:numPr>
        <w:spacing w:before="120" w:after="120" w:line="240" w:lineRule="auto"/>
        <w:ind w:left="426" w:hanging="357"/>
        <w:contextualSpacing w:val="0"/>
        <w:rPr>
          <w:rFonts w:cs="Times New Roman"/>
          <w:sz w:val="24"/>
          <w:szCs w:val="24"/>
        </w:rPr>
      </w:pPr>
      <w:r w:rsidRPr="000C5F67">
        <w:rPr>
          <w:rFonts w:cs="Times New Roman"/>
          <w:sz w:val="24"/>
          <w:szCs w:val="24"/>
        </w:rPr>
        <w:t>A “</w:t>
      </w:r>
      <w:hyperlink r:id="rId20" w:history="1">
        <w:r w:rsidRPr="000C5F67">
          <w:rPr>
            <w:rStyle w:val="Hipercze"/>
            <w:rFonts w:cs="Times New Roman"/>
            <w:sz w:val="24"/>
            <w:szCs w:val="24"/>
          </w:rPr>
          <w:t>WHO global strategy on health, environment and climate change</w:t>
        </w:r>
      </w:hyperlink>
      <w:r w:rsidRPr="000C5F67">
        <w:rPr>
          <w:rFonts w:cs="Times New Roman"/>
          <w:sz w:val="24"/>
          <w:szCs w:val="24"/>
        </w:rPr>
        <w:t xml:space="preserve">” was noted by the Seventy-second World Health Assembly. The report provides information on a vision and way forward on the health response to environmental and climate change. The report notes that a wider </w:t>
      </w:r>
      <w:proofErr w:type="spellStart"/>
      <w:r w:rsidRPr="000C5F67">
        <w:rPr>
          <w:rFonts w:cs="Times New Roman"/>
          <w:sz w:val="24"/>
          <w:szCs w:val="24"/>
        </w:rPr>
        <w:t>intersectoral</w:t>
      </w:r>
      <w:proofErr w:type="spellEnd"/>
      <w:r w:rsidRPr="000C5F67">
        <w:rPr>
          <w:rFonts w:cs="Times New Roman"/>
          <w:sz w:val="24"/>
          <w:szCs w:val="24"/>
        </w:rPr>
        <w:t xml:space="preserve"> approach is needed to tackle the environmental determinants of health both at the global and local levels, with an increased focus on primary prevention rather than curative medicine. </w:t>
      </w:r>
    </w:p>
    <w:p w14:paraId="183FC871" w14:textId="77777777" w:rsidR="00805485" w:rsidRPr="000C5F67" w:rsidRDefault="00805485" w:rsidP="00FF0FA1">
      <w:pPr>
        <w:pStyle w:val="Akapitzlist"/>
        <w:numPr>
          <w:ilvl w:val="0"/>
          <w:numId w:val="2"/>
        </w:numPr>
        <w:spacing w:before="120" w:after="120" w:line="240" w:lineRule="auto"/>
        <w:ind w:left="426" w:hanging="357"/>
        <w:contextualSpacing w:val="0"/>
        <w:rPr>
          <w:rFonts w:cs="Times New Roman"/>
          <w:sz w:val="24"/>
          <w:szCs w:val="24"/>
        </w:rPr>
      </w:pPr>
      <w:r w:rsidRPr="000C5F67">
        <w:rPr>
          <w:rFonts w:cs="Times New Roman"/>
          <w:sz w:val="24"/>
          <w:szCs w:val="24"/>
        </w:rPr>
        <w:lastRenderedPageBreak/>
        <w:t>An update on progress in implementing the road map will be made to the 74</w:t>
      </w:r>
      <w:r w:rsidRPr="000C5F67">
        <w:rPr>
          <w:rFonts w:cs="Times New Roman"/>
          <w:sz w:val="24"/>
          <w:szCs w:val="24"/>
          <w:vertAlign w:val="superscript"/>
        </w:rPr>
        <w:t>th</w:t>
      </w:r>
      <w:r w:rsidRPr="000C5F67">
        <w:rPr>
          <w:rFonts w:cs="Times New Roman"/>
          <w:sz w:val="24"/>
          <w:szCs w:val="24"/>
        </w:rPr>
        <w:t xml:space="preserve"> World Health Assembly, as well as a report on actions undertaken by the WHO Secretariat to update the road map in the light of the outcome of the Intersessional Process.</w:t>
      </w:r>
    </w:p>
    <w:p w14:paraId="61F9522B" w14:textId="77777777" w:rsidR="00805485" w:rsidRPr="000C5F67" w:rsidRDefault="00805485" w:rsidP="00FF0FA1">
      <w:pPr>
        <w:pStyle w:val="Akapitzlist"/>
        <w:numPr>
          <w:ilvl w:val="0"/>
          <w:numId w:val="2"/>
        </w:numPr>
        <w:spacing w:before="240" w:after="0" w:line="240" w:lineRule="auto"/>
        <w:ind w:left="426" w:hanging="357"/>
        <w:rPr>
          <w:rFonts w:cs="Times New Roman"/>
          <w:color w:val="1F497D"/>
          <w:sz w:val="24"/>
          <w:szCs w:val="24"/>
        </w:rPr>
      </w:pPr>
      <w:r w:rsidRPr="000C5F67">
        <w:rPr>
          <w:rFonts w:cs="Times New Roman"/>
          <w:sz w:val="24"/>
          <w:szCs w:val="24"/>
        </w:rPr>
        <w:t>In 2018 WHO released a report on “</w:t>
      </w:r>
      <w:hyperlink r:id="rId21" w:history="1">
        <w:r w:rsidRPr="000C5F67">
          <w:rPr>
            <w:rStyle w:val="Hipercze"/>
            <w:rFonts w:cs="Times New Roman"/>
            <w:sz w:val="24"/>
            <w:szCs w:val="24"/>
          </w:rPr>
          <w:t>Circular economy and health: opportunities and risks</w:t>
        </w:r>
      </w:hyperlink>
      <w:r w:rsidRPr="000C5F67">
        <w:rPr>
          <w:rFonts w:cs="Times New Roman"/>
          <w:color w:val="1F497D"/>
          <w:sz w:val="24"/>
          <w:szCs w:val="24"/>
        </w:rPr>
        <w:t xml:space="preserve">” </w:t>
      </w:r>
      <w:r w:rsidRPr="000C5F67">
        <w:rPr>
          <w:rFonts w:cs="Times New Roman"/>
          <w:sz w:val="24"/>
          <w:szCs w:val="24"/>
        </w:rPr>
        <w:t xml:space="preserve">noting that there can be unintended adverse health effects in the transition to a circular economy. One of the key messages of the report is that health benefits and risks need to be better integrated into circular economy discussions and plans. </w:t>
      </w:r>
    </w:p>
    <w:p w14:paraId="34D22186" w14:textId="77777777" w:rsidR="00805485" w:rsidRPr="000C5F67" w:rsidRDefault="00805485" w:rsidP="005F404D">
      <w:pPr>
        <w:spacing w:before="240" w:after="60" w:line="240" w:lineRule="auto"/>
        <w:rPr>
          <w:rFonts w:cs="Times New Roman"/>
          <w:b/>
          <w:sz w:val="24"/>
          <w:szCs w:val="24"/>
        </w:rPr>
      </w:pPr>
      <w:r w:rsidRPr="000C5F67">
        <w:rPr>
          <w:rFonts w:cs="Times New Roman"/>
          <w:b/>
          <w:sz w:val="24"/>
          <w:szCs w:val="24"/>
        </w:rPr>
        <w:t xml:space="preserve">Other relevant documents and activities: </w:t>
      </w:r>
    </w:p>
    <w:p w14:paraId="7C5CECB7" w14:textId="77777777" w:rsidR="00805485" w:rsidRPr="000C5F67" w:rsidRDefault="00805485" w:rsidP="005F404D">
      <w:pPr>
        <w:spacing w:after="120" w:line="240" w:lineRule="auto"/>
        <w:rPr>
          <w:rFonts w:cs="Times New Roman"/>
          <w:sz w:val="24"/>
          <w:szCs w:val="24"/>
        </w:rPr>
      </w:pPr>
      <w:r w:rsidRPr="000C5F67">
        <w:rPr>
          <w:rFonts w:cs="Times New Roman"/>
          <w:sz w:val="24"/>
          <w:szCs w:val="24"/>
        </w:rPr>
        <w:t>Below is a list of other global activities and recently released documents that may be of interest to network members.</w:t>
      </w:r>
    </w:p>
    <w:p w14:paraId="13F21CEC" w14:textId="77777777" w:rsidR="00805485" w:rsidRPr="000C5F67" w:rsidRDefault="00185B08" w:rsidP="005F404D">
      <w:pPr>
        <w:spacing w:after="120" w:line="240" w:lineRule="auto"/>
        <w:rPr>
          <w:rFonts w:cs="Times New Roman"/>
          <w:sz w:val="24"/>
          <w:szCs w:val="24"/>
          <w:u w:val="single"/>
        </w:rPr>
      </w:pPr>
      <w:hyperlink r:id="rId22" w:history="1">
        <w:r w:rsidR="00805485" w:rsidRPr="000C5F67">
          <w:rPr>
            <w:rStyle w:val="Hipercze"/>
            <w:rFonts w:cs="Times New Roman"/>
            <w:sz w:val="24"/>
            <w:szCs w:val="24"/>
          </w:rPr>
          <w:t>UNEP</w:t>
        </w:r>
      </w:hyperlink>
      <w:r w:rsidR="00805485" w:rsidRPr="000C5F67">
        <w:rPr>
          <w:rFonts w:cs="Times New Roman"/>
          <w:sz w:val="24"/>
          <w:szCs w:val="24"/>
        </w:rPr>
        <w:t xml:space="preserve"> published the second edition of the </w:t>
      </w:r>
      <w:hyperlink r:id="rId23" w:history="1">
        <w:r w:rsidR="00805485" w:rsidRPr="000C5F67">
          <w:rPr>
            <w:rStyle w:val="Hipercze"/>
            <w:rFonts w:cs="Times New Roman"/>
            <w:sz w:val="24"/>
            <w:szCs w:val="24"/>
          </w:rPr>
          <w:t>Global Chemicals Outlook (GCO II</w:t>
        </w:r>
      </w:hyperlink>
      <w:r w:rsidR="00805485" w:rsidRPr="000C5F67">
        <w:rPr>
          <w:rStyle w:val="Hipercze"/>
          <w:rFonts w:cs="Times New Roman"/>
          <w:color w:val="auto"/>
          <w:sz w:val="24"/>
          <w:szCs w:val="24"/>
          <w:u w:val="none"/>
        </w:rPr>
        <w:t xml:space="preserve">) and an accompanying </w:t>
      </w:r>
      <w:r w:rsidR="00805485" w:rsidRPr="000C5F67">
        <w:rPr>
          <w:rFonts w:cs="Times New Roman"/>
          <w:sz w:val="24"/>
          <w:szCs w:val="24"/>
        </w:rPr>
        <w:t xml:space="preserve"> </w:t>
      </w:r>
      <w:hyperlink r:id="rId24" w:anchor="overlay-context=pre-session-unea-4" w:history="1">
        <w:r w:rsidR="00805485" w:rsidRPr="000C5F67">
          <w:rPr>
            <w:rStyle w:val="Hipercze"/>
            <w:rFonts w:cs="Times New Roman"/>
            <w:sz w:val="24"/>
            <w:szCs w:val="24"/>
          </w:rPr>
          <w:t>summary for Policy Makers</w:t>
        </w:r>
      </w:hyperlink>
      <w:r w:rsidR="00805485" w:rsidRPr="000C5F67">
        <w:rPr>
          <w:rStyle w:val="Hipercze"/>
          <w:rFonts w:cs="Times New Roman"/>
          <w:sz w:val="24"/>
          <w:szCs w:val="24"/>
        </w:rPr>
        <w:t xml:space="preserve"> report</w:t>
      </w:r>
      <w:r w:rsidR="00805485" w:rsidRPr="000C5F67">
        <w:rPr>
          <w:rFonts w:cs="Times New Roman"/>
          <w:sz w:val="24"/>
          <w:szCs w:val="24"/>
        </w:rPr>
        <w:t>. The Global Chemicals Outlook II has been prepared over the past three years through a process involving more than 400 scientists and experts around the world under the guidance of the Steering Committee of the Global Chemicals Outlook II with participation from all regions and a wide range of stakeholders.</w:t>
      </w:r>
    </w:p>
    <w:p w14:paraId="4A4C47B3" w14:textId="77777777" w:rsidR="00805485" w:rsidRPr="000C5F67" w:rsidRDefault="00805485" w:rsidP="005F404D">
      <w:pPr>
        <w:spacing w:after="60" w:line="240" w:lineRule="auto"/>
        <w:rPr>
          <w:rFonts w:cs="Times New Roman"/>
          <w:sz w:val="24"/>
          <w:szCs w:val="24"/>
          <w:u w:val="single"/>
        </w:rPr>
      </w:pPr>
      <w:r w:rsidRPr="000C5F67">
        <w:rPr>
          <w:rFonts w:cs="Times New Roman"/>
          <w:sz w:val="24"/>
          <w:szCs w:val="24"/>
          <w:u w:val="single"/>
        </w:rPr>
        <w:t>United Nations General Assembly (UNGA) Declaration on Non-Communicable Diseases</w:t>
      </w:r>
    </w:p>
    <w:p w14:paraId="6B67802E" w14:textId="77777777" w:rsidR="00805485" w:rsidRPr="000C5F67" w:rsidRDefault="00805485" w:rsidP="005F404D">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cs="Times New Roman"/>
          <w:sz w:val="24"/>
          <w:szCs w:val="24"/>
        </w:rPr>
      </w:pPr>
      <w:r w:rsidRPr="000C5F67">
        <w:rPr>
          <w:rFonts w:cs="Times New Roman"/>
          <w:bCs/>
          <w:iCs/>
          <w:sz w:val="24"/>
          <w:szCs w:val="24"/>
        </w:rPr>
        <w:t xml:space="preserve">Through UNGA Resolution </w:t>
      </w:r>
      <w:hyperlink r:id="rId25" w:history="1">
        <w:r w:rsidRPr="000C5F67">
          <w:rPr>
            <w:rStyle w:val="Hipercze"/>
            <w:rFonts w:cs="Times New Roman"/>
            <w:bCs/>
            <w:iCs/>
            <w:sz w:val="24"/>
            <w:szCs w:val="24"/>
          </w:rPr>
          <w:t xml:space="preserve">73/2: </w:t>
        </w:r>
        <w:r w:rsidRPr="000C5F67">
          <w:rPr>
            <w:rStyle w:val="Hipercze"/>
            <w:rFonts w:cs="Times New Roman"/>
            <w:bCs/>
            <w:i/>
            <w:iCs/>
            <w:sz w:val="24"/>
            <w:szCs w:val="24"/>
          </w:rPr>
          <w:t>Political declaration of the third high-level meeting of the General Assembly on the prevention and control of non-communicable diseases</w:t>
        </w:r>
      </w:hyperlink>
      <w:r w:rsidRPr="000C5F67">
        <w:rPr>
          <w:rFonts w:cs="Times New Roman"/>
          <w:bCs/>
          <w:i/>
          <w:iCs/>
          <w:sz w:val="24"/>
          <w:szCs w:val="24"/>
        </w:rPr>
        <w:t>,</w:t>
      </w:r>
      <w:r w:rsidRPr="000C5F67">
        <w:rPr>
          <w:rFonts w:cs="Times New Roman"/>
          <w:bCs/>
          <w:iCs/>
          <w:sz w:val="24"/>
          <w:szCs w:val="24"/>
        </w:rPr>
        <w:t xml:space="preserve"> Heads of State and Government assembled at the United Nations on September 27, 2018 committed to:  </w:t>
      </w:r>
    </w:p>
    <w:p w14:paraId="7CAD62F6" w14:textId="77777777" w:rsidR="00805485" w:rsidRPr="000C5F67" w:rsidRDefault="00805485" w:rsidP="005F404D">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40" w:line="240" w:lineRule="auto"/>
        <w:rPr>
          <w:rFonts w:cs="Times New Roman"/>
          <w:sz w:val="24"/>
          <w:szCs w:val="24"/>
        </w:rPr>
      </w:pPr>
      <w:r w:rsidRPr="000C5F67">
        <w:rPr>
          <w:rFonts w:cs="Times New Roman"/>
          <w:sz w:val="24"/>
          <w:szCs w:val="24"/>
        </w:rPr>
        <w:t xml:space="preserve">32. Promote healthy communities by </w:t>
      </w:r>
      <w:r w:rsidRPr="000C5F67">
        <w:rPr>
          <w:rFonts w:cs="Times New Roman"/>
          <w:b/>
          <w:sz w:val="24"/>
          <w:szCs w:val="24"/>
        </w:rPr>
        <w:t>addressing the impact of environmental determinants on non-communicable diseases, including air, water and soil pollution, exposure to chemicals, climate change and extreme weather events,</w:t>
      </w:r>
      <w:r w:rsidRPr="000C5F67">
        <w:rPr>
          <w:rFonts w:cs="Times New Roman"/>
          <w:sz w:val="24"/>
          <w:szCs w:val="24"/>
        </w:rPr>
        <w:t xml:space="preserve"> as well as the ways in which cities and human settlements are planned and developed, including sustainable transportation and urban safety, to promote physical activity, social integration and connectivity;</w:t>
      </w:r>
    </w:p>
    <w:p w14:paraId="22BA7A1F" w14:textId="77777777" w:rsidR="00805485" w:rsidRPr="000C5F67" w:rsidRDefault="00805485" w:rsidP="005F404D">
      <w:pPr>
        <w:spacing w:after="60" w:line="240" w:lineRule="auto"/>
        <w:rPr>
          <w:rFonts w:cs="Times New Roman"/>
          <w:sz w:val="24"/>
          <w:szCs w:val="24"/>
          <w:u w:val="single"/>
        </w:rPr>
      </w:pPr>
      <w:r w:rsidRPr="000C5F67">
        <w:rPr>
          <w:rFonts w:cs="Times New Roman"/>
          <w:sz w:val="24"/>
          <w:szCs w:val="24"/>
          <w:u w:val="single"/>
        </w:rPr>
        <w:t xml:space="preserve">What a Waste 2.0:  A Global Snapshot of Solid Waste Management to 2050 Report </w:t>
      </w:r>
    </w:p>
    <w:p w14:paraId="66EBA963" w14:textId="7C29A48C" w:rsidR="00805485" w:rsidRDefault="00805485" w:rsidP="005F404D">
      <w:pPr>
        <w:spacing w:after="120" w:line="240" w:lineRule="auto"/>
        <w:rPr>
          <w:rFonts w:cs="Times New Roman"/>
          <w:sz w:val="24"/>
          <w:szCs w:val="24"/>
        </w:rPr>
      </w:pPr>
      <w:r w:rsidRPr="000C5F67">
        <w:rPr>
          <w:rFonts w:cs="Times New Roman"/>
          <w:sz w:val="24"/>
          <w:szCs w:val="24"/>
        </w:rPr>
        <w:t>In September 2018, the World Bank released a “</w:t>
      </w:r>
      <w:hyperlink r:id="rId26" w:history="1">
        <w:r w:rsidRPr="000C5F67">
          <w:rPr>
            <w:rStyle w:val="Hipercze"/>
            <w:rFonts w:cs="Times New Roman"/>
            <w:sz w:val="24"/>
            <w:szCs w:val="24"/>
          </w:rPr>
          <w:t>What a Waste 2.0:  A Global Snapshot of Solid Waste Management to 2050</w:t>
        </w:r>
      </w:hyperlink>
      <w:r w:rsidRPr="000C5F67">
        <w:rPr>
          <w:rFonts w:cs="Times New Roman"/>
          <w:sz w:val="24"/>
          <w:szCs w:val="24"/>
        </w:rPr>
        <w:t xml:space="preserve">” report, noting that “Without urgent action, global waste will increase by 70 percent on current levels by 2050”. </w:t>
      </w:r>
    </w:p>
    <w:p w14:paraId="649A97AD" w14:textId="19B9BBC4" w:rsidR="00BD4327" w:rsidRDefault="00BD4327" w:rsidP="005F404D">
      <w:pPr>
        <w:spacing w:after="120" w:line="240" w:lineRule="auto"/>
        <w:rPr>
          <w:rFonts w:cs="Times New Roman"/>
          <w:sz w:val="24"/>
          <w:szCs w:val="24"/>
        </w:rPr>
      </w:pPr>
    </w:p>
    <w:p w14:paraId="0565019C" w14:textId="0EFB6204" w:rsidR="00BD4327" w:rsidRDefault="00BD4327" w:rsidP="005F404D">
      <w:pPr>
        <w:spacing w:after="120" w:line="240" w:lineRule="auto"/>
        <w:rPr>
          <w:rFonts w:cs="Times New Roman"/>
          <w:sz w:val="24"/>
          <w:szCs w:val="24"/>
        </w:rPr>
      </w:pPr>
    </w:p>
    <w:p w14:paraId="5CEBEA99" w14:textId="6193E3CB" w:rsidR="00BD4327" w:rsidRDefault="00BD4327" w:rsidP="005F404D">
      <w:pPr>
        <w:spacing w:after="120" w:line="240" w:lineRule="auto"/>
        <w:rPr>
          <w:rFonts w:cs="Times New Roman"/>
          <w:sz w:val="24"/>
          <w:szCs w:val="24"/>
        </w:rPr>
      </w:pPr>
    </w:p>
    <w:p w14:paraId="0196D863" w14:textId="4ED18B93" w:rsidR="00BD4327" w:rsidRPr="000C5F67" w:rsidRDefault="00BD4327" w:rsidP="00BD4327">
      <w:pPr>
        <w:spacing w:after="120" w:line="240" w:lineRule="auto"/>
        <w:jc w:val="center"/>
        <w:rPr>
          <w:rFonts w:cs="Times New Roman"/>
          <w:sz w:val="24"/>
          <w:szCs w:val="24"/>
        </w:rPr>
      </w:pPr>
      <w:r>
        <w:rPr>
          <w:rFonts w:cs="Times New Roman"/>
          <w:sz w:val="24"/>
          <w:szCs w:val="24"/>
        </w:rPr>
        <w:t>-------------------------------------</w:t>
      </w:r>
    </w:p>
    <w:p w14:paraId="742F6A51" w14:textId="77777777" w:rsidR="00070D54" w:rsidRDefault="00070D54" w:rsidP="00070D54">
      <w:pPr>
        <w:spacing w:after="60" w:line="240" w:lineRule="auto"/>
        <w:rPr>
          <w:rFonts w:cs="Times New Roman"/>
          <w:b/>
          <w:sz w:val="24"/>
          <w:szCs w:val="24"/>
        </w:rPr>
      </w:pPr>
    </w:p>
    <w:p w14:paraId="16292034" w14:textId="77777777" w:rsidR="00070D54" w:rsidRDefault="00070D54" w:rsidP="00070D54">
      <w:pPr>
        <w:spacing w:after="60" w:line="240" w:lineRule="auto"/>
        <w:rPr>
          <w:rFonts w:cs="Times New Roman"/>
          <w:b/>
          <w:sz w:val="24"/>
          <w:szCs w:val="24"/>
        </w:rPr>
      </w:pPr>
    </w:p>
    <w:sectPr w:rsidR="00070D54" w:rsidSect="00412568">
      <w:headerReference w:type="default" r:id="rId27"/>
      <w:footerReference w:type="default" r:id="rId28"/>
      <w:headerReference w:type="first" r:id="rId29"/>
      <w:pgSz w:w="11907" w:h="16839" w:code="9"/>
      <w:pgMar w:top="1440" w:right="1440" w:bottom="1440" w:left="1440" w:header="568"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E4F80" w15:done="0"/>
  <w15:commentEx w15:paraId="00DD5DAF" w15:done="0"/>
  <w15:commentEx w15:paraId="4B86D42A" w15:done="0"/>
  <w15:commentEx w15:paraId="561BF8A4" w15:done="0"/>
  <w15:commentEx w15:paraId="03C86383" w15:done="0"/>
  <w15:commentEx w15:paraId="454C9D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E4F80" w16cid:durableId="233038AF"/>
  <w16cid:commentId w16cid:paraId="00DD5DAF" w16cid:durableId="233038B0"/>
  <w16cid:commentId w16cid:paraId="4B86D42A" w16cid:durableId="233038B1"/>
  <w16cid:commentId w16cid:paraId="561BF8A4" w16cid:durableId="233038B2"/>
  <w16cid:commentId w16cid:paraId="03C86383" w16cid:durableId="233038B3"/>
  <w16cid:commentId w16cid:paraId="454C9D75" w16cid:durableId="233038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D00F1" w14:textId="77777777" w:rsidR="00185B08" w:rsidRDefault="00185B08" w:rsidP="007E3C08">
      <w:pPr>
        <w:spacing w:after="0" w:line="240" w:lineRule="auto"/>
      </w:pPr>
      <w:r>
        <w:separator/>
      </w:r>
    </w:p>
  </w:endnote>
  <w:endnote w:type="continuationSeparator" w:id="0">
    <w:p w14:paraId="2F8463A4" w14:textId="77777777" w:rsidR="00185B08" w:rsidRDefault="00185B08" w:rsidP="007E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631969"/>
      <w:docPartObj>
        <w:docPartGallery w:val="Page Numbers (Bottom of Page)"/>
        <w:docPartUnique/>
      </w:docPartObj>
    </w:sdtPr>
    <w:sdtEndPr>
      <w:rPr>
        <w:noProof/>
      </w:rPr>
    </w:sdtEndPr>
    <w:sdtContent>
      <w:p w14:paraId="255AC787" w14:textId="2BA19EC2" w:rsidR="00805A23" w:rsidRDefault="00805A23">
        <w:pPr>
          <w:pStyle w:val="Stopka"/>
          <w:jc w:val="center"/>
        </w:pPr>
        <w:r>
          <w:fldChar w:fldCharType="begin"/>
        </w:r>
        <w:r>
          <w:instrText xml:space="preserve"> PAGE   \* MERGEFORMAT </w:instrText>
        </w:r>
        <w:r>
          <w:fldChar w:fldCharType="separate"/>
        </w:r>
        <w:r w:rsidR="00867FCD">
          <w:rPr>
            <w:noProof/>
          </w:rPr>
          <w:t>2</w:t>
        </w:r>
        <w:r>
          <w:rPr>
            <w:noProof/>
          </w:rPr>
          <w:fldChar w:fldCharType="end"/>
        </w:r>
      </w:p>
    </w:sdtContent>
  </w:sdt>
  <w:p w14:paraId="53C0213E" w14:textId="77777777" w:rsidR="00805A23" w:rsidRDefault="00805A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FE128" w14:textId="77777777" w:rsidR="00185B08" w:rsidRDefault="00185B08" w:rsidP="007E3C08">
      <w:pPr>
        <w:spacing w:after="0" w:line="240" w:lineRule="auto"/>
      </w:pPr>
      <w:r>
        <w:separator/>
      </w:r>
    </w:p>
  </w:footnote>
  <w:footnote w:type="continuationSeparator" w:id="0">
    <w:p w14:paraId="031BDE35" w14:textId="77777777" w:rsidR="00185B08" w:rsidRDefault="00185B08" w:rsidP="007E3C08">
      <w:pPr>
        <w:spacing w:after="0" w:line="240" w:lineRule="auto"/>
      </w:pPr>
      <w:r>
        <w:continuationSeparator/>
      </w:r>
    </w:p>
  </w:footnote>
  <w:footnote w:id="1">
    <w:p w14:paraId="1F8C581D" w14:textId="2240ED71" w:rsidR="00470290" w:rsidRDefault="00470290" w:rsidP="00470290">
      <w:pPr>
        <w:pStyle w:val="Tekstprzypisudolnego"/>
      </w:pPr>
      <w:r>
        <w:rPr>
          <w:rStyle w:val="Odwoanieprzypisudolnego"/>
        </w:rPr>
        <w:footnoteRef/>
      </w:r>
      <w:r>
        <w:t xml:space="preserve"> </w:t>
      </w:r>
      <w:hyperlink r:id="rId1" w:history="1">
        <w:r w:rsidRPr="00D5685E">
          <w:rPr>
            <w:rStyle w:val="Hipercze"/>
          </w:rPr>
          <w:t>http://apps.who.int/gb/ebwha/pdf_files/WHA69/A69_R4-en.pdf?ua=1</w:t>
        </w:r>
      </w:hyperlink>
    </w:p>
  </w:footnote>
  <w:footnote w:id="2">
    <w:p w14:paraId="5082293D" w14:textId="4D1E5D0E" w:rsidR="00470290" w:rsidRDefault="00470290" w:rsidP="00470290">
      <w:pPr>
        <w:pStyle w:val="Tekstprzypisudolnego"/>
      </w:pPr>
      <w:r>
        <w:rPr>
          <w:rStyle w:val="Odwoanieprzypisudolnego"/>
        </w:rPr>
        <w:footnoteRef/>
      </w:r>
      <w:r>
        <w:t xml:space="preserve"> </w:t>
      </w:r>
      <w:r w:rsidRPr="00470290">
        <w:t>https://www.who.int/health-topics/chemical-safety#tab=tab_3</w:t>
      </w:r>
    </w:p>
  </w:footnote>
  <w:footnote w:id="3">
    <w:p w14:paraId="4C73808D" w14:textId="351E503D" w:rsidR="00242716" w:rsidRDefault="00242716">
      <w:pPr>
        <w:pStyle w:val="Tekstprzypisudolnego"/>
      </w:pPr>
      <w:r>
        <w:rPr>
          <w:rStyle w:val="Odwoanieprzypisudolnego"/>
        </w:rPr>
        <w:footnoteRef/>
      </w:r>
      <w:r>
        <w:t xml:space="preserve"> www.saicm.org</w:t>
      </w:r>
    </w:p>
  </w:footnote>
  <w:footnote w:id="4">
    <w:p w14:paraId="1A49A16A" w14:textId="7B40839B" w:rsidR="003C4B33" w:rsidRPr="003C4B33" w:rsidRDefault="003C4B33">
      <w:pPr>
        <w:pStyle w:val="Tekstprzypisudolnego"/>
        <w:rPr>
          <w:lang w:val="en-GB"/>
        </w:rPr>
      </w:pPr>
      <w:r w:rsidRPr="003C4B33">
        <w:rPr>
          <w:rStyle w:val="Odwoanieprzypisudolnego"/>
        </w:rPr>
        <w:footnoteRef/>
      </w:r>
      <w:r w:rsidRPr="003C4B33">
        <w:t xml:space="preserve"> </w:t>
      </w:r>
      <w:r>
        <w:rPr>
          <w:rFonts w:cs="Times New Roman"/>
        </w:rPr>
        <w:t>T</w:t>
      </w:r>
      <w:r w:rsidRPr="003C4B33">
        <w:rPr>
          <w:rFonts w:cs="Times New Roman"/>
        </w:rPr>
        <w:t>hird session of the Open-Ended Working Group (OEWG3) of SAICM held 6-9 April, 2019 in Montevideo, Uruguay</w:t>
      </w:r>
    </w:p>
  </w:footnote>
  <w:footnote w:id="5">
    <w:p w14:paraId="1F580400" w14:textId="61DB5F28" w:rsidR="00242716" w:rsidRDefault="00242716">
      <w:pPr>
        <w:pStyle w:val="Tekstprzypisudolnego"/>
      </w:pPr>
      <w:r>
        <w:rPr>
          <w:rStyle w:val="Odwoanieprzypisudolnego"/>
        </w:rPr>
        <w:footnoteRef/>
      </w:r>
      <w:r>
        <w:t xml:space="preserve"> </w:t>
      </w:r>
      <w:r w:rsidRPr="00242716">
        <w:t>www.saicm.org/Portals/12/Documents/meetings/OEWG3/inf/OEWG3-INF-26-health-strategy-.pdf</w:t>
      </w:r>
    </w:p>
  </w:footnote>
  <w:footnote w:id="6">
    <w:p w14:paraId="419B7136" w14:textId="5329EEDA" w:rsidR="00242716" w:rsidRDefault="00242716">
      <w:pPr>
        <w:pStyle w:val="Tekstprzypisudolnego"/>
      </w:pPr>
      <w:r>
        <w:rPr>
          <w:rStyle w:val="Odwoanieprzypisudolnego"/>
        </w:rPr>
        <w:footnoteRef/>
      </w:r>
      <w:r>
        <w:t xml:space="preserve"> </w:t>
      </w:r>
      <w:r w:rsidRPr="00242716">
        <w:t>www.saicm.org/Portals/12/Documents/meetings/OEWG3/inf/OEWG3-INF-10-WHO-Road-map-Network-.pdf</w:t>
      </w:r>
    </w:p>
  </w:footnote>
  <w:footnote w:id="7">
    <w:p w14:paraId="342022EC" w14:textId="51178E91" w:rsidR="00CD6FD6" w:rsidRPr="00CD6FD6" w:rsidRDefault="00CD6FD6">
      <w:pPr>
        <w:pStyle w:val="Tekstprzypisudolnego"/>
        <w:rPr>
          <w:lang w:val="en-US"/>
        </w:rPr>
      </w:pPr>
      <w:r>
        <w:rPr>
          <w:rStyle w:val="Odwoanieprzypisudolnego"/>
        </w:rPr>
        <w:footnoteRef/>
      </w:r>
      <w:r>
        <w:t xml:space="preserve"> </w:t>
      </w:r>
      <w:r w:rsidRPr="00CD6FD6">
        <w:t>http://www.saicm.org/Portals/12/documents/meetings/IP3/Inputs/22_WHO_Proposed%20measures%20to%20ensure%20multisectoral%20engagement.pdf</w:t>
      </w:r>
    </w:p>
  </w:footnote>
  <w:footnote w:id="8">
    <w:p w14:paraId="06A73321" w14:textId="003038CE" w:rsidR="00242716" w:rsidRDefault="00242716">
      <w:pPr>
        <w:pStyle w:val="Tekstprzypisudolnego"/>
      </w:pPr>
      <w:r>
        <w:rPr>
          <w:rStyle w:val="Odwoanieprzypisudolnego"/>
        </w:rPr>
        <w:footnoteRef/>
      </w:r>
      <w:r>
        <w:t xml:space="preserve"> </w:t>
      </w:r>
      <w:r w:rsidRPr="00242716">
        <w:t>www.saicm.org/Portals/12/documents/meetings/IP4/Docs/SAICM_IP4_3_Proposed-targets-TWG-SAICM-smcw-beyond-2020.pdf</w:t>
      </w:r>
    </w:p>
  </w:footnote>
  <w:footnote w:id="9">
    <w:p w14:paraId="3445FB5C" w14:textId="43E7FAEC" w:rsidR="00242716" w:rsidRDefault="00242716">
      <w:pPr>
        <w:pStyle w:val="Tekstprzypisudolnego"/>
      </w:pPr>
      <w:r>
        <w:rPr>
          <w:rStyle w:val="Odwoanieprzypisudolnego"/>
        </w:rPr>
        <w:footnoteRef/>
      </w:r>
      <w:r>
        <w:t xml:space="preserve"> </w:t>
      </w:r>
      <w:r w:rsidR="002E3F68" w:rsidRPr="002E3F68">
        <w:t>www.saicm.org/Portals/12/documents/meetings/IP4/INF/SAICM_IP4_INF_15_TWG_FINAL.pdf</w:t>
      </w:r>
    </w:p>
  </w:footnote>
  <w:footnote w:id="10">
    <w:p w14:paraId="38CC4BA7" w14:textId="6EF7AC5A" w:rsidR="002E3F68" w:rsidRDefault="002E3F68">
      <w:pPr>
        <w:pStyle w:val="Tekstprzypisudolnego"/>
      </w:pPr>
      <w:r>
        <w:rPr>
          <w:rStyle w:val="Odwoanieprzypisudolnego"/>
        </w:rPr>
        <w:footnoteRef/>
      </w:r>
      <w:r>
        <w:t xml:space="preserve"> </w:t>
      </w:r>
      <w:r w:rsidRPr="002E3F68">
        <w:t>www.saicm.org/Portals/12/documents/meetings/IP4/INF/SAICM_IP4_INF_6.pdf</w:t>
      </w:r>
    </w:p>
  </w:footnote>
  <w:footnote w:id="11">
    <w:p w14:paraId="649DB31D" w14:textId="1A426013" w:rsidR="00BD4327" w:rsidRPr="00BD4327" w:rsidRDefault="00BD4327">
      <w:pPr>
        <w:pStyle w:val="Tekstprzypisudolnego"/>
        <w:rPr>
          <w:lang w:val="en-US"/>
        </w:rPr>
      </w:pPr>
      <w:r>
        <w:rPr>
          <w:rStyle w:val="Odwoanieprzypisudolnego"/>
        </w:rPr>
        <w:footnoteRef/>
      </w:r>
      <w:r>
        <w:t xml:space="preserve"> </w:t>
      </w:r>
      <w:r w:rsidRPr="00BD4327">
        <w:t>http://www.saicm.org/Portals/12/documents/meetings/IP4/stakeholders/Submission_UNITAR_KEMI_U_Gothenburg.pdf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490E" w14:textId="042973DF" w:rsidR="00805A23" w:rsidRDefault="00805A23">
    <w:pPr>
      <w:pStyle w:val="Nagwek"/>
    </w:pPr>
  </w:p>
  <w:p w14:paraId="301ED5E4" w14:textId="77777777" w:rsidR="00805A23" w:rsidRDefault="00805A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FD37" w14:textId="73001F74" w:rsidR="00805A23" w:rsidRDefault="00805A23" w:rsidP="00412568">
    <w:pPr>
      <w:pStyle w:val="Nagwek"/>
      <w:jc w:val="center"/>
    </w:pPr>
    <w:r>
      <w:rPr>
        <w:noProof/>
        <w:lang w:val="pl-PL" w:eastAsia="pl-PL"/>
      </w:rPr>
      <w:drawing>
        <wp:inline distT="0" distB="0" distL="0" distR="0" wp14:anchorId="66C396A8" wp14:editId="78778C0F">
          <wp:extent cx="2152650" cy="676275"/>
          <wp:effectExtent l="0" t="0" r="0" b="9525"/>
          <wp:docPr id="1" name="Picture 1"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O-E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31F"/>
    <w:multiLevelType w:val="hybridMultilevel"/>
    <w:tmpl w:val="4F363D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D442B36"/>
    <w:multiLevelType w:val="hybridMultilevel"/>
    <w:tmpl w:val="D158C85C"/>
    <w:lvl w:ilvl="0" w:tplc="10090003">
      <w:start w:val="1"/>
      <w:numFmt w:val="bullet"/>
      <w:lvlText w:val="o"/>
      <w:lvlJc w:val="left"/>
      <w:pPr>
        <w:ind w:left="928" w:hanging="360"/>
      </w:pPr>
      <w:rPr>
        <w:rFonts w:ascii="Courier New" w:hAnsi="Courier New" w:cs="Courier New" w:hint="default"/>
      </w:rPr>
    </w:lvl>
    <w:lvl w:ilvl="1" w:tplc="10090003">
      <w:start w:val="1"/>
      <w:numFmt w:val="bullet"/>
      <w:lvlText w:val="o"/>
      <w:lvlJc w:val="left"/>
      <w:pPr>
        <w:ind w:left="1648" w:hanging="360"/>
      </w:pPr>
      <w:rPr>
        <w:rFonts w:ascii="Courier New" w:hAnsi="Courier New" w:cs="Courier New" w:hint="default"/>
      </w:rPr>
    </w:lvl>
    <w:lvl w:ilvl="2" w:tplc="10090005">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2">
    <w:nsid w:val="15B56E94"/>
    <w:multiLevelType w:val="hybridMultilevel"/>
    <w:tmpl w:val="4048838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
    <w:nsid w:val="22764DA6"/>
    <w:multiLevelType w:val="hybridMultilevel"/>
    <w:tmpl w:val="2176F74E"/>
    <w:lvl w:ilvl="0" w:tplc="148C83B0">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796E12"/>
    <w:multiLevelType w:val="hybridMultilevel"/>
    <w:tmpl w:val="D29E9058"/>
    <w:lvl w:ilvl="0" w:tplc="148C83B0">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9F30E0"/>
    <w:multiLevelType w:val="hybridMultilevel"/>
    <w:tmpl w:val="40403774"/>
    <w:lvl w:ilvl="0" w:tplc="A9CEB042">
      <w:numFmt w:val="bullet"/>
      <w:lvlText w:val="•"/>
      <w:lvlJc w:val="left"/>
      <w:pPr>
        <w:ind w:left="720" w:hanging="720"/>
      </w:pPr>
      <w:rPr>
        <w:rFonts w:ascii="Calibri" w:eastAsiaTheme="minorHAnsi"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D1C2B18"/>
    <w:multiLevelType w:val="hybridMultilevel"/>
    <w:tmpl w:val="E7705F7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nsid w:val="431006C5"/>
    <w:multiLevelType w:val="hybridMultilevel"/>
    <w:tmpl w:val="B414E78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5BA345B9"/>
    <w:multiLevelType w:val="hybridMultilevel"/>
    <w:tmpl w:val="293430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74A243D0"/>
    <w:multiLevelType w:val="hybridMultilevel"/>
    <w:tmpl w:val="ABB280F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6"/>
  </w:num>
  <w:num w:numId="6">
    <w:abstractNumId w:val="0"/>
  </w:num>
  <w:num w:numId="7">
    <w:abstractNumId w:val="8"/>
  </w:num>
  <w:num w:numId="8">
    <w:abstractNumId w:val="5"/>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96"/>
    <w:rsid w:val="00013F62"/>
    <w:rsid w:val="0001773C"/>
    <w:rsid w:val="00025BF1"/>
    <w:rsid w:val="000307EC"/>
    <w:rsid w:val="000361CE"/>
    <w:rsid w:val="000414A3"/>
    <w:rsid w:val="000450C0"/>
    <w:rsid w:val="0004562B"/>
    <w:rsid w:val="00053F16"/>
    <w:rsid w:val="00070D54"/>
    <w:rsid w:val="00071388"/>
    <w:rsid w:val="00071A97"/>
    <w:rsid w:val="00077F93"/>
    <w:rsid w:val="00084257"/>
    <w:rsid w:val="00095F94"/>
    <w:rsid w:val="000A335E"/>
    <w:rsid w:val="000A645A"/>
    <w:rsid w:val="000C1EE1"/>
    <w:rsid w:val="000C4C21"/>
    <w:rsid w:val="000C5F3F"/>
    <w:rsid w:val="000C5F67"/>
    <w:rsid w:val="000C690B"/>
    <w:rsid w:val="000D01CF"/>
    <w:rsid w:val="000E12E9"/>
    <w:rsid w:val="000E4300"/>
    <w:rsid w:val="000F2E97"/>
    <w:rsid w:val="000F54B2"/>
    <w:rsid w:val="00102097"/>
    <w:rsid w:val="00102D52"/>
    <w:rsid w:val="00104183"/>
    <w:rsid w:val="00105517"/>
    <w:rsid w:val="0010767B"/>
    <w:rsid w:val="001124BC"/>
    <w:rsid w:val="00114F75"/>
    <w:rsid w:val="0012450B"/>
    <w:rsid w:val="001258B9"/>
    <w:rsid w:val="0013282C"/>
    <w:rsid w:val="0013369C"/>
    <w:rsid w:val="00143B02"/>
    <w:rsid w:val="00147876"/>
    <w:rsid w:val="00154EED"/>
    <w:rsid w:val="00157819"/>
    <w:rsid w:val="0017150B"/>
    <w:rsid w:val="001733D9"/>
    <w:rsid w:val="00181867"/>
    <w:rsid w:val="001826C2"/>
    <w:rsid w:val="001853E4"/>
    <w:rsid w:val="00185B08"/>
    <w:rsid w:val="00186F56"/>
    <w:rsid w:val="001873F7"/>
    <w:rsid w:val="001905F8"/>
    <w:rsid w:val="00191961"/>
    <w:rsid w:val="001921AC"/>
    <w:rsid w:val="001945AB"/>
    <w:rsid w:val="001A1D72"/>
    <w:rsid w:val="001C4186"/>
    <w:rsid w:val="001E02B9"/>
    <w:rsid w:val="001E6017"/>
    <w:rsid w:val="001F2631"/>
    <w:rsid w:val="001F6DE4"/>
    <w:rsid w:val="002005C8"/>
    <w:rsid w:val="002059A2"/>
    <w:rsid w:val="0021283A"/>
    <w:rsid w:val="0022115E"/>
    <w:rsid w:val="00222590"/>
    <w:rsid w:val="0022477B"/>
    <w:rsid w:val="00231D10"/>
    <w:rsid w:val="002346BD"/>
    <w:rsid w:val="00234A1C"/>
    <w:rsid w:val="00236DBC"/>
    <w:rsid w:val="00242716"/>
    <w:rsid w:val="0025044A"/>
    <w:rsid w:val="00253EAC"/>
    <w:rsid w:val="002628A3"/>
    <w:rsid w:val="0026572A"/>
    <w:rsid w:val="00274CE6"/>
    <w:rsid w:val="00275DCC"/>
    <w:rsid w:val="0027739C"/>
    <w:rsid w:val="00280E76"/>
    <w:rsid w:val="00281915"/>
    <w:rsid w:val="00292441"/>
    <w:rsid w:val="002A269B"/>
    <w:rsid w:val="002A32AD"/>
    <w:rsid w:val="002A4A1F"/>
    <w:rsid w:val="002A717E"/>
    <w:rsid w:val="002A7943"/>
    <w:rsid w:val="002A79C6"/>
    <w:rsid w:val="002B0C34"/>
    <w:rsid w:val="002C70A2"/>
    <w:rsid w:val="002D2449"/>
    <w:rsid w:val="002D3069"/>
    <w:rsid w:val="002D31ED"/>
    <w:rsid w:val="002D4E9F"/>
    <w:rsid w:val="002E3F68"/>
    <w:rsid w:val="002E5F2D"/>
    <w:rsid w:val="002F2F49"/>
    <w:rsid w:val="002F34E1"/>
    <w:rsid w:val="002F60A1"/>
    <w:rsid w:val="002F6FC5"/>
    <w:rsid w:val="00302899"/>
    <w:rsid w:val="003036FC"/>
    <w:rsid w:val="00310944"/>
    <w:rsid w:val="00317AD0"/>
    <w:rsid w:val="00333F7C"/>
    <w:rsid w:val="00345A6E"/>
    <w:rsid w:val="00365465"/>
    <w:rsid w:val="00387802"/>
    <w:rsid w:val="00393F40"/>
    <w:rsid w:val="00394232"/>
    <w:rsid w:val="00394526"/>
    <w:rsid w:val="003A178D"/>
    <w:rsid w:val="003A4025"/>
    <w:rsid w:val="003B214B"/>
    <w:rsid w:val="003B5A79"/>
    <w:rsid w:val="003B627D"/>
    <w:rsid w:val="003B642E"/>
    <w:rsid w:val="003C4B33"/>
    <w:rsid w:val="003D6530"/>
    <w:rsid w:val="003E1249"/>
    <w:rsid w:val="003E7E95"/>
    <w:rsid w:val="003F42FB"/>
    <w:rsid w:val="00402112"/>
    <w:rsid w:val="00404A9E"/>
    <w:rsid w:val="004054F9"/>
    <w:rsid w:val="00412568"/>
    <w:rsid w:val="004156C2"/>
    <w:rsid w:val="00416517"/>
    <w:rsid w:val="00422E2B"/>
    <w:rsid w:val="00434087"/>
    <w:rsid w:val="00436425"/>
    <w:rsid w:val="00436E84"/>
    <w:rsid w:val="004417C1"/>
    <w:rsid w:val="00444089"/>
    <w:rsid w:val="004465B6"/>
    <w:rsid w:val="00454601"/>
    <w:rsid w:val="00470290"/>
    <w:rsid w:val="0047128E"/>
    <w:rsid w:val="004751AD"/>
    <w:rsid w:val="004774C5"/>
    <w:rsid w:val="004914EC"/>
    <w:rsid w:val="004A0140"/>
    <w:rsid w:val="004A0FC4"/>
    <w:rsid w:val="004A1F4C"/>
    <w:rsid w:val="004A2724"/>
    <w:rsid w:val="004A68F8"/>
    <w:rsid w:val="004B0EC6"/>
    <w:rsid w:val="004B5831"/>
    <w:rsid w:val="004B712B"/>
    <w:rsid w:val="004C21DC"/>
    <w:rsid w:val="004C3D16"/>
    <w:rsid w:val="004C6578"/>
    <w:rsid w:val="004E66A2"/>
    <w:rsid w:val="00501C11"/>
    <w:rsid w:val="00525E30"/>
    <w:rsid w:val="00527212"/>
    <w:rsid w:val="00530D05"/>
    <w:rsid w:val="00532E4F"/>
    <w:rsid w:val="00534689"/>
    <w:rsid w:val="00554AAA"/>
    <w:rsid w:val="00562404"/>
    <w:rsid w:val="00575C54"/>
    <w:rsid w:val="00581EE6"/>
    <w:rsid w:val="0058482E"/>
    <w:rsid w:val="005872E3"/>
    <w:rsid w:val="00595CF8"/>
    <w:rsid w:val="0059612D"/>
    <w:rsid w:val="005966F6"/>
    <w:rsid w:val="005A1119"/>
    <w:rsid w:val="005A5975"/>
    <w:rsid w:val="005A6596"/>
    <w:rsid w:val="005C0651"/>
    <w:rsid w:val="005C2426"/>
    <w:rsid w:val="005C270C"/>
    <w:rsid w:val="005C3FDF"/>
    <w:rsid w:val="005C5250"/>
    <w:rsid w:val="005D1CB0"/>
    <w:rsid w:val="005D62D5"/>
    <w:rsid w:val="005E38ED"/>
    <w:rsid w:val="005E454A"/>
    <w:rsid w:val="005F404D"/>
    <w:rsid w:val="00612133"/>
    <w:rsid w:val="0061798F"/>
    <w:rsid w:val="00634F0B"/>
    <w:rsid w:val="006463D2"/>
    <w:rsid w:val="0065456A"/>
    <w:rsid w:val="00654EC2"/>
    <w:rsid w:val="00655AC3"/>
    <w:rsid w:val="0065776E"/>
    <w:rsid w:val="00660F18"/>
    <w:rsid w:val="00661214"/>
    <w:rsid w:val="00661833"/>
    <w:rsid w:val="00663643"/>
    <w:rsid w:val="00666132"/>
    <w:rsid w:val="0067212A"/>
    <w:rsid w:val="00680CE8"/>
    <w:rsid w:val="00680D20"/>
    <w:rsid w:val="006B4103"/>
    <w:rsid w:val="006C39E7"/>
    <w:rsid w:val="006E3F22"/>
    <w:rsid w:val="006E4424"/>
    <w:rsid w:val="006F6D7E"/>
    <w:rsid w:val="006F6E96"/>
    <w:rsid w:val="00717E60"/>
    <w:rsid w:val="00721F17"/>
    <w:rsid w:val="007236CB"/>
    <w:rsid w:val="00737776"/>
    <w:rsid w:val="00737985"/>
    <w:rsid w:val="00741452"/>
    <w:rsid w:val="0074367A"/>
    <w:rsid w:val="0074711D"/>
    <w:rsid w:val="00747B3D"/>
    <w:rsid w:val="00752EE4"/>
    <w:rsid w:val="00754BD4"/>
    <w:rsid w:val="0075645D"/>
    <w:rsid w:val="007619AF"/>
    <w:rsid w:val="00765747"/>
    <w:rsid w:val="00766FF4"/>
    <w:rsid w:val="007873B7"/>
    <w:rsid w:val="00787D1E"/>
    <w:rsid w:val="00790DF2"/>
    <w:rsid w:val="007A1525"/>
    <w:rsid w:val="007A2984"/>
    <w:rsid w:val="007A3299"/>
    <w:rsid w:val="007A5231"/>
    <w:rsid w:val="007B07B2"/>
    <w:rsid w:val="007B2F20"/>
    <w:rsid w:val="007B3C5F"/>
    <w:rsid w:val="007C022F"/>
    <w:rsid w:val="007C32B6"/>
    <w:rsid w:val="007C32C3"/>
    <w:rsid w:val="007C3752"/>
    <w:rsid w:val="007C626E"/>
    <w:rsid w:val="007C630C"/>
    <w:rsid w:val="007C63FC"/>
    <w:rsid w:val="007D4D64"/>
    <w:rsid w:val="007E3C08"/>
    <w:rsid w:val="0080507A"/>
    <w:rsid w:val="00805485"/>
    <w:rsid w:val="00805A23"/>
    <w:rsid w:val="008149B2"/>
    <w:rsid w:val="00820B1E"/>
    <w:rsid w:val="008248B5"/>
    <w:rsid w:val="008259B1"/>
    <w:rsid w:val="008336DB"/>
    <w:rsid w:val="0083502C"/>
    <w:rsid w:val="00840FB7"/>
    <w:rsid w:val="00842BBA"/>
    <w:rsid w:val="008435FC"/>
    <w:rsid w:val="00843A0F"/>
    <w:rsid w:val="008469DB"/>
    <w:rsid w:val="00846B0D"/>
    <w:rsid w:val="00846CDE"/>
    <w:rsid w:val="00854519"/>
    <w:rsid w:val="0085525F"/>
    <w:rsid w:val="008567CF"/>
    <w:rsid w:val="00865547"/>
    <w:rsid w:val="00867FCD"/>
    <w:rsid w:val="008719C8"/>
    <w:rsid w:val="008730CD"/>
    <w:rsid w:val="00890071"/>
    <w:rsid w:val="00894295"/>
    <w:rsid w:val="008A600C"/>
    <w:rsid w:val="008B3880"/>
    <w:rsid w:val="008C0CA1"/>
    <w:rsid w:val="008C4FD0"/>
    <w:rsid w:val="008D160E"/>
    <w:rsid w:val="008D3229"/>
    <w:rsid w:val="008D46AD"/>
    <w:rsid w:val="008E2193"/>
    <w:rsid w:val="0091082E"/>
    <w:rsid w:val="00911EB5"/>
    <w:rsid w:val="00912C99"/>
    <w:rsid w:val="00923904"/>
    <w:rsid w:val="009338FF"/>
    <w:rsid w:val="00936DC3"/>
    <w:rsid w:val="00946DFB"/>
    <w:rsid w:val="00952CF8"/>
    <w:rsid w:val="00956D39"/>
    <w:rsid w:val="00957ACD"/>
    <w:rsid w:val="009670CA"/>
    <w:rsid w:val="00967952"/>
    <w:rsid w:val="00971326"/>
    <w:rsid w:val="009737D2"/>
    <w:rsid w:val="00975BCF"/>
    <w:rsid w:val="00976A44"/>
    <w:rsid w:val="0099414D"/>
    <w:rsid w:val="009977F6"/>
    <w:rsid w:val="009B1CD4"/>
    <w:rsid w:val="009B47D7"/>
    <w:rsid w:val="009D1543"/>
    <w:rsid w:val="009D1F5B"/>
    <w:rsid w:val="009D28EE"/>
    <w:rsid w:val="009F1CB0"/>
    <w:rsid w:val="009F38D5"/>
    <w:rsid w:val="00A01D63"/>
    <w:rsid w:val="00A0253F"/>
    <w:rsid w:val="00A14002"/>
    <w:rsid w:val="00A225ED"/>
    <w:rsid w:val="00A302A2"/>
    <w:rsid w:val="00A36970"/>
    <w:rsid w:val="00A46D56"/>
    <w:rsid w:val="00A53FD8"/>
    <w:rsid w:val="00A63163"/>
    <w:rsid w:val="00A715C4"/>
    <w:rsid w:val="00A747EA"/>
    <w:rsid w:val="00A85E05"/>
    <w:rsid w:val="00AB0408"/>
    <w:rsid w:val="00AB7660"/>
    <w:rsid w:val="00AC5386"/>
    <w:rsid w:val="00AC5C7F"/>
    <w:rsid w:val="00AC6690"/>
    <w:rsid w:val="00AC6719"/>
    <w:rsid w:val="00AD3B4E"/>
    <w:rsid w:val="00AD717D"/>
    <w:rsid w:val="00AE0293"/>
    <w:rsid w:val="00AE7450"/>
    <w:rsid w:val="00AF4C53"/>
    <w:rsid w:val="00B011F1"/>
    <w:rsid w:val="00B03AA6"/>
    <w:rsid w:val="00B134F1"/>
    <w:rsid w:val="00B166AA"/>
    <w:rsid w:val="00B21991"/>
    <w:rsid w:val="00B405E6"/>
    <w:rsid w:val="00B60F99"/>
    <w:rsid w:val="00B70FC5"/>
    <w:rsid w:val="00B758D6"/>
    <w:rsid w:val="00B81A4A"/>
    <w:rsid w:val="00B84277"/>
    <w:rsid w:val="00B84CEE"/>
    <w:rsid w:val="00B910CC"/>
    <w:rsid w:val="00B927F0"/>
    <w:rsid w:val="00B93EE9"/>
    <w:rsid w:val="00B947E2"/>
    <w:rsid w:val="00B954D9"/>
    <w:rsid w:val="00B964EE"/>
    <w:rsid w:val="00BA5EC1"/>
    <w:rsid w:val="00BA6B40"/>
    <w:rsid w:val="00BB0F3C"/>
    <w:rsid w:val="00BB1996"/>
    <w:rsid w:val="00BC03B4"/>
    <w:rsid w:val="00BC5B52"/>
    <w:rsid w:val="00BC5F2C"/>
    <w:rsid w:val="00BD4327"/>
    <w:rsid w:val="00BD78F9"/>
    <w:rsid w:val="00BE2FEF"/>
    <w:rsid w:val="00BF0B0C"/>
    <w:rsid w:val="00BF39A7"/>
    <w:rsid w:val="00C00EF2"/>
    <w:rsid w:val="00C02F30"/>
    <w:rsid w:val="00C02FB2"/>
    <w:rsid w:val="00C16117"/>
    <w:rsid w:val="00C1686D"/>
    <w:rsid w:val="00C17B31"/>
    <w:rsid w:val="00C215B5"/>
    <w:rsid w:val="00C42523"/>
    <w:rsid w:val="00C51494"/>
    <w:rsid w:val="00C5389E"/>
    <w:rsid w:val="00C544BB"/>
    <w:rsid w:val="00C65805"/>
    <w:rsid w:val="00C65CAB"/>
    <w:rsid w:val="00C8191B"/>
    <w:rsid w:val="00C85C5E"/>
    <w:rsid w:val="00C96EE5"/>
    <w:rsid w:val="00CA0570"/>
    <w:rsid w:val="00CA0D33"/>
    <w:rsid w:val="00CA1F6E"/>
    <w:rsid w:val="00CA7897"/>
    <w:rsid w:val="00CB0BF3"/>
    <w:rsid w:val="00CB6CC2"/>
    <w:rsid w:val="00CB7D45"/>
    <w:rsid w:val="00CC28BC"/>
    <w:rsid w:val="00CC517A"/>
    <w:rsid w:val="00CD1B4F"/>
    <w:rsid w:val="00CD6FD6"/>
    <w:rsid w:val="00D077C3"/>
    <w:rsid w:val="00D101D6"/>
    <w:rsid w:val="00D14192"/>
    <w:rsid w:val="00D17E9E"/>
    <w:rsid w:val="00D22D7D"/>
    <w:rsid w:val="00D314A4"/>
    <w:rsid w:val="00D31D8C"/>
    <w:rsid w:val="00D35924"/>
    <w:rsid w:val="00D44DFA"/>
    <w:rsid w:val="00D506B1"/>
    <w:rsid w:val="00D52C15"/>
    <w:rsid w:val="00D56EC3"/>
    <w:rsid w:val="00D57507"/>
    <w:rsid w:val="00D81321"/>
    <w:rsid w:val="00D95D01"/>
    <w:rsid w:val="00D974AD"/>
    <w:rsid w:val="00DB6047"/>
    <w:rsid w:val="00DB636C"/>
    <w:rsid w:val="00DC2F3B"/>
    <w:rsid w:val="00DF5327"/>
    <w:rsid w:val="00DF7A4B"/>
    <w:rsid w:val="00E055D4"/>
    <w:rsid w:val="00E11D56"/>
    <w:rsid w:val="00E153F6"/>
    <w:rsid w:val="00E15EE9"/>
    <w:rsid w:val="00E25355"/>
    <w:rsid w:val="00E25F1F"/>
    <w:rsid w:val="00E31AD0"/>
    <w:rsid w:val="00E35D46"/>
    <w:rsid w:val="00E4189C"/>
    <w:rsid w:val="00E44127"/>
    <w:rsid w:val="00E50053"/>
    <w:rsid w:val="00E510D2"/>
    <w:rsid w:val="00E525B9"/>
    <w:rsid w:val="00E53249"/>
    <w:rsid w:val="00E56382"/>
    <w:rsid w:val="00E61543"/>
    <w:rsid w:val="00E642A5"/>
    <w:rsid w:val="00E66B35"/>
    <w:rsid w:val="00E77DEA"/>
    <w:rsid w:val="00E95B96"/>
    <w:rsid w:val="00EB380E"/>
    <w:rsid w:val="00EC5943"/>
    <w:rsid w:val="00EC5A4F"/>
    <w:rsid w:val="00ED00F9"/>
    <w:rsid w:val="00ED2085"/>
    <w:rsid w:val="00ED3341"/>
    <w:rsid w:val="00EE6873"/>
    <w:rsid w:val="00EF0268"/>
    <w:rsid w:val="00F01CC8"/>
    <w:rsid w:val="00F02AAD"/>
    <w:rsid w:val="00F164F3"/>
    <w:rsid w:val="00F213FD"/>
    <w:rsid w:val="00F238E4"/>
    <w:rsid w:val="00F32F8F"/>
    <w:rsid w:val="00F37638"/>
    <w:rsid w:val="00F47EF3"/>
    <w:rsid w:val="00F60009"/>
    <w:rsid w:val="00F61CCE"/>
    <w:rsid w:val="00F71D10"/>
    <w:rsid w:val="00F74E03"/>
    <w:rsid w:val="00F823C4"/>
    <w:rsid w:val="00FB0596"/>
    <w:rsid w:val="00FC05DC"/>
    <w:rsid w:val="00FC1018"/>
    <w:rsid w:val="00FC32E9"/>
    <w:rsid w:val="00FD17B3"/>
    <w:rsid w:val="00FE4FF5"/>
    <w:rsid w:val="00FF0FA1"/>
    <w:rsid w:val="00FF644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543"/>
  </w:style>
  <w:style w:type="paragraph" w:styleId="Nagwek1">
    <w:name w:val="heading 1"/>
    <w:basedOn w:val="Normalny"/>
    <w:next w:val="Normalny"/>
    <w:link w:val="Nagwek1Znak"/>
    <w:uiPriority w:val="9"/>
    <w:qFormat/>
    <w:rsid w:val="006F6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3B21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7564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78F9"/>
    <w:pPr>
      <w:ind w:left="720"/>
      <w:contextualSpacing/>
    </w:pPr>
  </w:style>
  <w:style w:type="character" w:styleId="Odwoaniedokomentarza">
    <w:name w:val="annotation reference"/>
    <w:basedOn w:val="Domylnaczcionkaakapitu"/>
    <w:uiPriority w:val="99"/>
    <w:semiHidden/>
    <w:unhideWhenUsed/>
    <w:rsid w:val="007B2F20"/>
    <w:rPr>
      <w:sz w:val="16"/>
      <w:szCs w:val="16"/>
    </w:rPr>
  </w:style>
  <w:style w:type="paragraph" w:styleId="Tekstkomentarza">
    <w:name w:val="annotation text"/>
    <w:basedOn w:val="Normalny"/>
    <w:link w:val="TekstkomentarzaZnak"/>
    <w:uiPriority w:val="99"/>
    <w:semiHidden/>
    <w:unhideWhenUsed/>
    <w:rsid w:val="007B2F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2F20"/>
    <w:rPr>
      <w:sz w:val="20"/>
      <w:szCs w:val="20"/>
    </w:rPr>
  </w:style>
  <w:style w:type="paragraph" w:styleId="Tematkomentarza">
    <w:name w:val="annotation subject"/>
    <w:basedOn w:val="Tekstkomentarza"/>
    <w:next w:val="Tekstkomentarza"/>
    <w:link w:val="TematkomentarzaZnak"/>
    <w:uiPriority w:val="99"/>
    <w:semiHidden/>
    <w:unhideWhenUsed/>
    <w:rsid w:val="007B2F20"/>
    <w:rPr>
      <w:b/>
      <w:bCs/>
    </w:rPr>
  </w:style>
  <w:style w:type="character" w:customStyle="1" w:styleId="TematkomentarzaZnak">
    <w:name w:val="Temat komentarza Znak"/>
    <w:basedOn w:val="TekstkomentarzaZnak"/>
    <w:link w:val="Tematkomentarza"/>
    <w:uiPriority w:val="99"/>
    <w:semiHidden/>
    <w:rsid w:val="007B2F20"/>
    <w:rPr>
      <w:b/>
      <w:bCs/>
      <w:sz w:val="20"/>
      <w:szCs w:val="20"/>
    </w:rPr>
  </w:style>
  <w:style w:type="paragraph" w:styleId="Tekstdymka">
    <w:name w:val="Balloon Text"/>
    <w:basedOn w:val="Normalny"/>
    <w:link w:val="TekstdymkaZnak"/>
    <w:uiPriority w:val="99"/>
    <w:semiHidden/>
    <w:unhideWhenUsed/>
    <w:rsid w:val="007B2F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2F20"/>
    <w:rPr>
      <w:rFonts w:ascii="Tahoma" w:hAnsi="Tahoma" w:cs="Tahoma"/>
      <w:sz w:val="16"/>
      <w:szCs w:val="16"/>
    </w:rPr>
  </w:style>
  <w:style w:type="character" w:styleId="Hipercze">
    <w:name w:val="Hyperlink"/>
    <w:basedOn w:val="Domylnaczcionkaakapitu"/>
    <w:uiPriority w:val="99"/>
    <w:unhideWhenUsed/>
    <w:rsid w:val="00595CF8"/>
    <w:rPr>
      <w:color w:val="0000FF" w:themeColor="hyperlink"/>
      <w:u w:val="single"/>
    </w:rPr>
  </w:style>
  <w:style w:type="paragraph" w:styleId="Poprawka">
    <w:name w:val="Revision"/>
    <w:hidden/>
    <w:uiPriority w:val="99"/>
    <w:semiHidden/>
    <w:rsid w:val="00C96EE5"/>
    <w:pPr>
      <w:spacing w:after="0" w:line="240" w:lineRule="auto"/>
    </w:pPr>
  </w:style>
  <w:style w:type="paragraph" w:styleId="Nagwek">
    <w:name w:val="header"/>
    <w:basedOn w:val="Normalny"/>
    <w:link w:val="NagwekZnak"/>
    <w:uiPriority w:val="99"/>
    <w:unhideWhenUsed/>
    <w:rsid w:val="007E3C0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E3C08"/>
  </w:style>
  <w:style w:type="paragraph" w:styleId="Stopka">
    <w:name w:val="footer"/>
    <w:basedOn w:val="Normalny"/>
    <w:link w:val="StopkaZnak"/>
    <w:uiPriority w:val="99"/>
    <w:unhideWhenUsed/>
    <w:rsid w:val="007E3C0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E3C08"/>
  </w:style>
  <w:style w:type="character" w:styleId="UyteHipercze">
    <w:name w:val="FollowedHyperlink"/>
    <w:basedOn w:val="Domylnaczcionkaakapitu"/>
    <w:uiPriority w:val="99"/>
    <w:semiHidden/>
    <w:unhideWhenUsed/>
    <w:rsid w:val="0083502C"/>
    <w:rPr>
      <w:color w:val="800080" w:themeColor="followedHyperlink"/>
      <w:u w:val="single"/>
    </w:rPr>
  </w:style>
  <w:style w:type="paragraph" w:customStyle="1" w:styleId="Default">
    <w:name w:val="Default"/>
    <w:rsid w:val="008469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F6E96"/>
    <w:rPr>
      <w:rFonts w:asciiTheme="majorHAnsi" w:eastAsiaTheme="majorEastAsia" w:hAnsiTheme="majorHAnsi" w:cstheme="majorBidi"/>
      <w:b/>
      <w:bCs/>
      <w:color w:val="365F91" w:themeColor="accent1" w:themeShade="BF"/>
      <w:sz w:val="28"/>
      <w:szCs w:val="28"/>
    </w:rPr>
  </w:style>
  <w:style w:type="character" w:customStyle="1" w:styleId="Nagwek4Znak">
    <w:name w:val="Nagłówek 4 Znak"/>
    <w:basedOn w:val="Domylnaczcionkaakapitu"/>
    <w:link w:val="Nagwek4"/>
    <w:uiPriority w:val="9"/>
    <w:semiHidden/>
    <w:rsid w:val="0075645D"/>
    <w:rPr>
      <w:rFonts w:asciiTheme="majorHAnsi" w:eastAsiaTheme="majorEastAsia" w:hAnsiTheme="majorHAnsi" w:cstheme="majorBidi"/>
      <w:b/>
      <w:bCs/>
      <w:i/>
      <w:iCs/>
      <w:color w:val="4F81BD" w:themeColor="accent1"/>
    </w:rPr>
  </w:style>
  <w:style w:type="character" w:customStyle="1" w:styleId="Nagwek3Znak">
    <w:name w:val="Nagłówek 3 Znak"/>
    <w:basedOn w:val="Domylnaczcionkaakapitu"/>
    <w:link w:val="Nagwek3"/>
    <w:uiPriority w:val="9"/>
    <w:semiHidden/>
    <w:rsid w:val="003B214B"/>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3B214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ekstprzypisudolnego">
    <w:name w:val="footnote text"/>
    <w:basedOn w:val="Normalny"/>
    <w:link w:val="TekstprzypisudolnegoZnak"/>
    <w:uiPriority w:val="99"/>
    <w:semiHidden/>
    <w:unhideWhenUsed/>
    <w:rsid w:val="004702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0290"/>
    <w:rPr>
      <w:sz w:val="20"/>
      <w:szCs w:val="20"/>
    </w:rPr>
  </w:style>
  <w:style w:type="character" w:styleId="Odwoanieprzypisudolnego">
    <w:name w:val="footnote reference"/>
    <w:basedOn w:val="Domylnaczcionkaakapitu"/>
    <w:uiPriority w:val="99"/>
    <w:semiHidden/>
    <w:unhideWhenUsed/>
    <w:rsid w:val="004702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543"/>
  </w:style>
  <w:style w:type="paragraph" w:styleId="Nagwek1">
    <w:name w:val="heading 1"/>
    <w:basedOn w:val="Normalny"/>
    <w:next w:val="Normalny"/>
    <w:link w:val="Nagwek1Znak"/>
    <w:uiPriority w:val="9"/>
    <w:qFormat/>
    <w:rsid w:val="006F6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3B21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7564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78F9"/>
    <w:pPr>
      <w:ind w:left="720"/>
      <w:contextualSpacing/>
    </w:pPr>
  </w:style>
  <w:style w:type="character" w:styleId="Odwoaniedokomentarza">
    <w:name w:val="annotation reference"/>
    <w:basedOn w:val="Domylnaczcionkaakapitu"/>
    <w:uiPriority w:val="99"/>
    <w:semiHidden/>
    <w:unhideWhenUsed/>
    <w:rsid w:val="007B2F20"/>
    <w:rPr>
      <w:sz w:val="16"/>
      <w:szCs w:val="16"/>
    </w:rPr>
  </w:style>
  <w:style w:type="paragraph" w:styleId="Tekstkomentarza">
    <w:name w:val="annotation text"/>
    <w:basedOn w:val="Normalny"/>
    <w:link w:val="TekstkomentarzaZnak"/>
    <w:uiPriority w:val="99"/>
    <w:semiHidden/>
    <w:unhideWhenUsed/>
    <w:rsid w:val="007B2F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2F20"/>
    <w:rPr>
      <w:sz w:val="20"/>
      <w:szCs w:val="20"/>
    </w:rPr>
  </w:style>
  <w:style w:type="paragraph" w:styleId="Tematkomentarza">
    <w:name w:val="annotation subject"/>
    <w:basedOn w:val="Tekstkomentarza"/>
    <w:next w:val="Tekstkomentarza"/>
    <w:link w:val="TematkomentarzaZnak"/>
    <w:uiPriority w:val="99"/>
    <w:semiHidden/>
    <w:unhideWhenUsed/>
    <w:rsid w:val="007B2F20"/>
    <w:rPr>
      <w:b/>
      <w:bCs/>
    </w:rPr>
  </w:style>
  <w:style w:type="character" w:customStyle="1" w:styleId="TematkomentarzaZnak">
    <w:name w:val="Temat komentarza Znak"/>
    <w:basedOn w:val="TekstkomentarzaZnak"/>
    <w:link w:val="Tematkomentarza"/>
    <w:uiPriority w:val="99"/>
    <w:semiHidden/>
    <w:rsid w:val="007B2F20"/>
    <w:rPr>
      <w:b/>
      <w:bCs/>
      <w:sz w:val="20"/>
      <w:szCs w:val="20"/>
    </w:rPr>
  </w:style>
  <w:style w:type="paragraph" w:styleId="Tekstdymka">
    <w:name w:val="Balloon Text"/>
    <w:basedOn w:val="Normalny"/>
    <w:link w:val="TekstdymkaZnak"/>
    <w:uiPriority w:val="99"/>
    <w:semiHidden/>
    <w:unhideWhenUsed/>
    <w:rsid w:val="007B2F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2F20"/>
    <w:rPr>
      <w:rFonts w:ascii="Tahoma" w:hAnsi="Tahoma" w:cs="Tahoma"/>
      <w:sz w:val="16"/>
      <w:szCs w:val="16"/>
    </w:rPr>
  </w:style>
  <w:style w:type="character" w:styleId="Hipercze">
    <w:name w:val="Hyperlink"/>
    <w:basedOn w:val="Domylnaczcionkaakapitu"/>
    <w:uiPriority w:val="99"/>
    <w:unhideWhenUsed/>
    <w:rsid w:val="00595CF8"/>
    <w:rPr>
      <w:color w:val="0000FF" w:themeColor="hyperlink"/>
      <w:u w:val="single"/>
    </w:rPr>
  </w:style>
  <w:style w:type="paragraph" w:styleId="Poprawka">
    <w:name w:val="Revision"/>
    <w:hidden/>
    <w:uiPriority w:val="99"/>
    <w:semiHidden/>
    <w:rsid w:val="00C96EE5"/>
    <w:pPr>
      <w:spacing w:after="0" w:line="240" w:lineRule="auto"/>
    </w:pPr>
  </w:style>
  <w:style w:type="paragraph" w:styleId="Nagwek">
    <w:name w:val="header"/>
    <w:basedOn w:val="Normalny"/>
    <w:link w:val="NagwekZnak"/>
    <w:uiPriority w:val="99"/>
    <w:unhideWhenUsed/>
    <w:rsid w:val="007E3C0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E3C08"/>
  </w:style>
  <w:style w:type="paragraph" w:styleId="Stopka">
    <w:name w:val="footer"/>
    <w:basedOn w:val="Normalny"/>
    <w:link w:val="StopkaZnak"/>
    <w:uiPriority w:val="99"/>
    <w:unhideWhenUsed/>
    <w:rsid w:val="007E3C0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E3C08"/>
  </w:style>
  <w:style w:type="character" w:styleId="UyteHipercze">
    <w:name w:val="FollowedHyperlink"/>
    <w:basedOn w:val="Domylnaczcionkaakapitu"/>
    <w:uiPriority w:val="99"/>
    <w:semiHidden/>
    <w:unhideWhenUsed/>
    <w:rsid w:val="0083502C"/>
    <w:rPr>
      <w:color w:val="800080" w:themeColor="followedHyperlink"/>
      <w:u w:val="single"/>
    </w:rPr>
  </w:style>
  <w:style w:type="paragraph" w:customStyle="1" w:styleId="Default">
    <w:name w:val="Default"/>
    <w:rsid w:val="008469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F6E96"/>
    <w:rPr>
      <w:rFonts w:asciiTheme="majorHAnsi" w:eastAsiaTheme="majorEastAsia" w:hAnsiTheme="majorHAnsi" w:cstheme="majorBidi"/>
      <w:b/>
      <w:bCs/>
      <w:color w:val="365F91" w:themeColor="accent1" w:themeShade="BF"/>
      <w:sz w:val="28"/>
      <w:szCs w:val="28"/>
    </w:rPr>
  </w:style>
  <w:style w:type="character" w:customStyle="1" w:styleId="Nagwek4Znak">
    <w:name w:val="Nagłówek 4 Znak"/>
    <w:basedOn w:val="Domylnaczcionkaakapitu"/>
    <w:link w:val="Nagwek4"/>
    <w:uiPriority w:val="9"/>
    <w:semiHidden/>
    <w:rsid w:val="0075645D"/>
    <w:rPr>
      <w:rFonts w:asciiTheme="majorHAnsi" w:eastAsiaTheme="majorEastAsia" w:hAnsiTheme="majorHAnsi" w:cstheme="majorBidi"/>
      <w:b/>
      <w:bCs/>
      <w:i/>
      <w:iCs/>
      <w:color w:val="4F81BD" w:themeColor="accent1"/>
    </w:rPr>
  </w:style>
  <w:style w:type="character" w:customStyle="1" w:styleId="Nagwek3Znak">
    <w:name w:val="Nagłówek 3 Znak"/>
    <w:basedOn w:val="Domylnaczcionkaakapitu"/>
    <w:link w:val="Nagwek3"/>
    <w:uiPriority w:val="9"/>
    <w:semiHidden/>
    <w:rsid w:val="003B214B"/>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3B214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ekstprzypisudolnego">
    <w:name w:val="footnote text"/>
    <w:basedOn w:val="Normalny"/>
    <w:link w:val="TekstprzypisudolnegoZnak"/>
    <w:uiPriority w:val="99"/>
    <w:semiHidden/>
    <w:unhideWhenUsed/>
    <w:rsid w:val="004702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0290"/>
    <w:rPr>
      <w:sz w:val="20"/>
      <w:szCs w:val="20"/>
    </w:rPr>
  </w:style>
  <w:style w:type="character" w:styleId="Odwoanieprzypisudolnego">
    <w:name w:val="footnote reference"/>
    <w:basedOn w:val="Domylnaczcionkaakapitu"/>
    <w:uiPriority w:val="99"/>
    <w:semiHidden/>
    <w:unhideWhenUsed/>
    <w:rsid w:val="00470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1720">
      <w:bodyDiv w:val="1"/>
      <w:marLeft w:val="0"/>
      <w:marRight w:val="0"/>
      <w:marTop w:val="0"/>
      <w:marBottom w:val="0"/>
      <w:divBdr>
        <w:top w:val="none" w:sz="0" w:space="0" w:color="auto"/>
        <w:left w:val="none" w:sz="0" w:space="0" w:color="auto"/>
        <w:bottom w:val="none" w:sz="0" w:space="0" w:color="auto"/>
        <w:right w:val="none" w:sz="0" w:space="0" w:color="auto"/>
      </w:divBdr>
    </w:div>
    <w:div w:id="131682513">
      <w:bodyDiv w:val="1"/>
      <w:marLeft w:val="0"/>
      <w:marRight w:val="0"/>
      <w:marTop w:val="0"/>
      <w:marBottom w:val="0"/>
      <w:divBdr>
        <w:top w:val="none" w:sz="0" w:space="0" w:color="auto"/>
        <w:left w:val="none" w:sz="0" w:space="0" w:color="auto"/>
        <w:bottom w:val="none" w:sz="0" w:space="0" w:color="auto"/>
        <w:right w:val="none" w:sz="0" w:space="0" w:color="auto"/>
      </w:divBdr>
    </w:div>
    <w:div w:id="141194882">
      <w:bodyDiv w:val="1"/>
      <w:marLeft w:val="0"/>
      <w:marRight w:val="0"/>
      <w:marTop w:val="0"/>
      <w:marBottom w:val="0"/>
      <w:divBdr>
        <w:top w:val="none" w:sz="0" w:space="0" w:color="auto"/>
        <w:left w:val="none" w:sz="0" w:space="0" w:color="auto"/>
        <w:bottom w:val="none" w:sz="0" w:space="0" w:color="auto"/>
        <w:right w:val="none" w:sz="0" w:space="0" w:color="auto"/>
      </w:divBdr>
    </w:div>
    <w:div w:id="210649768">
      <w:bodyDiv w:val="1"/>
      <w:marLeft w:val="0"/>
      <w:marRight w:val="0"/>
      <w:marTop w:val="0"/>
      <w:marBottom w:val="0"/>
      <w:divBdr>
        <w:top w:val="none" w:sz="0" w:space="0" w:color="auto"/>
        <w:left w:val="none" w:sz="0" w:space="0" w:color="auto"/>
        <w:bottom w:val="none" w:sz="0" w:space="0" w:color="auto"/>
        <w:right w:val="none" w:sz="0" w:space="0" w:color="auto"/>
      </w:divBdr>
    </w:div>
    <w:div w:id="241724695">
      <w:bodyDiv w:val="1"/>
      <w:marLeft w:val="0"/>
      <w:marRight w:val="0"/>
      <w:marTop w:val="0"/>
      <w:marBottom w:val="0"/>
      <w:divBdr>
        <w:top w:val="none" w:sz="0" w:space="0" w:color="auto"/>
        <w:left w:val="none" w:sz="0" w:space="0" w:color="auto"/>
        <w:bottom w:val="none" w:sz="0" w:space="0" w:color="auto"/>
        <w:right w:val="none" w:sz="0" w:space="0" w:color="auto"/>
      </w:divBdr>
    </w:div>
    <w:div w:id="530532633">
      <w:bodyDiv w:val="1"/>
      <w:marLeft w:val="0"/>
      <w:marRight w:val="0"/>
      <w:marTop w:val="0"/>
      <w:marBottom w:val="0"/>
      <w:divBdr>
        <w:top w:val="none" w:sz="0" w:space="0" w:color="auto"/>
        <w:left w:val="none" w:sz="0" w:space="0" w:color="auto"/>
        <w:bottom w:val="none" w:sz="0" w:space="0" w:color="auto"/>
        <w:right w:val="none" w:sz="0" w:space="0" w:color="auto"/>
      </w:divBdr>
    </w:div>
    <w:div w:id="567615817">
      <w:bodyDiv w:val="1"/>
      <w:marLeft w:val="0"/>
      <w:marRight w:val="0"/>
      <w:marTop w:val="0"/>
      <w:marBottom w:val="0"/>
      <w:divBdr>
        <w:top w:val="none" w:sz="0" w:space="0" w:color="auto"/>
        <w:left w:val="none" w:sz="0" w:space="0" w:color="auto"/>
        <w:bottom w:val="none" w:sz="0" w:space="0" w:color="auto"/>
        <w:right w:val="none" w:sz="0" w:space="0" w:color="auto"/>
      </w:divBdr>
    </w:div>
    <w:div w:id="603147575">
      <w:bodyDiv w:val="1"/>
      <w:marLeft w:val="0"/>
      <w:marRight w:val="0"/>
      <w:marTop w:val="0"/>
      <w:marBottom w:val="0"/>
      <w:divBdr>
        <w:top w:val="none" w:sz="0" w:space="0" w:color="auto"/>
        <w:left w:val="none" w:sz="0" w:space="0" w:color="auto"/>
        <w:bottom w:val="none" w:sz="0" w:space="0" w:color="auto"/>
        <w:right w:val="none" w:sz="0" w:space="0" w:color="auto"/>
      </w:divBdr>
    </w:div>
    <w:div w:id="678435146">
      <w:bodyDiv w:val="1"/>
      <w:marLeft w:val="0"/>
      <w:marRight w:val="0"/>
      <w:marTop w:val="0"/>
      <w:marBottom w:val="0"/>
      <w:divBdr>
        <w:top w:val="none" w:sz="0" w:space="0" w:color="auto"/>
        <w:left w:val="none" w:sz="0" w:space="0" w:color="auto"/>
        <w:bottom w:val="none" w:sz="0" w:space="0" w:color="auto"/>
        <w:right w:val="none" w:sz="0" w:space="0" w:color="auto"/>
      </w:divBdr>
    </w:div>
    <w:div w:id="711687523">
      <w:bodyDiv w:val="1"/>
      <w:marLeft w:val="0"/>
      <w:marRight w:val="0"/>
      <w:marTop w:val="0"/>
      <w:marBottom w:val="0"/>
      <w:divBdr>
        <w:top w:val="none" w:sz="0" w:space="0" w:color="auto"/>
        <w:left w:val="none" w:sz="0" w:space="0" w:color="auto"/>
        <w:bottom w:val="none" w:sz="0" w:space="0" w:color="auto"/>
        <w:right w:val="none" w:sz="0" w:space="0" w:color="auto"/>
      </w:divBdr>
    </w:div>
    <w:div w:id="1031999708">
      <w:bodyDiv w:val="1"/>
      <w:marLeft w:val="0"/>
      <w:marRight w:val="0"/>
      <w:marTop w:val="0"/>
      <w:marBottom w:val="0"/>
      <w:divBdr>
        <w:top w:val="none" w:sz="0" w:space="0" w:color="auto"/>
        <w:left w:val="none" w:sz="0" w:space="0" w:color="auto"/>
        <w:bottom w:val="none" w:sz="0" w:space="0" w:color="auto"/>
        <w:right w:val="none" w:sz="0" w:space="0" w:color="auto"/>
      </w:divBdr>
    </w:div>
    <w:div w:id="1172070101">
      <w:bodyDiv w:val="1"/>
      <w:marLeft w:val="0"/>
      <w:marRight w:val="0"/>
      <w:marTop w:val="0"/>
      <w:marBottom w:val="0"/>
      <w:divBdr>
        <w:top w:val="none" w:sz="0" w:space="0" w:color="auto"/>
        <w:left w:val="none" w:sz="0" w:space="0" w:color="auto"/>
        <w:bottom w:val="none" w:sz="0" w:space="0" w:color="auto"/>
        <w:right w:val="none" w:sz="0" w:space="0" w:color="auto"/>
      </w:divBdr>
    </w:div>
    <w:div w:id="1309506512">
      <w:bodyDiv w:val="1"/>
      <w:marLeft w:val="0"/>
      <w:marRight w:val="0"/>
      <w:marTop w:val="0"/>
      <w:marBottom w:val="0"/>
      <w:divBdr>
        <w:top w:val="none" w:sz="0" w:space="0" w:color="auto"/>
        <w:left w:val="none" w:sz="0" w:space="0" w:color="auto"/>
        <w:bottom w:val="none" w:sz="0" w:space="0" w:color="auto"/>
        <w:right w:val="none" w:sz="0" w:space="0" w:color="auto"/>
      </w:divBdr>
    </w:div>
    <w:div w:id="1316296242">
      <w:bodyDiv w:val="1"/>
      <w:marLeft w:val="0"/>
      <w:marRight w:val="0"/>
      <w:marTop w:val="0"/>
      <w:marBottom w:val="0"/>
      <w:divBdr>
        <w:top w:val="none" w:sz="0" w:space="0" w:color="auto"/>
        <w:left w:val="none" w:sz="0" w:space="0" w:color="auto"/>
        <w:bottom w:val="none" w:sz="0" w:space="0" w:color="auto"/>
        <w:right w:val="none" w:sz="0" w:space="0" w:color="auto"/>
      </w:divBdr>
    </w:div>
    <w:div w:id="1371538379">
      <w:bodyDiv w:val="1"/>
      <w:marLeft w:val="0"/>
      <w:marRight w:val="0"/>
      <w:marTop w:val="0"/>
      <w:marBottom w:val="0"/>
      <w:divBdr>
        <w:top w:val="none" w:sz="0" w:space="0" w:color="auto"/>
        <w:left w:val="none" w:sz="0" w:space="0" w:color="auto"/>
        <w:bottom w:val="none" w:sz="0" w:space="0" w:color="auto"/>
        <w:right w:val="none" w:sz="0" w:space="0" w:color="auto"/>
      </w:divBdr>
    </w:div>
    <w:div w:id="1477599527">
      <w:bodyDiv w:val="1"/>
      <w:marLeft w:val="0"/>
      <w:marRight w:val="0"/>
      <w:marTop w:val="0"/>
      <w:marBottom w:val="0"/>
      <w:divBdr>
        <w:top w:val="none" w:sz="0" w:space="0" w:color="auto"/>
        <w:left w:val="none" w:sz="0" w:space="0" w:color="auto"/>
        <w:bottom w:val="none" w:sz="0" w:space="0" w:color="auto"/>
        <w:right w:val="none" w:sz="0" w:space="0" w:color="auto"/>
      </w:divBdr>
      <w:divsChild>
        <w:div w:id="1289360651">
          <w:marLeft w:val="0"/>
          <w:marRight w:val="0"/>
          <w:marTop w:val="0"/>
          <w:marBottom w:val="0"/>
          <w:divBdr>
            <w:top w:val="none" w:sz="0" w:space="0" w:color="auto"/>
            <w:left w:val="none" w:sz="0" w:space="0" w:color="auto"/>
            <w:bottom w:val="none" w:sz="0" w:space="0" w:color="auto"/>
            <w:right w:val="none" w:sz="0" w:space="0" w:color="auto"/>
          </w:divBdr>
        </w:div>
      </w:divsChild>
    </w:div>
    <w:div w:id="1507786812">
      <w:bodyDiv w:val="1"/>
      <w:marLeft w:val="0"/>
      <w:marRight w:val="0"/>
      <w:marTop w:val="0"/>
      <w:marBottom w:val="0"/>
      <w:divBdr>
        <w:top w:val="none" w:sz="0" w:space="0" w:color="auto"/>
        <w:left w:val="none" w:sz="0" w:space="0" w:color="auto"/>
        <w:bottom w:val="none" w:sz="0" w:space="0" w:color="auto"/>
        <w:right w:val="none" w:sz="0" w:space="0" w:color="auto"/>
      </w:divBdr>
      <w:divsChild>
        <w:div w:id="452868976">
          <w:marLeft w:val="0"/>
          <w:marRight w:val="0"/>
          <w:marTop w:val="0"/>
          <w:marBottom w:val="0"/>
          <w:divBdr>
            <w:top w:val="none" w:sz="0" w:space="0" w:color="auto"/>
            <w:left w:val="none" w:sz="0" w:space="0" w:color="auto"/>
            <w:bottom w:val="none" w:sz="0" w:space="0" w:color="auto"/>
            <w:right w:val="none" w:sz="0" w:space="0" w:color="auto"/>
          </w:divBdr>
          <w:divsChild>
            <w:div w:id="1992443146">
              <w:marLeft w:val="0"/>
              <w:marRight w:val="0"/>
              <w:marTop w:val="1650"/>
              <w:marBottom w:val="0"/>
              <w:divBdr>
                <w:top w:val="none" w:sz="0" w:space="0" w:color="auto"/>
                <w:left w:val="none" w:sz="0" w:space="0" w:color="auto"/>
                <w:bottom w:val="none" w:sz="0" w:space="0" w:color="auto"/>
                <w:right w:val="none" w:sz="0" w:space="0" w:color="auto"/>
              </w:divBdr>
              <w:divsChild>
                <w:div w:id="1699087670">
                  <w:marLeft w:val="0"/>
                  <w:marRight w:val="0"/>
                  <w:marTop w:val="0"/>
                  <w:marBottom w:val="0"/>
                  <w:divBdr>
                    <w:top w:val="none" w:sz="0" w:space="0" w:color="auto"/>
                    <w:left w:val="none" w:sz="0" w:space="0" w:color="auto"/>
                    <w:bottom w:val="none" w:sz="0" w:space="0" w:color="auto"/>
                    <w:right w:val="none" w:sz="0" w:space="0" w:color="auto"/>
                  </w:divBdr>
                  <w:divsChild>
                    <w:div w:id="1329748237">
                      <w:marLeft w:val="-225"/>
                      <w:marRight w:val="-225"/>
                      <w:marTop w:val="0"/>
                      <w:marBottom w:val="0"/>
                      <w:divBdr>
                        <w:top w:val="none" w:sz="0" w:space="0" w:color="auto"/>
                        <w:left w:val="none" w:sz="0" w:space="0" w:color="auto"/>
                        <w:bottom w:val="none" w:sz="0" w:space="0" w:color="auto"/>
                        <w:right w:val="none" w:sz="0" w:space="0" w:color="auto"/>
                      </w:divBdr>
                      <w:divsChild>
                        <w:div w:id="899174531">
                          <w:marLeft w:val="0"/>
                          <w:marRight w:val="0"/>
                          <w:marTop w:val="0"/>
                          <w:marBottom w:val="0"/>
                          <w:divBdr>
                            <w:top w:val="none" w:sz="0" w:space="0" w:color="auto"/>
                            <w:left w:val="none" w:sz="0" w:space="0" w:color="auto"/>
                            <w:bottom w:val="none" w:sz="0" w:space="0" w:color="auto"/>
                            <w:right w:val="none" w:sz="0" w:space="0" w:color="auto"/>
                          </w:divBdr>
                          <w:divsChild>
                            <w:div w:id="1750811991">
                              <w:marLeft w:val="0"/>
                              <w:marRight w:val="0"/>
                              <w:marTop w:val="0"/>
                              <w:marBottom w:val="0"/>
                              <w:divBdr>
                                <w:top w:val="none" w:sz="0" w:space="0" w:color="auto"/>
                                <w:left w:val="none" w:sz="0" w:space="0" w:color="auto"/>
                                <w:bottom w:val="none" w:sz="0" w:space="0" w:color="auto"/>
                                <w:right w:val="none" w:sz="0" w:space="0" w:color="auto"/>
                              </w:divBdr>
                              <w:divsChild>
                                <w:div w:id="1224490768">
                                  <w:marLeft w:val="0"/>
                                  <w:marRight w:val="0"/>
                                  <w:marTop w:val="0"/>
                                  <w:marBottom w:val="0"/>
                                  <w:divBdr>
                                    <w:top w:val="none" w:sz="0" w:space="0" w:color="auto"/>
                                    <w:left w:val="none" w:sz="0" w:space="0" w:color="auto"/>
                                    <w:bottom w:val="none" w:sz="0" w:space="0" w:color="auto"/>
                                    <w:right w:val="none" w:sz="0" w:space="0" w:color="auto"/>
                                  </w:divBdr>
                                  <w:divsChild>
                                    <w:div w:id="1694726027">
                                      <w:marLeft w:val="0"/>
                                      <w:marRight w:val="0"/>
                                      <w:marTop w:val="0"/>
                                      <w:marBottom w:val="0"/>
                                      <w:divBdr>
                                        <w:top w:val="none" w:sz="0" w:space="0" w:color="auto"/>
                                        <w:left w:val="none" w:sz="0" w:space="0" w:color="auto"/>
                                        <w:bottom w:val="none" w:sz="0" w:space="0" w:color="auto"/>
                                        <w:right w:val="none" w:sz="0" w:space="0" w:color="auto"/>
                                      </w:divBdr>
                                      <w:divsChild>
                                        <w:div w:id="1628048884">
                                          <w:marLeft w:val="0"/>
                                          <w:marRight w:val="0"/>
                                          <w:marTop w:val="0"/>
                                          <w:marBottom w:val="0"/>
                                          <w:divBdr>
                                            <w:top w:val="none" w:sz="0" w:space="0" w:color="auto"/>
                                            <w:left w:val="none" w:sz="0" w:space="0" w:color="auto"/>
                                            <w:bottom w:val="none" w:sz="0" w:space="0" w:color="auto"/>
                                            <w:right w:val="none" w:sz="0" w:space="0" w:color="auto"/>
                                          </w:divBdr>
                                          <w:divsChild>
                                            <w:div w:id="1959601774">
                                              <w:marLeft w:val="0"/>
                                              <w:marRight w:val="0"/>
                                              <w:marTop w:val="0"/>
                                              <w:marBottom w:val="0"/>
                                              <w:divBdr>
                                                <w:top w:val="none" w:sz="0" w:space="0" w:color="auto"/>
                                                <w:left w:val="none" w:sz="0" w:space="0" w:color="auto"/>
                                                <w:bottom w:val="none" w:sz="0" w:space="0" w:color="auto"/>
                                                <w:right w:val="none" w:sz="0" w:space="0" w:color="auto"/>
                                              </w:divBdr>
                                              <w:divsChild>
                                                <w:div w:id="6734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474174">
      <w:bodyDiv w:val="1"/>
      <w:marLeft w:val="0"/>
      <w:marRight w:val="0"/>
      <w:marTop w:val="0"/>
      <w:marBottom w:val="0"/>
      <w:divBdr>
        <w:top w:val="none" w:sz="0" w:space="0" w:color="auto"/>
        <w:left w:val="none" w:sz="0" w:space="0" w:color="auto"/>
        <w:bottom w:val="none" w:sz="0" w:space="0" w:color="auto"/>
        <w:right w:val="none" w:sz="0" w:space="0" w:color="auto"/>
      </w:divBdr>
    </w:div>
    <w:div w:id="1606307480">
      <w:bodyDiv w:val="1"/>
      <w:marLeft w:val="0"/>
      <w:marRight w:val="0"/>
      <w:marTop w:val="0"/>
      <w:marBottom w:val="0"/>
      <w:divBdr>
        <w:top w:val="none" w:sz="0" w:space="0" w:color="auto"/>
        <w:left w:val="none" w:sz="0" w:space="0" w:color="auto"/>
        <w:bottom w:val="none" w:sz="0" w:space="0" w:color="auto"/>
        <w:right w:val="none" w:sz="0" w:space="0" w:color="auto"/>
      </w:divBdr>
    </w:div>
    <w:div w:id="1742603264">
      <w:bodyDiv w:val="1"/>
      <w:marLeft w:val="0"/>
      <w:marRight w:val="0"/>
      <w:marTop w:val="0"/>
      <w:marBottom w:val="0"/>
      <w:divBdr>
        <w:top w:val="none" w:sz="0" w:space="0" w:color="auto"/>
        <w:left w:val="none" w:sz="0" w:space="0" w:color="auto"/>
        <w:bottom w:val="none" w:sz="0" w:space="0" w:color="auto"/>
        <w:right w:val="none" w:sz="0" w:space="0" w:color="auto"/>
      </w:divBdr>
    </w:div>
    <w:div w:id="19448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icm.org/Portals/12/Documents/meetings/OEWG3/inf/OEWG3-INF-10-WHO-Road-map-Network-.pdf" TargetMode="External"/><Relationship Id="rId18" Type="http://schemas.openxmlformats.org/officeDocument/2006/relationships/hyperlink" Target="https://www.who.int/ipcs/publications/chemicals-public-health-impact/en/" TargetMode="External"/><Relationship Id="rId26" Type="http://schemas.openxmlformats.org/officeDocument/2006/relationships/hyperlink" Target="https://openknowledge.worldbank.org/handle/10986/30317" TargetMode="External"/><Relationship Id="rId3" Type="http://schemas.openxmlformats.org/officeDocument/2006/relationships/styles" Target="styles.xml"/><Relationship Id="rId21" Type="http://schemas.openxmlformats.org/officeDocument/2006/relationships/hyperlink" Target="http://www.euro.who.int/__data/assets/pdf_file/0004/374917/Circular-Economy_EN_WHO_web_august-2018.pdf?ua=1" TargetMode="External"/><Relationship Id="rId7" Type="http://schemas.openxmlformats.org/officeDocument/2006/relationships/footnotes" Target="footnotes.xml"/><Relationship Id="rId12" Type="http://schemas.openxmlformats.org/officeDocument/2006/relationships/hyperlink" Target="http://www.saicm.org/Portals/12/Documents/meetings/OEWG3/inf/OEWG3-INF-26-health-strategy-.pdf" TargetMode="External"/><Relationship Id="rId17" Type="http://schemas.openxmlformats.org/officeDocument/2006/relationships/hyperlink" Target="http://www.saicm.org" TargetMode="External"/><Relationship Id="rId25" Type="http://schemas.openxmlformats.org/officeDocument/2006/relationships/hyperlink" Target="http://www.un.org/en/ga/search/view_doc.asp?symbol=A/RES/73/2"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saicm.org/Portals/12/documents/meetings/IP4/INF/SAICM_IP4_INF_6.pdf" TargetMode="External"/><Relationship Id="rId20" Type="http://schemas.openxmlformats.org/officeDocument/2006/relationships/hyperlink" Target="http://apps.who.int/gb/ebwha/pdf_files/WHA72/A72_15-e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im.org" TargetMode="External"/><Relationship Id="rId24" Type="http://schemas.openxmlformats.org/officeDocument/2006/relationships/hyperlink" Target="https://papersmart.unon.org/resolution/uploads/k1900123.pdf"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saicm.org/Portals/12/documents/meetings/IP4/INF/SAICM_IP4_INF_15_TWG_FINAL.pdf" TargetMode="External"/><Relationship Id="rId23" Type="http://schemas.openxmlformats.org/officeDocument/2006/relationships/hyperlink" Target="https://wedocs.unep.org/bitstream/handle/20.500.11822/28113/GCOII.pdf?sequence=1&amp;isAllowed=y" TargetMode="External"/><Relationship Id="rId28" Type="http://schemas.openxmlformats.org/officeDocument/2006/relationships/footer" Target="footer1.xml"/><Relationship Id="rId10" Type="http://schemas.openxmlformats.org/officeDocument/2006/relationships/hyperlink" Target="https://www.who.int/health-topics/chemical-safety" TargetMode="External"/><Relationship Id="rId19" Type="http://schemas.openxmlformats.org/officeDocument/2006/relationships/hyperlink" Target="https://apps.who.int/iris/bitstream/handle/10665/279001/WHO-CED-PHE-EPE-18.09-eng.pdf?ua=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pps.who.int/gb/ebwha/pdf_files/WHA69/A69_R4-en.pdf?ua=1" TargetMode="External"/><Relationship Id="rId14" Type="http://schemas.openxmlformats.org/officeDocument/2006/relationships/hyperlink" Target="http://www.saicm.org/Portals/12/documents/meetings/IP4/Docs/SAICM_IP4_3_Proposed-targets-TWG-SAICM-smcw-beyond-2020.pdf" TargetMode="External"/><Relationship Id="rId22" Type="http://schemas.openxmlformats.org/officeDocument/2006/relationships/hyperlink" Target="https://www.unenvironment.org/explore-topics/chemicals-waste/what-we-do/policy-and-governance/global-chemicals-outlook"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gb/ebwha/pdf_files/WHA69/A69_R4-en.pdf?ua=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A3C2-FB5A-4C33-9953-8D0C46E5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2359</Words>
  <Characters>14160</Characters>
  <Application>Microsoft Office Word</Application>
  <DocSecurity>0</DocSecurity>
  <Lines>118</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2020-10-14T13:56:00Z</dcterms:created>
  <dcterms:modified xsi:type="dcterms:W3CDTF">2020-10-14T13:56:00Z</dcterms:modified>
</cp:coreProperties>
</file>