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7D94BD" w14:textId="34107EFB" w:rsidR="00BF5335" w:rsidRPr="004E0F64" w:rsidRDefault="00500172" w:rsidP="00BF5335">
      <w:pPr>
        <w:pStyle w:val="Title"/>
      </w:pPr>
      <w:r>
        <w:t>Anexo 1</w:t>
      </w:r>
    </w:p>
    <w:p w14:paraId="3656A9E7" w14:textId="04006372" w:rsidR="00E94CF1" w:rsidRPr="004E0F64" w:rsidRDefault="002C0C53" w:rsidP="00BF5335">
      <w:pPr>
        <w:pStyle w:val="Title"/>
      </w:pPr>
      <w:r>
        <w:t>Avaliação das capacidades institucionais</w:t>
      </w:r>
    </w:p>
    <w:p w14:paraId="69248DB0" w14:textId="2B6B1CC8" w:rsidR="002C0C53" w:rsidRPr="004E0F64" w:rsidRDefault="002C0C53" w:rsidP="00BF5335">
      <w:pPr>
        <w:pStyle w:val="Title"/>
      </w:pPr>
      <w:r>
        <w:t>Quadro metodológico</w:t>
      </w:r>
    </w:p>
    <w:p w14:paraId="3623EB5D" w14:textId="1B092435" w:rsidR="00E94CF1" w:rsidRPr="00693765" w:rsidRDefault="00E94CF1" w:rsidP="00350586">
      <w:pPr>
        <w:rPr>
          <w:lang w:eastAsia="ja-JP"/>
        </w:rPr>
      </w:pPr>
    </w:p>
    <w:p w14:paraId="2651074C" w14:textId="77777777" w:rsidR="00BF5335" w:rsidRPr="00693765" w:rsidRDefault="00BF5335" w:rsidP="00BF5335">
      <w:pPr>
        <w:rPr>
          <w:lang w:eastAsia="ja-JP"/>
        </w:rPr>
      </w:pPr>
    </w:p>
    <w:p w14:paraId="0D91B712" w14:textId="77777777" w:rsidR="00BF5335" w:rsidRPr="00693765" w:rsidRDefault="00BF5335" w:rsidP="00BF5335">
      <w:pPr>
        <w:rPr>
          <w:lang w:eastAsia="ja-JP"/>
        </w:rPr>
      </w:pPr>
    </w:p>
    <w:p w14:paraId="09BE6D82" w14:textId="3EFC0D4D" w:rsidR="002C0C53" w:rsidRPr="004E0F64" w:rsidRDefault="002C0C53" w:rsidP="00BF5335">
      <w:pPr>
        <w:rPr>
          <w:rFonts w:eastAsia="Times New Roman"/>
          <w:color w:val="000000"/>
        </w:rPr>
      </w:pPr>
      <w:r>
        <w:rPr>
          <w:color w:val="000000"/>
        </w:rPr>
        <w:t>Este documento descreve o quadro metodológico usado para avaliar as capacidades institucionais do sistema de saúde central para abordar questões de saúde no setor da extração de ouro artesanal e em pequena escala.</w:t>
      </w:r>
    </w:p>
    <w:p w14:paraId="6E469F92" w14:textId="5F7A1B11" w:rsidR="005B737D" w:rsidRPr="004E0F64" w:rsidRDefault="005B737D" w:rsidP="005B737D">
      <w:pPr>
        <w:rPr>
          <w:rFonts w:eastAsia="Times New Roman"/>
          <w:color w:val="000000"/>
        </w:rPr>
      </w:pPr>
      <w:r>
        <w:rPr>
          <w:color w:val="000000"/>
        </w:rPr>
        <w:t xml:space="preserve">A análise dos resultados da avaliação irá fornecer evidências que irão servir de base ao desenvolvimento de uma estratégia de saúde pública para o setor da ASGM. Essa estratégia será incluída no plano nacional de ação, tal como exigido pela Convenção de Minamata sobre o Mercúrio. </w:t>
      </w:r>
    </w:p>
    <w:p w14:paraId="48BEBB6D" w14:textId="14454AE9" w:rsidR="00E94CF1" w:rsidRPr="004E0F64" w:rsidRDefault="002C0C53" w:rsidP="00BF5335">
      <w:pPr>
        <w:pStyle w:val="Normalitalic"/>
      </w:pPr>
      <w:r>
        <w:t xml:space="preserve">Testado no Gana, Moçambique e Nigéria. </w:t>
      </w:r>
    </w:p>
    <w:p w14:paraId="01C10B4B" w14:textId="77777777" w:rsidR="00350586" w:rsidRPr="00693765" w:rsidRDefault="00350586" w:rsidP="00350586">
      <w:pPr>
        <w:rPr>
          <w:i/>
          <w:lang w:eastAsia="ja-JP"/>
        </w:rPr>
      </w:pPr>
    </w:p>
    <w:p w14:paraId="0DFF6193" w14:textId="77777777" w:rsidR="00350586" w:rsidRPr="004E0F64" w:rsidRDefault="00350586" w:rsidP="00350586">
      <w:pPr>
        <w:spacing w:after="0"/>
        <w:rPr>
          <w:rFonts w:eastAsia="Times New Roman"/>
          <w:b/>
          <w:bCs/>
          <w:kern w:val="32"/>
          <w:sz w:val="28"/>
          <w:szCs w:val="28"/>
        </w:rPr>
      </w:pPr>
      <w:r>
        <w:br w:type="page"/>
      </w:r>
    </w:p>
    <w:p w14:paraId="5FA49835" w14:textId="6DE89094" w:rsidR="002C0C53" w:rsidRPr="004E0F64" w:rsidRDefault="002C0C53" w:rsidP="009816B5">
      <w:pPr>
        <w:pStyle w:val="Heading1"/>
      </w:pPr>
      <w:r>
        <w:lastRenderedPageBreak/>
        <w:t xml:space="preserve">Objetivo </w:t>
      </w:r>
    </w:p>
    <w:p w14:paraId="5CE09CD4" w14:textId="2DBEE938" w:rsidR="00B878C2" w:rsidRPr="004E0F64" w:rsidRDefault="00B878C2" w:rsidP="009816B5">
      <w:r>
        <w:t xml:space="preserve">A Convenção de Minamata sobre o Mercúrio é um tratado internacional que entrou em vigor em 2017 com o objetivo de proteger a saúde humana e o ambiente de emissões e libertações antropogénicas de mercúrio e compostos de mercúrio </w:t>
      </w:r>
      <w:r>
        <w:rPr>
          <w:i/>
        </w:rPr>
        <w:t>(1)</w:t>
      </w:r>
      <w:r>
        <w:t xml:space="preserve">. Todos os países que ratificaram a Convenção de Minamata (doravante denominados "Partes" da Convenção) e que notificaram formalmente o Secretariado da Convenção de Minamata de que existem atividades de ASGM "mais do que insignificantes" no seu território estão obrigados a desenvolver um plano nacional de ação (PNA) onde descrevem a abordagem utilizada para reduzir e, se possível, eliminar a utilização e as emissões de mercúrio no âmbito da ASGM. A Resolução WHA67.11 (2014) da Assembleia Mundial da Saúde apela ao Secretariado da Organização Mundial da Saúde (OMS) para que ajude os ministérios da saúde a cumprirem as suas obrigações ao abrigo da Convenção de Minamata sobre o Mercúrio. A OMS oferece orientações, cria instrumentos e fornece materiais de formação para ajudar os Estados-membros da OMS nesse sentido </w:t>
      </w:r>
      <w:r>
        <w:rPr>
          <w:i/>
        </w:rPr>
        <w:t>(2)</w:t>
      </w:r>
      <w:r>
        <w:t>.</w:t>
      </w:r>
    </w:p>
    <w:p w14:paraId="0F865B1D" w14:textId="39B0D09F" w:rsidR="002C0C53" w:rsidRPr="004E0F64" w:rsidRDefault="002C0C53" w:rsidP="009816B5">
      <w:r>
        <w:t>A avaliação das capacidades institucionais será realizada com o objetivo de determinar áreas prioritárias de importância significativa que devam ser tidas em consideração para a componente de estratégia de saúde pública do PNA de cada país sobre a ASGM. As principais questões orientadoras da avaliação das capacidades institucionais são as seguintes:</w:t>
      </w:r>
    </w:p>
    <w:p w14:paraId="3062225B" w14:textId="0FBE7FBB" w:rsidR="002C0C53" w:rsidRPr="004E0F64" w:rsidRDefault="002C0C53" w:rsidP="0010370D">
      <w:pPr>
        <w:pStyle w:val="Bulletlist"/>
      </w:pPr>
      <w:r>
        <w:t>Em que medida foram implementados regulamentos, políticas, estruturas e processos existentes a nível nacional e subnacional a fim de dar resposta aos problemas de saúde associados à ASGM?</w:t>
      </w:r>
    </w:p>
    <w:p w14:paraId="3FCCC717" w14:textId="475EC68C" w:rsidR="002C0C53" w:rsidRPr="004E0F64" w:rsidRDefault="002C0C53" w:rsidP="0010370D">
      <w:pPr>
        <w:pStyle w:val="Bulletlist"/>
      </w:pPr>
      <w:r>
        <w:t>As capacidades institucionais atuais dos ministérios da saúde e de outras entidades essenciais são suficientes para lidar com problemas de saúde no contexto na ASGM? Em que medida?</w:t>
      </w:r>
    </w:p>
    <w:p w14:paraId="2DFE8284" w14:textId="37673FDD" w:rsidR="002C0C53" w:rsidRPr="004E0F64" w:rsidRDefault="002C0C53" w:rsidP="0010370D">
      <w:pPr>
        <w:pStyle w:val="Bulletlist"/>
      </w:pPr>
      <w:r>
        <w:t>Quais são os pontos fortes e as oportunidades de melhoria das capacidades existentes e que desafios têm de ser enfrentados?</w:t>
      </w:r>
    </w:p>
    <w:p w14:paraId="4CBD034F" w14:textId="6E962AD1" w:rsidR="002C0C53" w:rsidRPr="004E0F64" w:rsidRDefault="002C0C53" w:rsidP="0086238E">
      <w:r>
        <w:t>De acordo com a Convenção de Minamata, é expectável que a estratégia de saúde pública para o setor da ASGM aborde três aspetos principais:</w:t>
      </w:r>
    </w:p>
    <w:p w14:paraId="0A34C79E" w14:textId="11F57DCD" w:rsidR="002C0C53" w:rsidRPr="004E0F64" w:rsidRDefault="002C0C53" w:rsidP="0086238E">
      <w:pPr>
        <w:pStyle w:val="Bulletlist"/>
      </w:pPr>
      <w:r>
        <w:rPr>
          <w:b/>
        </w:rPr>
        <w:t>Recolha de dados relativos à saúde.</w:t>
      </w:r>
      <w:r>
        <w:t xml:space="preserve"> Assumir uma abordagem integrada de saúde pública para a recolha de dados não limitada a dados de saúde relacionados com o mercúrio, mas sim abrangendo o estado de saúde pública geral da comunidade.</w:t>
      </w:r>
    </w:p>
    <w:p w14:paraId="25DAAAAD" w14:textId="11E7EE47" w:rsidR="002C0C53" w:rsidRPr="004E0F64" w:rsidRDefault="002C0C53" w:rsidP="0086238E">
      <w:pPr>
        <w:pStyle w:val="Bulletlist"/>
      </w:pPr>
      <w:r>
        <w:rPr>
          <w:b/>
        </w:rPr>
        <w:t>Formação dos profissionais de saúde.</w:t>
      </w:r>
      <w:r>
        <w:t xml:space="preserve"> Muitas vezes os profissionais de saúde desconhecem os efeitos do mercúrio e não conseguem identificar, diagnosticar e tratar os casos de intoxicação por mercúrio. Os sistemas de saúde devem dispor de protocolos de tratamento em vigor para os efeitos do mercúrio na saúde, incluindo a exposição ao mercúrio no âmbito de atividades de ASGM.</w:t>
      </w:r>
    </w:p>
    <w:p w14:paraId="50D2841E" w14:textId="77777777" w:rsidR="002C0C53" w:rsidRPr="004E0F64" w:rsidRDefault="002C0C53" w:rsidP="0086238E">
      <w:pPr>
        <w:pStyle w:val="Bulletlist"/>
      </w:pPr>
      <w:r>
        <w:rPr>
          <w:b/>
        </w:rPr>
        <w:t>Campanhas de sensibilização e educação entre os mineiros.</w:t>
      </w:r>
      <w:r>
        <w:t xml:space="preserve"> As estruturas de cuidados de saúde existentes, já integradas nas comunidades e merecedoras da sua confiança, podem providenciar uma plataforma disponível para sensibilizar as pessoas para o mercúrio e seus perigos.</w:t>
      </w:r>
    </w:p>
    <w:p w14:paraId="5E9493BB" w14:textId="4CFB50B5" w:rsidR="002C0C53" w:rsidRPr="004E0F64" w:rsidRDefault="002C0C53" w:rsidP="0086238E">
      <w:r>
        <w:lastRenderedPageBreak/>
        <w:t> Além disso, o envolvimento intersetorial eficaz entre o setor da saúde e outros ministérios e agências relevantes é considerado essencial para garantir a implementação eficaz das medidas que visam abordar os impactos para a saúde pública da exposição ao mercúrio no setor da ASGM. Garantir que as questões da área da saúde são adequadamente abordadas servirá de base à implementação de medidas previstas para outras áreas.</w:t>
      </w:r>
    </w:p>
    <w:p w14:paraId="2AE164E1" w14:textId="77777777" w:rsidR="002C0C53" w:rsidRPr="004E0F64" w:rsidRDefault="002C0C53" w:rsidP="009816B5">
      <w:pPr>
        <w:pStyle w:val="Heading1"/>
      </w:pPr>
      <w:bookmarkStart w:id="0" w:name="_Toc23869724"/>
      <w:r>
        <w:t>Quadro metodológico</w:t>
      </w:r>
      <w:bookmarkEnd w:id="0"/>
    </w:p>
    <w:p w14:paraId="23E7CEA7" w14:textId="38C47BA5" w:rsidR="002C0C53" w:rsidRDefault="002C0C53" w:rsidP="0086238E">
      <w:r>
        <w:t>O quadro metodológico baseia-se em três componentes que se complementam: em primeiro lugar, a operacionalização das instituições (dimensões institucionais, eixo horizontal); em segundo lugar, o agrupamento de temas de saúde relevantes (áreas prioritárias, eixo vertical); e em terceiro lugar, os indicadores que permitem avaliar cada componente institucional específico por tópico (indicadores relevantes, células).</w:t>
      </w:r>
    </w:p>
    <w:p w14:paraId="39B587DC" w14:textId="77777777" w:rsidR="001A3384" w:rsidRPr="00BF5335" w:rsidRDefault="001A3384" w:rsidP="001A3384">
      <w:pPr>
        <w:pStyle w:val="Tablehead"/>
      </w:pPr>
      <w:r>
        <w:t> Tabela 1. Estruturação do quadro metodológico</w:t>
      </w:r>
    </w:p>
    <w:tbl>
      <w:tblPr>
        <w:tblW w:w="9215" w:type="dxa"/>
        <w:jc w:val="center"/>
        <w:tblBorders>
          <w:top w:val="single" w:sz="8" w:space="0" w:color="7B7B7B"/>
          <w:left w:val="single" w:sz="8" w:space="0" w:color="7B7B7B"/>
          <w:bottom w:val="single" w:sz="8" w:space="0" w:color="7B7B7B"/>
          <w:right w:val="single" w:sz="8" w:space="0" w:color="7B7B7B"/>
          <w:insideH w:val="single" w:sz="8" w:space="0" w:color="7B7B7B"/>
          <w:insideV w:val="single" w:sz="8" w:space="0" w:color="7B7B7B"/>
        </w:tblBorders>
        <w:tblCellMar>
          <w:top w:w="15" w:type="dxa"/>
          <w:left w:w="15" w:type="dxa"/>
          <w:bottom w:w="15" w:type="dxa"/>
          <w:right w:w="15" w:type="dxa"/>
        </w:tblCellMar>
        <w:tblLook w:val="04A0" w:firstRow="1" w:lastRow="0" w:firstColumn="1" w:lastColumn="0" w:noHBand="0" w:noVBand="1"/>
      </w:tblPr>
      <w:tblGrid>
        <w:gridCol w:w="3403"/>
        <w:gridCol w:w="1937"/>
        <w:gridCol w:w="1937"/>
        <w:gridCol w:w="1938"/>
      </w:tblGrid>
      <w:tr w:rsidR="001A3384" w:rsidRPr="0086238E" w14:paraId="0AFACC32" w14:textId="77777777" w:rsidTr="002670CE">
        <w:trPr>
          <w:trHeight w:val="518"/>
          <w:jc w:val="center"/>
        </w:trPr>
        <w:tc>
          <w:tcPr>
            <w:tcW w:w="3403" w:type="dxa"/>
            <w:tcBorders>
              <w:top w:val="single" w:sz="8" w:space="0" w:color="000000"/>
              <w:left w:val="single" w:sz="8" w:space="0" w:color="000000"/>
              <w:bottom w:val="single" w:sz="8" w:space="0" w:color="FFFFFF"/>
              <w:right w:val="single" w:sz="8" w:space="0" w:color="FFFFFF"/>
              <w:tl2br w:val="single" w:sz="8" w:space="0" w:color="FFFFFF"/>
            </w:tcBorders>
            <w:shd w:val="clear" w:color="auto" w:fill="000000"/>
            <w:tcMar>
              <w:top w:w="100" w:type="dxa"/>
              <w:left w:w="100" w:type="dxa"/>
              <w:bottom w:w="100" w:type="dxa"/>
              <w:right w:w="100" w:type="dxa"/>
            </w:tcMar>
            <w:vAlign w:val="center"/>
            <w:hideMark/>
          </w:tcPr>
          <w:p w14:paraId="0429DC3E" w14:textId="77777777" w:rsidR="001A3384" w:rsidRPr="0086238E" w:rsidRDefault="001A3384" w:rsidP="002670CE">
            <w:pPr>
              <w:pStyle w:val="Tabletext"/>
              <w:jc w:val="right"/>
              <w:rPr>
                <w:sz w:val="20"/>
                <w:szCs w:val="20"/>
              </w:rPr>
            </w:pPr>
            <w:r>
              <w:rPr>
                <w:sz w:val="20"/>
              </w:rPr>
              <w:tab/>
              <w:t>Dimensões institucionais</w:t>
            </w:r>
            <w:r>
              <w:rPr>
                <w:sz w:val="20"/>
              </w:rPr>
              <w:tab/>
            </w:r>
            <w:r>
              <w:rPr>
                <w:sz w:val="20"/>
              </w:rPr>
              <w:tab/>
            </w:r>
          </w:p>
          <w:p w14:paraId="54F2D76A" w14:textId="77777777" w:rsidR="001A3384" w:rsidRPr="0086238E" w:rsidRDefault="001A3384" w:rsidP="002670CE">
            <w:pPr>
              <w:pStyle w:val="Tabletext"/>
              <w:rPr>
                <w:sz w:val="20"/>
                <w:szCs w:val="20"/>
              </w:rPr>
            </w:pPr>
            <w:r>
              <w:rPr>
                <w:sz w:val="20"/>
              </w:rPr>
              <w:t>Áreas prioritárias</w:t>
            </w:r>
          </w:p>
        </w:tc>
        <w:tc>
          <w:tcPr>
            <w:tcW w:w="1937" w:type="dxa"/>
            <w:tcBorders>
              <w:left w:val="single" w:sz="8" w:space="0" w:color="FFFFFF"/>
            </w:tcBorders>
            <w:shd w:val="clear" w:color="auto" w:fill="FFFFFF"/>
            <w:tcMar>
              <w:top w:w="100" w:type="dxa"/>
              <w:left w:w="100" w:type="dxa"/>
              <w:bottom w:w="100" w:type="dxa"/>
              <w:right w:w="100" w:type="dxa"/>
            </w:tcMar>
            <w:vAlign w:val="center"/>
            <w:hideMark/>
          </w:tcPr>
          <w:p w14:paraId="033EF3C0" w14:textId="77777777" w:rsidR="001A3384" w:rsidRPr="0086238E" w:rsidRDefault="001A3384" w:rsidP="002670CE">
            <w:pPr>
              <w:pStyle w:val="Tabletext"/>
              <w:rPr>
                <w:b/>
                <w:color w:val="000000"/>
                <w:sz w:val="20"/>
                <w:szCs w:val="20"/>
              </w:rPr>
            </w:pPr>
            <w:r>
              <w:rPr>
                <w:b/>
                <w:color w:val="000000"/>
                <w:sz w:val="20"/>
              </w:rPr>
              <w:t>Configuração regulamentar e ao nível das políticas</w:t>
            </w:r>
          </w:p>
        </w:tc>
        <w:tc>
          <w:tcPr>
            <w:tcW w:w="1937" w:type="dxa"/>
            <w:shd w:val="clear" w:color="auto" w:fill="FFFFFF"/>
            <w:tcMar>
              <w:top w:w="100" w:type="dxa"/>
              <w:left w:w="100" w:type="dxa"/>
              <w:bottom w:w="100" w:type="dxa"/>
              <w:right w:w="100" w:type="dxa"/>
            </w:tcMar>
            <w:vAlign w:val="center"/>
            <w:hideMark/>
          </w:tcPr>
          <w:p w14:paraId="2119B1FE" w14:textId="77777777" w:rsidR="001A3384" w:rsidRPr="0086238E" w:rsidRDefault="001A3384" w:rsidP="002670CE">
            <w:pPr>
              <w:pStyle w:val="Tabletext"/>
              <w:rPr>
                <w:b/>
                <w:color w:val="000000"/>
                <w:sz w:val="20"/>
                <w:szCs w:val="20"/>
              </w:rPr>
            </w:pPr>
            <w:r>
              <w:rPr>
                <w:b/>
                <w:color w:val="000000"/>
                <w:sz w:val="20"/>
              </w:rPr>
              <w:t>Configuração ao nível das estruturas</w:t>
            </w:r>
          </w:p>
        </w:tc>
        <w:tc>
          <w:tcPr>
            <w:tcW w:w="1938" w:type="dxa"/>
            <w:shd w:val="clear" w:color="auto" w:fill="FFFFFF"/>
            <w:tcMar>
              <w:top w:w="100" w:type="dxa"/>
              <w:left w:w="100" w:type="dxa"/>
              <w:bottom w:w="100" w:type="dxa"/>
              <w:right w:w="100" w:type="dxa"/>
            </w:tcMar>
            <w:vAlign w:val="center"/>
            <w:hideMark/>
          </w:tcPr>
          <w:p w14:paraId="71CE1B50" w14:textId="77777777" w:rsidR="001A3384" w:rsidRPr="0086238E" w:rsidRDefault="001A3384" w:rsidP="002670CE">
            <w:pPr>
              <w:pStyle w:val="Tabletext"/>
              <w:rPr>
                <w:b/>
                <w:color w:val="000000"/>
                <w:sz w:val="20"/>
                <w:szCs w:val="20"/>
              </w:rPr>
            </w:pPr>
            <w:r>
              <w:rPr>
                <w:b/>
                <w:color w:val="000000"/>
                <w:sz w:val="20"/>
              </w:rPr>
              <w:t>Configuração procedimental e desempenho</w:t>
            </w:r>
          </w:p>
        </w:tc>
      </w:tr>
      <w:tr w:rsidR="001A3384" w:rsidRPr="0086238E" w14:paraId="14A06BCB" w14:textId="77777777" w:rsidTr="002670CE">
        <w:trPr>
          <w:trHeight w:val="396"/>
          <w:jc w:val="center"/>
        </w:trPr>
        <w:tc>
          <w:tcPr>
            <w:tcW w:w="3403" w:type="dxa"/>
            <w:tcBorders>
              <w:top w:val="single" w:sz="8" w:space="0" w:color="FFFFFF"/>
            </w:tcBorders>
            <w:shd w:val="clear" w:color="auto" w:fill="8EAADB"/>
            <w:tcMar>
              <w:top w:w="100" w:type="dxa"/>
              <w:left w:w="100" w:type="dxa"/>
              <w:bottom w:w="100" w:type="dxa"/>
              <w:right w:w="100" w:type="dxa"/>
            </w:tcMar>
            <w:vAlign w:val="center"/>
            <w:hideMark/>
          </w:tcPr>
          <w:p w14:paraId="52783EA7" w14:textId="77777777" w:rsidR="001A3384" w:rsidRPr="0086238E" w:rsidRDefault="001A3384" w:rsidP="002670CE">
            <w:pPr>
              <w:pStyle w:val="Tabletext"/>
              <w:rPr>
                <w:sz w:val="20"/>
                <w:szCs w:val="20"/>
              </w:rPr>
            </w:pPr>
            <w:r>
              <w:rPr>
                <w:color w:val="000000"/>
                <w:sz w:val="20"/>
              </w:rPr>
              <w:t>Riscos para a saúde em comunidades ASGM</w:t>
            </w:r>
          </w:p>
        </w:tc>
        <w:tc>
          <w:tcPr>
            <w:tcW w:w="1937" w:type="dxa"/>
            <w:shd w:val="clear" w:color="auto" w:fill="8EAADB"/>
            <w:tcMar>
              <w:top w:w="100" w:type="dxa"/>
              <w:left w:w="100" w:type="dxa"/>
              <w:bottom w:w="100" w:type="dxa"/>
              <w:right w:w="100" w:type="dxa"/>
            </w:tcMar>
            <w:vAlign w:val="center"/>
            <w:hideMark/>
          </w:tcPr>
          <w:p w14:paraId="6A08781D" w14:textId="77777777" w:rsidR="001A3384" w:rsidRPr="0086238E" w:rsidRDefault="001A3384" w:rsidP="002670CE">
            <w:pPr>
              <w:pStyle w:val="Tabletext"/>
              <w:rPr>
                <w:sz w:val="20"/>
                <w:szCs w:val="20"/>
              </w:rPr>
            </w:pPr>
            <w:r>
              <w:rPr>
                <w:color w:val="000000"/>
                <w:sz w:val="20"/>
              </w:rPr>
              <w:t xml:space="preserve">Indicadores relevantes </w:t>
            </w:r>
          </w:p>
        </w:tc>
        <w:tc>
          <w:tcPr>
            <w:tcW w:w="1937" w:type="dxa"/>
            <w:shd w:val="clear" w:color="auto" w:fill="8EAADB"/>
            <w:tcMar>
              <w:top w:w="100" w:type="dxa"/>
              <w:left w:w="100" w:type="dxa"/>
              <w:bottom w:w="100" w:type="dxa"/>
              <w:right w:w="100" w:type="dxa"/>
            </w:tcMar>
            <w:vAlign w:val="center"/>
            <w:hideMark/>
          </w:tcPr>
          <w:p w14:paraId="61F4DC81" w14:textId="77777777" w:rsidR="001A3384" w:rsidRPr="0086238E" w:rsidRDefault="001A3384" w:rsidP="002670CE">
            <w:pPr>
              <w:pStyle w:val="Tabletext"/>
              <w:rPr>
                <w:sz w:val="20"/>
                <w:szCs w:val="20"/>
              </w:rPr>
            </w:pPr>
            <w:r>
              <w:rPr>
                <w:color w:val="000000"/>
                <w:sz w:val="20"/>
              </w:rPr>
              <w:t>Indicadores relevantes</w:t>
            </w:r>
          </w:p>
        </w:tc>
        <w:tc>
          <w:tcPr>
            <w:tcW w:w="1938" w:type="dxa"/>
            <w:shd w:val="clear" w:color="auto" w:fill="8EAADB"/>
            <w:tcMar>
              <w:top w:w="100" w:type="dxa"/>
              <w:left w:w="100" w:type="dxa"/>
              <w:bottom w:w="100" w:type="dxa"/>
              <w:right w:w="100" w:type="dxa"/>
            </w:tcMar>
            <w:vAlign w:val="center"/>
            <w:hideMark/>
          </w:tcPr>
          <w:p w14:paraId="09BC3741" w14:textId="77777777" w:rsidR="001A3384" w:rsidRPr="0086238E" w:rsidRDefault="001A3384" w:rsidP="002670CE">
            <w:pPr>
              <w:pStyle w:val="Tabletext"/>
              <w:rPr>
                <w:sz w:val="20"/>
                <w:szCs w:val="20"/>
              </w:rPr>
            </w:pPr>
            <w:r>
              <w:rPr>
                <w:color w:val="000000"/>
                <w:sz w:val="20"/>
              </w:rPr>
              <w:t>Indicadores relevantes</w:t>
            </w:r>
          </w:p>
        </w:tc>
      </w:tr>
      <w:tr w:rsidR="001A3384" w:rsidRPr="0086238E" w14:paraId="7249DEAB" w14:textId="77777777" w:rsidTr="002670CE">
        <w:trPr>
          <w:trHeight w:val="271"/>
          <w:jc w:val="center"/>
        </w:trPr>
        <w:tc>
          <w:tcPr>
            <w:tcW w:w="3403" w:type="dxa"/>
            <w:shd w:val="clear" w:color="auto" w:fill="FFD966"/>
            <w:tcMar>
              <w:top w:w="100" w:type="dxa"/>
              <w:left w:w="100" w:type="dxa"/>
              <w:bottom w:w="100" w:type="dxa"/>
              <w:right w:w="100" w:type="dxa"/>
            </w:tcMar>
            <w:vAlign w:val="center"/>
            <w:hideMark/>
          </w:tcPr>
          <w:p w14:paraId="6954008B" w14:textId="77777777" w:rsidR="001A3384" w:rsidRPr="0086238E" w:rsidRDefault="001A3384" w:rsidP="002670CE">
            <w:pPr>
              <w:pStyle w:val="Tabletext"/>
              <w:rPr>
                <w:sz w:val="20"/>
                <w:szCs w:val="20"/>
              </w:rPr>
            </w:pPr>
            <w:r>
              <w:rPr>
                <w:color w:val="000000"/>
                <w:sz w:val="20"/>
              </w:rPr>
              <w:t>Riscos em matéria de saúde no trabalho relacionados com a ASGM </w:t>
            </w:r>
          </w:p>
        </w:tc>
        <w:tc>
          <w:tcPr>
            <w:tcW w:w="1937" w:type="dxa"/>
            <w:shd w:val="clear" w:color="auto" w:fill="FFD966"/>
            <w:tcMar>
              <w:top w:w="100" w:type="dxa"/>
              <w:left w:w="100" w:type="dxa"/>
              <w:bottom w:w="100" w:type="dxa"/>
              <w:right w:w="100" w:type="dxa"/>
            </w:tcMar>
            <w:vAlign w:val="center"/>
            <w:hideMark/>
          </w:tcPr>
          <w:p w14:paraId="56A5BE5E" w14:textId="77777777" w:rsidR="001A3384" w:rsidRPr="0086238E" w:rsidRDefault="001A3384" w:rsidP="002670CE">
            <w:pPr>
              <w:pStyle w:val="Tabletext"/>
              <w:rPr>
                <w:i/>
                <w:iCs/>
                <w:sz w:val="20"/>
                <w:szCs w:val="20"/>
              </w:rPr>
            </w:pPr>
            <w:r>
              <w:rPr>
                <w:color w:val="000000"/>
                <w:sz w:val="20"/>
              </w:rPr>
              <w:t>Indicadores relevantes</w:t>
            </w:r>
          </w:p>
        </w:tc>
        <w:tc>
          <w:tcPr>
            <w:tcW w:w="1937" w:type="dxa"/>
            <w:shd w:val="clear" w:color="auto" w:fill="FFD966"/>
            <w:tcMar>
              <w:top w:w="100" w:type="dxa"/>
              <w:left w:w="100" w:type="dxa"/>
              <w:bottom w:w="100" w:type="dxa"/>
              <w:right w:w="100" w:type="dxa"/>
            </w:tcMar>
            <w:vAlign w:val="center"/>
            <w:hideMark/>
          </w:tcPr>
          <w:p w14:paraId="2F850F3D" w14:textId="77777777" w:rsidR="001A3384" w:rsidRPr="0086238E" w:rsidRDefault="001A3384" w:rsidP="002670CE">
            <w:pPr>
              <w:pStyle w:val="Tabletext"/>
              <w:rPr>
                <w:sz w:val="20"/>
                <w:szCs w:val="20"/>
              </w:rPr>
            </w:pPr>
            <w:r>
              <w:rPr>
                <w:color w:val="000000"/>
                <w:sz w:val="20"/>
              </w:rPr>
              <w:t>Indicadores relevantes</w:t>
            </w:r>
          </w:p>
        </w:tc>
        <w:tc>
          <w:tcPr>
            <w:tcW w:w="1938" w:type="dxa"/>
            <w:shd w:val="clear" w:color="auto" w:fill="FFD966"/>
            <w:tcMar>
              <w:top w:w="100" w:type="dxa"/>
              <w:left w:w="100" w:type="dxa"/>
              <w:bottom w:w="100" w:type="dxa"/>
              <w:right w:w="100" w:type="dxa"/>
            </w:tcMar>
            <w:vAlign w:val="center"/>
            <w:hideMark/>
          </w:tcPr>
          <w:p w14:paraId="1EA67100" w14:textId="77777777" w:rsidR="001A3384" w:rsidRPr="0086238E" w:rsidRDefault="001A3384" w:rsidP="002670CE">
            <w:pPr>
              <w:pStyle w:val="Tabletext"/>
              <w:rPr>
                <w:sz w:val="20"/>
                <w:szCs w:val="20"/>
              </w:rPr>
            </w:pPr>
            <w:r>
              <w:rPr>
                <w:color w:val="000000"/>
                <w:sz w:val="20"/>
              </w:rPr>
              <w:t>Indicadores relevantes</w:t>
            </w:r>
          </w:p>
        </w:tc>
      </w:tr>
      <w:tr w:rsidR="001A3384" w:rsidRPr="0086238E" w14:paraId="1E306173" w14:textId="77777777" w:rsidTr="002670CE">
        <w:trPr>
          <w:trHeight w:val="130"/>
          <w:jc w:val="center"/>
        </w:trPr>
        <w:tc>
          <w:tcPr>
            <w:tcW w:w="3403" w:type="dxa"/>
            <w:shd w:val="clear" w:color="auto" w:fill="A8D08D"/>
            <w:tcMar>
              <w:top w:w="100" w:type="dxa"/>
              <w:left w:w="100" w:type="dxa"/>
              <w:bottom w:w="100" w:type="dxa"/>
              <w:right w:w="100" w:type="dxa"/>
            </w:tcMar>
            <w:vAlign w:val="center"/>
            <w:hideMark/>
          </w:tcPr>
          <w:p w14:paraId="16F045E0" w14:textId="77777777" w:rsidR="001A3384" w:rsidRPr="0086238E" w:rsidRDefault="001A3384" w:rsidP="002670CE">
            <w:pPr>
              <w:pStyle w:val="Tabletext"/>
              <w:rPr>
                <w:color w:val="000000"/>
                <w:sz w:val="20"/>
                <w:szCs w:val="20"/>
              </w:rPr>
            </w:pPr>
            <w:r>
              <w:rPr>
                <w:color w:val="000000"/>
                <w:sz w:val="20"/>
              </w:rPr>
              <w:t>Riscos ambientais relacionados com a ASGM com implicações para a saúde </w:t>
            </w:r>
          </w:p>
        </w:tc>
        <w:tc>
          <w:tcPr>
            <w:tcW w:w="1937" w:type="dxa"/>
            <w:shd w:val="clear" w:color="auto" w:fill="A8D08D"/>
            <w:tcMar>
              <w:top w:w="100" w:type="dxa"/>
              <w:left w:w="100" w:type="dxa"/>
              <w:bottom w:w="100" w:type="dxa"/>
              <w:right w:w="100" w:type="dxa"/>
            </w:tcMar>
            <w:vAlign w:val="center"/>
            <w:hideMark/>
          </w:tcPr>
          <w:p w14:paraId="1AB570AD" w14:textId="77777777" w:rsidR="001A3384" w:rsidRPr="0086238E" w:rsidRDefault="001A3384" w:rsidP="002670CE">
            <w:pPr>
              <w:pStyle w:val="Tabletext"/>
              <w:rPr>
                <w:i/>
                <w:iCs/>
                <w:color w:val="000000"/>
                <w:sz w:val="20"/>
                <w:szCs w:val="20"/>
              </w:rPr>
            </w:pPr>
            <w:r>
              <w:rPr>
                <w:color w:val="000000"/>
                <w:sz w:val="20"/>
              </w:rPr>
              <w:t>Indicadores relevantes</w:t>
            </w:r>
          </w:p>
        </w:tc>
        <w:tc>
          <w:tcPr>
            <w:tcW w:w="1937" w:type="dxa"/>
            <w:shd w:val="clear" w:color="auto" w:fill="A8D08D"/>
            <w:tcMar>
              <w:top w:w="100" w:type="dxa"/>
              <w:left w:w="100" w:type="dxa"/>
              <w:bottom w:w="100" w:type="dxa"/>
              <w:right w:w="100" w:type="dxa"/>
            </w:tcMar>
            <w:vAlign w:val="center"/>
            <w:hideMark/>
          </w:tcPr>
          <w:p w14:paraId="3DB06F92" w14:textId="77777777" w:rsidR="001A3384" w:rsidRPr="0086238E" w:rsidRDefault="001A3384" w:rsidP="002670CE">
            <w:pPr>
              <w:pStyle w:val="Tabletext"/>
              <w:rPr>
                <w:sz w:val="20"/>
                <w:szCs w:val="20"/>
              </w:rPr>
            </w:pPr>
            <w:r>
              <w:rPr>
                <w:color w:val="000000"/>
                <w:sz w:val="20"/>
              </w:rPr>
              <w:t>Indicadores relevantes</w:t>
            </w:r>
          </w:p>
        </w:tc>
        <w:tc>
          <w:tcPr>
            <w:tcW w:w="1938" w:type="dxa"/>
            <w:shd w:val="clear" w:color="auto" w:fill="A8D08D"/>
            <w:tcMar>
              <w:top w:w="100" w:type="dxa"/>
              <w:left w:w="100" w:type="dxa"/>
              <w:bottom w:w="100" w:type="dxa"/>
              <w:right w:w="100" w:type="dxa"/>
            </w:tcMar>
            <w:vAlign w:val="center"/>
            <w:hideMark/>
          </w:tcPr>
          <w:p w14:paraId="34B4FBE5" w14:textId="77777777" w:rsidR="001A3384" w:rsidRPr="0086238E" w:rsidRDefault="001A3384" w:rsidP="002670CE">
            <w:pPr>
              <w:pStyle w:val="Tabletext"/>
              <w:rPr>
                <w:sz w:val="20"/>
                <w:szCs w:val="20"/>
              </w:rPr>
            </w:pPr>
            <w:r>
              <w:rPr>
                <w:color w:val="000000"/>
                <w:sz w:val="20"/>
              </w:rPr>
              <w:t>Indicadores relevantes</w:t>
            </w:r>
          </w:p>
        </w:tc>
      </w:tr>
      <w:tr w:rsidR="001A3384" w:rsidRPr="0086238E" w14:paraId="0B390E27" w14:textId="77777777" w:rsidTr="002670CE">
        <w:trPr>
          <w:trHeight w:val="489"/>
          <w:jc w:val="center"/>
        </w:trPr>
        <w:tc>
          <w:tcPr>
            <w:tcW w:w="3403" w:type="dxa"/>
            <w:shd w:val="clear" w:color="auto" w:fill="F4B083"/>
            <w:tcMar>
              <w:top w:w="100" w:type="dxa"/>
              <w:left w:w="100" w:type="dxa"/>
              <w:bottom w:w="100" w:type="dxa"/>
              <w:right w:w="100" w:type="dxa"/>
            </w:tcMar>
            <w:vAlign w:val="center"/>
            <w:hideMark/>
          </w:tcPr>
          <w:p w14:paraId="411749C6" w14:textId="77777777" w:rsidR="001A3384" w:rsidRPr="0086238E" w:rsidRDefault="001A3384" w:rsidP="002670CE">
            <w:pPr>
              <w:pStyle w:val="Tabletext"/>
              <w:rPr>
                <w:sz w:val="20"/>
                <w:szCs w:val="20"/>
              </w:rPr>
            </w:pPr>
            <w:r>
              <w:rPr>
                <w:color w:val="000000"/>
                <w:sz w:val="20"/>
              </w:rPr>
              <w:t>Gestão de substâncias químicas relacionada com a ASGM</w:t>
            </w:r>
          </w:p>
        </w:tc>
        <w:tc>
          <w:tcPr>
            <w:tcW w:w="1937" w:type="dxa"/>
            <w:shd w:val="clear" w:color="auto" w:fill="F4B083"/>
            <w:tcMar>
              <w:top w:w="100" w:type="dxa"/>
              <w:left w:w="100" w:type="dxa"/>
              <w:bottom w:w="100" w:type="dxa"/>
              <w:right w:w="100" w:type="dxa"/>
            </w:tcMar>
            <w:vAlign w:val="center"/>
            <w:hideMark/>
          </w:tcPr>
          <w:p w14:paraId="35761855" w14:textId="77777777" w:rsidR="001A3384" w:rsidRPr="0086238E" w:rsidRDefault="001A3384" w:rsidP="002670CE">
            <w:pPr>
              <w:pStyle w:val="Tabletext"/>
              <w:rPr>
                <w:color w:val="000000"/>
                <w:sz w:val="20"/>
                <w:szCs w:val="20"/>
              </w:rPr>
            </w:pPr>
            <w:r>
              <w:rPr>
                <w:color w:val="000000"/>
                <w:sz w:val="20"/>
              </w:rPr>
              <w:t>Indicadores relevantes</w:t>
            </w:r>
          </w:p>
        </w:tc>
        <w:tc>
          <w:tcPr>
            <w:tcW w:w="1937" w:type="dxa"/>
            <w:shd w:val="clear" w:color="auto" w:fill="F4B083"/>
            <w:tcMar>
              <w:top w:w="100" w:type="dxa"/>
              <w:left w:w="100" w:type="dxa"/>
              <w:bottom w:w="100" w:type="dxa"/>
              <w:right w:w="100" w:type="dxa"/>
            </w:tcMar>
            <w:vAlign w:val="center"/>
            <w:hideMark/>
          </w:tcPr>
          <w:p w14:paraId="0E9041D5" w14:textId="77777777" w:rsidR="001A3384" w:rsidRPr="0086238E" w:rsidRDefault="001A3384" w:rsidP="002670CE">
            <w:pPr>
              <w:pStyle w:val="Tabletext"/>
              <w:rPr>
                <w:sz w:val="20"/>
                <w:szCs w:val="20"/>
              </w:rPr>
            </w:pPr>
            <w:r>
              <w:rPr>
                <w:color w:val="000000"/>
                <w:sz w:val="20"/>
              </w:rPr>
              <w:t>Indicadores relevantes</w:t>
            </w:r>
          </w:p>
        </w:tc>
        <w:tc>
          <w:tcPr>
            <w:tcW w:w="1938" w:type="dxa"/>
            <w:shd w:val="clear" w:color="auto" w:fill="F4B083"/>
            <w:tcMar>
              <w:top w:w="100" w:type="dxa"/>
              <w:left w:w="100" w:type="dxa"/>
              <w:bottom w:w="100" w:type="dxa"/>
              <w:right w:w="100" w:type="dxa"/>
            </w:tcMar>
            <w:vAlign w:val="center"/>
            <w:hideMark/>
          </w:tcPr>
          <w:p w14:paraId="4F3A50C2" w14:textId="77777777" w:rsidR="001A3384" w:rsidRPr="0086238E" w:rsidRDefault="001A3384" w:rsidP="002670CE">
            <w:pPr>
              <w:pStyle w:val="Tabletext"/>
              <w:rPr>
                <w:sz w:val="20"/>
                <w:szCs w:val="20"/>
              </w:rPr>
            </w:pPr>
            <w:r>
              <w:rPr>
                <w:color w:val="000000"/>
                <w:sz w:val="20"/>
              </w:rPr>
              <w:t>Indicadores relevantes</w:t>
            </w:r>
          </w:p>
        </w:tc>
      </w:tr>
    </w:tbl>
    <w:p w14:paraId="09C3DB02" w14:textId="77777777" w:rsidR="001A3384" w:rsidRPr="004E0F64" w:rsidRDefault="001A3384" w:rsidP="0086238E">
      <w:pPr>
        <w:rPr>
          <w:lang w:val="en-GB" w:eastAsia="de-DE"/>
        </w:rPr>
      </w:pPr>
    </w:p>
    <w:p w14:paraId="1EBA5448" w14:textId="33A7A33B" w:rsidR="002C0C53" w:rsidRPr="004E0F64" w:rsidRDefault="00203BF1" w:rsidP="00350586">
      <w:pPr>
        <w:pStyle w:val="Heading2"/>
        <w:ind w:left="576" w:hanging="576"/>
      </w:pPr>
      <w:bookmarkStart w:id="1" w:name="_Toc23869725"/>
      <w:r>
        <w:t>2.1</w:t>
      </w:r>
      <w:r>
        <w:tab/>
        <w:t>Dimensões institucionais: definir e medir as capacidades institucionais</w:t>
      </w:r>
      <w:bookmarkEnd w:id="1"/>
    </w:p>
    <w:p w14:paraId="3A166BA2" w14:textId="556757AB" w:rsidR="002C0C53" w:rsidRPr="004E0F64" w:rsidRDefault="002C0C53" w:rsidP="00954DB1">
      <w:r>
        <w:t>O ponto de partida consiste em compreender o significado dos termos "capacidade" e "instituição".</w:t>
      </w:r>
    </w:p>
    <w:p w14:paraId="092BF547" w14:textId="1E51911E" w:rsidR="002C0C53" w:rsidRPr="004E0F64" w:rsidRDefault="00954DB1" w:rsidP="00954DB1">
      <w:r>
        <w:rPr>
          <w:b/>
        </w:rPr>
        <w:t xml:space="preserve">Capacidade. </w:t>
      </w:r>
      <w:r>
        <w:t xml:space="preserve">Não existe uma definição universal para o termo "capacidade". Neste documento, adotamos a definição das Nações Unidas, que entende por "capacidade" a "aptidão dos indivíduos, instituições e sociedades para executar funções, resolver problemas e estabelecer e alcançar objetivos de forma sustentável" </w:t>
      </w:r>
      <w:r>
        <w:rPr>
          <w:i/>
        </w:rPr>
        <w:t>(3)</w:t>
      </w:r>
      <w:r>
        <w:t xml:space="preserve">. </w:t>
      </w:r>
    </w:p>
    <w:p w14:paraId="5EF97D0B" w14:textId="36C6C105" w:rsidR="002C0C53" w:rsidRPr="004E0F64" w:rsidRDefault="00954DB1" w:rsidP="00954DB1">
      <w:r>
        <w:rPr>
          <w:b/>
        </w:rPr>
        <w:t xml:space="preserve">Instituição. </w:t>
      </w:r>
      <w:r>
        <w:t xml:space="preserve">Uma instituição "é composta por restrições humanamente concebidas que estruturam a interação humana. São compostas por restrições formais (regras, leis, constituições), restrições informais (normas de comportamento, convenções e códigos de conduta impostos voluntariamente) e pelas suas características de aplicação, um termo amplo </w:t>
      </w:r>
      <w:r>
        <w:lastRenderedPageBreak/>
        <w:t>que se considera abranger tanto as "regras do jogo" formais e informais que estruturam a interação humana em sociedade, como as características de aplicação de ambas"</w:t>
      </w:r>
      <w:r>
        <w:rPr>
          <w:i/>
        </w:rPr>
        <w:t xml:space="preserve"> (3)</w:t>
      </w:r>
      <w:r>
        <w:t>.</w:t>
      </w:r>
    </w:p>
    <w:p w14:paraId="1E7114A8" w14:textId="6F2E26EA" w:rsidR="002C0C53" w:rsidRPr="004E0F64" w:rsidRDefault="002C0C53" w:rsidP="00954DB1">
      <w:r>
        <w:t>Operacionalizar as instituições é torná-las acessíveis e funcionais. O processo de operacionalização possui normalmente três elementos principais: o nível regulamentar e das políticas, a estrutura e recursos organizacionais e a configuração procedimental específica. Neste caso, a avaliação foi conduzida a três níveis que se complementam:</w:t>
      </w:r>
    </w:p>
    <w:p w14:paraId="228E23AD" w14:textId="47031E28" w:rsidR="00FD5B2B" w:rsidRPr="004E0F64" w:rsidRDefault="00FD5B2B" w:rsidP="00FD5B2B">
      <w:pPr>
        <w:pStyle w:val="Normalboldhead"/>
      </w:pPr>
      <w:r>
        <w:t>1.</w:t>
      </w:r>
      <w:r>
        <w:tab/>
        <w:t>Configuração regulamentar e ao nível das políticas</w:t>
      </w:r>
    </w:p>
    <w:p w14:paraId="66281B77" w14:textId="7E33ED8F" w:rsidR="002C0C53" w:rsidRPr="004E0F64" w:rsidRDefault="002C0C53" w:rsidP="00FD5B2B">
      <w:r>
        <w:t>O aspeto institucional inclui as leis e os regulamentos que estabelecem a missão de uma entidade e que definem as suas responsabilidades, deveres, obrigações e poderes. Alguns dos tópicos abordados nesta dimensão são regulamentos e políticas sobre riscos químicos, tais como o mercúrio, o cianeto e químicos presentes na poeira e nos gases.</w:t>
      </w:r>
    </w:p>
    <w:p w14:paraId="5DA8C69C" w14:textId="464AA1C3" w:rsidR="00FD5B2B" w:rsidRPr="004E0F64" w:rsidRDefault="00FD5B2B" w:rsidP="00FD5B2B">
      <w:pPr>
        <w:pStyle w:val="Normalboldhead"/>
        <w:rPr>
          <w:bCs/>
        </w:rPr>
      </w:pPr>
      <w:r>
        <w:t>2.</w:t>
      </w:r>
      <w:r>
        <w:tab/>
        <w:t>Configuração ao nível das estruturas</w:t>
      </w:r>
    </w:p>
    <w:p w14:paraId="7C58AAA7" w14:textId="52646CB3" w:rsidR="002C0C53" w:rsidRPr="004E0F64" w:rsidRDefault="002C0C53" w:rsidP="00FD5B2B">
      <w:r>
        <w:t>A dimensão estrutural debruça-se sobre os aspetos organizacionais, ou seja, a forma como as organizações estão configuradas e estruturadas a fim de poderem cumprir o seu mandato e colocar em prática os seus objetivos. Esta dimensão também inclui questões relacionadas com recursos e pessoal (ou seja, saber se existe um número suficiente de colaboradores com capacidades adequadas, incluindo conhecimentos, competências e atitudes). Alguns dos temas abordados nesta dimensão dizem respeito às responsabilidades das unidades organizacionais e das equipas, à existência de unidades de saúde primária e hospitais e de equipamento técnico e laboratorial para diagnosticar, monitorizar e tratar problemas de saúde relacionados com a ASGM.</w:t>
      </w:r>
    </w:p>
    <w:p w14:paraId="382C7DD9" w14:textId="0502D858" w:rsidR="00FD5B2B" w:rsidRPr="004E0F64" w:rsidRDefault="00FD5B2B" w:rsidP="00FD5B2B">
      <w:pPr>
        <w:pStyle w:val="Normalboldhead"/>
        <w:rPr>
          <w:color w:val="auto"/>
        </w:rPr>
      </w:pPr>
      <w:r>
        <w:t>3.</w:t>
      </w:r>
      <w:r>
        <w:tab/>
        <w:t>Configuração procedimental e desempenho</w:t>
      </w:r>
    </w:p>
    <w:p w14:paraId="08BA3381" w14:textId="2AF6A17A" w:rsidR="002C0C53" w:rsidRPr="004E0F64" w:rsidRDefault="002C0C53" w:rsidP="00FD5B2B">
      <w:r>
        <w:t>Os requisitos procedimentais determinam a forma como são executadas funções críticas, como o planeamento estratégico e empresarial, a gestão do fluxo de trabalho, comunicação, orçamentação e controlo financeiro, elaboração de relatórios, gestão da monitorização e do desempenho e o recrutamento, remuneração, desenvolvimento profissional e retenção de pessoal. Inclui ainda a forma como as relações de trabalho são geridas entre ministérios, entre ministérios e outros organismos públicos e entre os diferentes níveis do governo central e descentralizado e a forma como coordenam atividades. Alguns dos temas abordados nesta dimensão dizem respeito aos mecanismos de resposta a emergências sanitárias, aos mecanismos de prevenção para tratamento dos riscos para a saúde relacionados com a ASGM e aos programas de formação destinados aos profissionais de saúde para a deteção, monitorização e tratamento de problemas de saúde relacionados com a ASGM.</w:t>
      </w:r>
    </w:p>
    <w:p w14:paraId="182CF29B" w14:textId="5EF6BC99" w:rsidR="002C0C53" w:rsidRPr="004E0F64" w:rsidRDefault="003448CE" w:rsidP="00D0047B">
      <w:pPr>
        <w:pStyle w:val="Heading2"/>
      </w:pPr>
      <w:bookmarkStart w:id="2" w:name="_Toc23869727"/>
      <w:r>
        <w:t>2.2</w:t>
      </w:r>
      <w:r>
        <w:tab/>
        <w:t>Áreas prioritárias: associar as capacidades aos temas relevantes</w:t>
      </w:r>
      <w:bookmarkEnd w:id="2"/>
    </w:p>
    <w:p w14:paraId="0F63D7CA" w14:textId="791FB845" w:rsidR="002C0C53" w:rsidRPr="004E0F64" w:rsidRDefault="002C0C53" w:rsidP="00D0047B">
      <w:r>
        <w:t xml:space="preserve">Numa segunda etapa relacionada com a operacionalização das capacidades institucionais, os problemas de saúde relacionados com a ASGM são agrupados em quatro áreas prioritárias, definidas de acordo com os atuais grupos temáticos da Organização Mundial da Saúde (OMS) </w:t>
      </w:r>
      <w:r>
        <w:rPr>
          <w:i/>
        </w:rPr>
        <w:t>(4)</w:t>
      </w:r>
      <w:r>
        <w:t>:</w:t>
      </w:r>
    </w:p>
    <w:p w14:paraId="045A0BB2" w14:textId="43C3E13E" w:rsidR="002C0C53" w:rsidRPr="004E0F64" w:rsidRDefault="002C0C53" w:rsidP="00D0047B">
      <w:pPr>
        <w:pStyle w:val="Listlettered"/>
      </w:pPr>
      <w:r>
        <w:rPr>
          <w:b/>
        </w:rPr>
        <w:lastRenderedPageBreak/>
        <w:t>Riscos para a saúde em comunidades ASGM.</w:t>
      </w:r>
      <w:r>
        <w:t xml:space="preserve"> Incluem riscos químicos (mercúrio, cianeto, químicos existentes na poeira e nos gases), riscos biológicos (cólera, malária, dengue, doenças sexualmente transmissíveis e VIH/SIDA) e riscos psicossociais (drogas, álcool, violência e carências nutricionais).</w:t>
      </w:r>
    </w:p>
    <w:p w14:paraId="0D7F5EB2" w14:textId="12C7FB1B" w:rsidR="002C0C53" w:rsidRPr="004E0F64" w:rsidRDefault="002C0C53" w:rsidP="00D0047B">
      <w:pPr>
        <w:pStyle w:val="Listlettered"/>
      </w:pPr>
      <w:r>
        <w:rPr>
          <w:b/>
        </w:rPr>
        <w:t xml:space="preserve">Riscos em matéria de saúde no trabalho relacionados com a ASGM. </w:t>
      </w:r>
      <w:r>
        <w:t>Incluem riscos químicos (mercúrio, cianeto, químicos existentes na poeira e nos gases) e riscos biomecânicos e físicos (doenças músculo-esqueléticas, esgotamento, traumatismo físico, ruído, calor e humidade).</w:t>
      </w:r>
    </w:p>
    <w:p w14:paraId="6A607A86" w14:textId="47FA8820" w:rsidR="002C0C53" w:rsidRPr="004E0F64" w:rsidRDefault="002C0C53" w:rsidP="00D0047B">
      <w:pPr>
        <w:pStyle w:val="Listlettered"/>
      </w:pPr>
      <w:r>
        <w:rPr>
          <w:b/>
        </w:rPr>
        <w:t>Riscos ambientais relacionados com a ASGM com implicações para a saúde.</w:t>
      </w:r>
      <w:r>
        <w:t xml:space="preserve"> Incluem a degradação do solo, emissões de mercúrio e poluição, o assoreamento, a erosão e a contaminação das águas.</w:t>
      </w:r>
    </w:p>
    <w:p w14:paraId="124958CC" w14:textId="0E566144" w:rsidR="002C0C53" w:rsidRPr="004E0F64" w:rsidRDefault="002C0C53" w:rsidP="00D0047B">
      <w:pPr>
        <w:pStyle w:val="Listlettered"/>
      </w:pPr>
      <w:r>
        <w:rPr>
          <w:b/>
        </w:rPr>
        <w:t>Gestão de substâncias químicas relacionada</w:t>
      </w:r>
      <w:r w:rsidR="00991285">
        <w:rPr>
          <w:b/>
        </w:rPr>
        <w:t>s</w:t>
      </w:r>
      <w:r>
        <w:rPr>
          <w:b/>
        </w:rPr>
        <w:t xml:space="preserve"> com a ASGM. </w:t>
      </w:r>
      <w:r>
        <w:t>Inclui a gestão do mercúrio, cianeto e outras substâncias químicas presentes na poeira e nos gases.</w:t>
      </w:r>
    </w:p>
    <w:p w14:paraId="13536AE1" w14:textId="0632C09D" w:rsidR="002C0C53" w:rsidRPr="004E0F64" w:rsidRDefault="00D0047B" w:rsidP="00350586">
      <w:pPr>
        <w:pStyle w:val="Heading2"/>
        <w:ind w:left="576" w:hanging="576"/>
      </w:pPr>
      <w:bookmarkStart w:id="3" w:name="_Toc23869728"/>
      <w:r>
        <w:t>2.3</w:t>
      </w:r>
      <w:r>
        <w:tab/>
        <w:t>Indicadores relevantes: características das dimensões institucionais relevantes</w:t>
      </w:r>
      <w:bookmarkEnd w:id="3"/>
      <w:r>
        <w:t> </w:t>
      </w:r>
    </w:p>
    <w:p w14:paraId="0237E7E6" w14:textId="64F7C4E2" w:rsidR="002C0C53" w:rsidRPr="004E0F64" w:rsidRDefault="002C0C53" w:rsidP="001A3384">
      <w:r>
        <w:t>O terceiro e último elemento do quadro metodológico é composto por indicadores que descrevem as características institucionais relevantes para cada área prioritária (Tabela 2). Estes indicadores derivam da teoria institucional e organizacional. As características institucionais subjacentes a cada indicador orientam as questões utilizadas durante a avaliação.</w:t>
      </w:r>
    </w:p>
    <w:p w14:paraId="35C811D6" w14:textId="607E5F96" w:rsidR="002C0C53" w:rsidRPr="004E0F64" w:rsidRDefault="002C0C53" w:rsidP="003625BB">
      <w:pPr>
        <w:rPr>
          <w:rFonts w:cs="Arial"/>
        </w:rPr>
      </w:pPr>
      <w:r>
        <w:t>Em primeiro lugar, os indicadores funcionam como ferramenta heurística para apurar em que medida as características são desenvolvidas ou estão presentes na configuração institucional ou organizacional. Geralmente, as características desejadas estão presentes em diferentes graus: algumas podem estar totalmente desenvolvidas, outras rudimentares, algumas podem estar disponíveis (em grau variável), enquanto outras podem estar totalmente ausentes. Para refletir estes vários graus de implementação, cada indicador relevante é classificado através de uma escala ordinal (de 1 a 5), tal como ilustrado na Tabela 3 abaixo. Os critérios de classificação incluem tanto a existência do indicador, como a medida em que este foi realmente implementado (no caso das políticas), é usado (no caso dos processos ou sistemas) e está disponível (no caso das estruturas). Uma simples classificação do grau de implementação, utilização ou disponibilidade implica e existência de, pelo menos, algum grau de existência do indicador. Se o grau de existência do indicador for superior ao grau de implementação, utilização ou disponibilidade, isso deverá ser registado numa coluna para comentários a incluir à direita da tabela dos indicadores. Os resultados desta análise poderão ser visualizados num diagrama por cada área prioritária (ver Figura 1). Estes diagramas devem ser lidos em conjunto com o texto explicativo das conclusões.</w:t>
      </w:r>
    </w:p>
    <w:p w14:paraId="40C2AE48" w14:textId="587D0D20" w:rsidR="002C0C53" w:rsidRPr="004E0F64" w:rsidRDefault="002C0C53" w:rsidP="006F1984">
      <w:pPr>
        <w:rPr>
          <w:rFonts w:cs="Arial"/>
        </w:rPr>
      </w:pPr>
      <w:r>
        <w:t xml:space="preserve">Em segundo lugar, os resultados apresentados sob os diferentes indicadores servem como ponto de partida para o planeamento de medidas que visem o reforço das capacidades institucionais. Realçam possíveis pontos de entrada, indicam potenciais sinergias entre as </w:t>
      </w:r>
      <w:r>
        <w:lastRenderedPageBreak/>
        <w:t>unidades organizacionais dentro e entre ministérios e constituem uma base sólida para estabelecer prioridades.</w:t>
      </w:r>
    </w:p>
    <w:p w14:paraId="11B36B8A" w14:textId="74BD5355" w:rsidR="00FA4FEF" w:rsidRDefault="00FA4FEF">
      <w:pPr>
        <w:spacing w:after="0" w:line="240" w:lineRule="auto"/>
        <w:rPr>
          <w:b/>
        </w:rPr>
      </w:pPr>
    </w:p>
    <w:p w14:paraId="19B45272" w14:textId="18862D1B" w:rsidR="006F1984" w:rsidRPr="004E0F64" w:rsidRDefault="006F1984" w:rsidP="00FA4FEF">
      <w:pPr>
        <w:pStyle w:val="Tablehead"/>
      </w:pPr>
      <w:r>
        <w:t>Tabela 2. Quadro metodológico aplicado, associando áreas prioritárias, dimensões institucionais e indicadores relevantes</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 w:type="dxa"/>
          <w:left w:w="15" w:type="dxa"/>
          <w:bottom w:w="15" w:type="dxa"/>
          <w:right w:w="15" w:type="dxa"/>
        </w:tblCellMar>
        <w:tblLook w:val="04A0" w:firstRow="1" w:lastRow="0" w:firstColumn="1" w:lastColumn="0" w:noHBand="0" w:noVBand="1"/>
      </w:tblPr>
      <w:tblGrid>
        <w:gridCol w:w="1740"/>
        <w:gridCol w:w="1699"/>
        <w:gridCol w:w="4521"/>
        <w:gridCol w:w="1181"/>
      </w:tblGrid>
      <w:tr w:rsidR="002C0C53" w:rsidRPr="004E0F64" w14:paraId="29F57B5A" w14:textId="77777777" w:rsidTr="001D3FCF">
        <w:trPr>
          <w:trHeight w:val="20"/>
        </w:trPr>
        <w:tc>
          <w:tcPr>
            <w:tcW w:w="1753" w:type="dxa"/>
            <w:shd w:val="clear" w:color="auto" w:fill="000000"/>
            <w:tcMar>
              <w:top w:w="100" w:type="dxa"/>
              <w:left w:w="100" w:type="dxa"/>
              <w:bottom w:w="100" w:type="dxa"/>
              <w:right w:w="100" w:type="dxa"/>
            </w:tcMar>
            <w:hideMark/>
          </w:tcPr>
          <w:p w14:paraId="59CD62FF"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Área prioritária</w:t>
            </w:r>
          </w:p>
        </w:tc>
        <w:tc>
          <w:tcPr>
            <w:tcW w:w="1716" w:type="dxa"/>
            <w:shd w:val="clear" w:color="auto" w:fill="000000"/>
            <w:tcMar>
              <w:top w:w="100" w:type="dxa"/>
              <w:left w:w="100" w:type="dxa"/>
              <w:bottom w:w="100" w:type="dxa"/>
              <w:right w:w="100" w:type="dxa"/>
            </w:tcMar>
            <w:hideMark/>
          </w:tcPr>
          <w:p w14:paraId="375BC5E6"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Dimensão institucional</w:t>
            </w:r>
          </w:p>
        </w:tc>
        <w:tc>
          <w:tcPr>
            <w:tcW w:w="4606" w:type="dxa"/>
            <w:shd w:val="clear" w:color="auto" w:fill="000000"/>
            <w:tcMar>
              <w:top w:w="100" w:type="dxa"/>
              <w:left w:w="100" w:type="dxa"/>
              <w:bottom w:w="100" w:type="dxa"/>
              <w:right w:w="100" w:type="dxa"/>
            </w:tcMar>
            <w:hideMark/>
          </w:tcPr>
          <w:p w14:paraId="56C3ECA8"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Indicador relevante</w:t>
            </w:r>
          </w:p>
          <w:p w14:paraId="355ADCA6"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 </w:t>
            </w:r>
          </w:p>
        </w:tc>
        <w:tc>
          <w:tcPr>
            <w:tcW w:w="981" w:type="dxa"/>
            <w:shd w:val="clear" w:color="auto" w:fill="000000"/>
          </w:tcPr>
          <w:p w14:paraId="79CF8A31" w14:textId="77777777" w:rsidR="002C0C53" w:rsidRPr="004E0F64" w:rsidRDefault="002C0C53" w:rsidP="001D3FCF">
            <w:pPr>
              <w:spacing w:after="0" w:line="240" w:lineRule="auto"/>
              <w:rPr>
                <w:rFonts w:ascii="Arial" w:eastAsia="Times New Roman" w:hAnsi="Arial" w:cs="Arial"/>
                <w:b/>
                <w:bCs/>
                <w:color w:val="FFFFFF"/>
                <w:sz w:val="18"/>
                <w:szCs w:val="16"/>
              </w:rPr>
            </w:pPr>
            <w:r>
              <w:rPr>
                <w:rFonts w:ascii="Arial" w:hAnsi="Arial"/>
                <w:b/>
                <w:color w:val="FFFFFF"/>
                <w:sz w:val="18"/>
              </w:rPr>
              <w:t>Classificação</w:t>
            </w:r>
          </w:p>
        </w:tc>
      </w:tr>
      <w:tr w:rsidR="002C0C53" w:rsidRPr="004E0F64" w14:paraId="46B62F9E" w14:textId="77777777" w:rsidTr="001D3FCF">
        <w:trPr>
          <w:trHeight w:val="20"/>
        </w:trPr>
        <w:tc>
          <w:tcPr>
            <w:tcW w:w="1753" w:type="dxa"/>
            <w:vMerge w:val="restart"/>
            <w:shd w:val="clear" w:color="auto" w:fill="8EAADB"/>
            <w:tcMar>
              <w:top w:w="100" w:type="dxa"/>
              <w:left w:w="100" w:type="dxa"/>
              <w:bottom w:w="100" w:type="dxa"/>
              <w:right w:w="100" w:type="dxa"/>
            </w:tcMar>
            <w:hideMark/>
          </w:tcPr>
          <w:p w14:paraId="498A07C8" w14:textId="77777777" w:rsidR="002C0C53" w:rsidRPr="004E0F64" w:rsidRDefault="002C0C53" w:rsidP="001D3FCF">
            <w:pPr>
              <w:spacing w:after="0" w:line="240" w:lineRule="auto"/>
              <w:ind w:left="317" w:hanging="284"/>
              <w:rPr>
                <w:rFonts w:ascii="Arial" w:eastAsia="Times New Roman" w:hAnsi="Arial"/>
                <w:sz w:val="18"/>
                <w:szCs w:val="16"/>
              </w:rPr>
            </w:pPr>
            <w:r>
              <w:rPr>
                <w:rFonts w:ascii="Arial" w:hAnsi="Arial"/>
                <w:b/>
                <w:color w:val="000000"/>
                <w:sz w:val="18"/>
              </w:rPr>
              <w:t xml:space="preserve">A. </w:t>
            </w:r>
            <w:r>
              <w:rPr>
                <w:rFonts w:ascii="Arial" w:hAnsi="Arial"/>
                <w:b/>
                <w:color w:val="000000"/>
                <w:sz w:val="18"/>
              </w:rPr>
              <w:tab/>
              <w:t>Riscos para a saúde em comunidades ASGM</w:t>
            </w:r>
          </w:p>
        </w:tc>
        <w:tc>
          <w:tcPr>
            <w:tcW w:w="1716" w:type="dxa"/>
            <w:vMerge w:val="restart"/>
            <w:shd w:val="clear" w:color="auto" w:fill="8EAADB"/>
            <w:tcMar>
              <w:top w:w="100" w:type="dxa"/>
              <w:left w:w="100" w:type="dxa"/>
              <w:bottom w:w="100" w:type="dxa"/>
              <w:right w:w="100" w:type="dxa"/>
            </w:tcMar>
            <w:hideMark/>
          </w:tcPr>
          <w:p w14:paraId="4F596690" w14:textId="77777777" w:rsidR="002C0C53" w:rsidRPr="004E0F64" w:rsidRDefault="002C0C53" w:rsidP="001D3FCF">
            <w:pPr>
              <w:spacing w:after="0" w:line="240" w:lineRule="auto"/>
              <w:ind w:left="409" w:hanging="409"/>
              <w:rPr>
                <w:rFonts w:ascii="Arial" w:eastAsia="Times New Roman" w:hAnsi="Arial"/>
                <w:sz w:val="18"/>
                <w:szCs w:val="16"/>
              </w:rPr>
            </w:pPr>
            <w:r>
              <w:rPr>
                <w:rFonts w:ascii="Arial" w:hAnsi="Arial"/>
                <w:color w:val="000000"/>
                <w:sz w:val="18"/>
              </w:rPr>
              <w:t xml:space="preserve">A.1 </w:t>
            </w:r>
            <w:r>
              <w:rPr>
                <w:rFonts w:ascii="Arial" w:hAnsi="Arial"/>
                <w:color w:val="000000"/>
                <w:sz w:val="18"/>
              </w:rPr>
              <w:tab/>
              <w:t>Nível regulamentar e de políticas</w:t>
            </w:r>
          </w:p>
        </w:tc>
        <w:tc>
          <w:tcPr>
            <w:tcW w:w="4606" w:type="dxa"/>
            <w:shd w:val="clear" w:color="auto" w:fill="8EAADB"/>
            <w:tcMar>
              <w:top w:w="100" w:type="dxa"/>
              <w:left w:w="100" w:type="dxa"/>
              <w:bottom w:w="100" w:type="dxa"/>
              <w:right w:w="100" w:type="dxa"/>
            </w:tcMar>
            <w:hideMark/>
          </w:tcPr>
          <w:p w14:paraId="33C07329" w14:textId="5391B23B"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A.1.1 </w:t>
            </w:r>
            <w:r>
              <w:rPr>
                <w:rFonts w:ascii="Arial" w:hAnsi="Arial"/>
                <w:color w:val="000000"/>
                <w:sz w:val="18"/>
              </w:rPr>
              <w:tab/>
              <w:t>Regulamentos e políticas sobre riscos químicos, tais como o mercúrio, cianeto, químicos presentes na poeira e nos gases</w:t>
            </w:r>
          </w:p>
        </w:tc>
        <w:tc>
          <w:tcPr>
            <w:tcW w:w="981" w:type="dxa"/>
            <w:shd w:val="clear" w:color="auto" w:fill="8EAADB"/>
          </w:tcPr>
          <w:p w14:paraId="790EC55B"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8D50E13" w14:textId="77777777" w:rsidTr="001D3FCF">
        <w:trPr>
          <w:trHeight w:val="20"/>
        </w:trPr>
        <w:tc>
          <w:tcPr>
            <w:tcW w:w="1753" w:type="dxa"/>
            <w:vMerge/>
            <w:shd w:val="clear" w:color="auto" w:fill="8EAADB"/>
            <w:tcMar>
              <w:top w:w="100" w:type="dxa"/>
              <w:left w:w="100" w:type="dxa"/>
              <w:bottom w:w="100" w:type="dxa"/>
              <w:right w:w="100" w:type="dxa"/>
            </w:tcMar>
          </w:tcPr>
          <w:p w14:paraId="564D881B" w14:textId="77777777" w:rsidR="002C0C53" w:rsidRPr="00693765" w:rsidRDefault="002C0C53" w:rsidP="001D3FCF">
            <w:pPr>
              <w:spacing w:after="0" w:line="240" w:lineRule="auto"/>
              <w:ind w:left="317" w:hanging="284"/>
              <w:rPr>
                <w:rFonts w:ascii="Arial" w:eastAsia="Times New Roman" w:hAnsi="Arial" w:cs="Arial"/>
                <w:b/>
                <w:bCs/>
                <w:color w:val="000000"/>
                <w:sz w:val="18"/>
                <w:szCs w:val="16"/>
                <w:lang w:eastAsia="de-DE"/>
              </w:rPr>
            </w:pPr>
          </w:p>
        </w:tc>
        <w:tc>
          <w:tcPr>
            <w:tcW w:w="1716" w:type="dxa"/>
            <w:vMerge/>
            <w:shd w:val="clear" w:color="auto" w:fill="8EAADB"/>
            <w:tcMar>
              <w:top w:w="100" w:type="dxa"/>
              <w:left w:w="100" w:type="dxa"/>
              <w:bottom w:w="100" w:type="dxa"/>
              <w:right w:w="100" w:type="dxa"/>
            </w:tcMar>
          </w:tcPr>
          <w:p w14:paraId="776B4720" w14:textId="77777777" w:rsidR="002C0C53" w:rsidRPr="00693765" w:rsidRDefault="002C0C53"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8EAADB"/>
            <w:tcMar>
              <w:top w:w="100" w:type="dxa"/>
              <w:left w:w="100" w:type="dxa"/>
              <w:bottom w:w="100" w:type="dxa"/>
              <w:right w:w="100" w:type="dxa"/>
            </w:tcMar>
          </w:tcPr>
          <w:p w14:paraId="6994963A" w14:textId="176F537C"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A.1.2 </w:t>
            </w:r>
            <w:r>
              <w:rPr>
                <w:rFonts w:ascii="Arial" w:hAnsi="Arial"/>
                <w:color w:val="000000"/>
                <w:sz w:val="18"/>
              </w:rPr>
              <w:tab/>
              <w:t>Regulamentos e políticas sobre riscos biológicos como a cólera, malária, dengue, infeções sexualmente transmissíveis e VIH/SIDA</w:t>
            </w:r>
          </w:p>
        </w:tc>
        <w:tc>
          <w:tcPr>
            <w:tcW w:w="981" w:type="dxa"/>
            <w:shd w:val="clear" w:color="auto" w:fill="8EAADB"/>
          </w:tcPr>
          <w:p w14:paraId="045415CD"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5E435191" w14:textId="77777777" w:rsidTr="001D3FCF">
        <w:trPr>
          <w:trHeight w:val="20"/>
        </w:trPr>
        <w:tc>
          <w:tcPr>
            <w:tcW w:w="1753" w:type="dxa"/>
            <w:vMerge/>
            <w:shd w:val="clear" w:color="auto" w:fill="8EAADB"/>
            <w:tcMar>
              <w:top w:w="100" w:type="dxa"/>
              <w:left w:w="100" w:type="dxa"/>
              <w:bottom w:w="100" w:type="dxa"/>
              <w:right w:w="100" w:type="dxa"/>
            </w:tcMar>
          </w:tcPr>
          <w:p w14:paraId="1089B603" w14:textId="77777777" w:rsidR="002C0C53" w:rsidRPr="00693765" w:rsidRDefault="002C0C53" w:rsidP="001D3FCF">
            <w:pPr>
              <w:spacing w:after="0" w:line="240" w:lineRule="auto"/>
              <w:ind w:left="317" w:hanging="284"/>
              <w:rPr>
                <w:rFonts w:ascii="Arial" w:eastAsia="Times New Roman" w:hAnsi="Arial" w:cs="Arial"/>
                <w:b/>
                <w:bCs/>
                <w:color w:val="000000"/>
                <w:sz w:val="18"/>
                <w:szCs w:val="16"/>
                <w:lang w:eastAsia="de-DE"/>
              </w:rPr>
            </w:pPr>
          </w:p>
        </w:tc>
        <w:tc>
          <w:tcPr>
            <w:tcW w:w="1716" w:type="dxa"/>
            <w:vMerge/>
            <w:shd w:val="clear" w:color="auto" w:fill="8EAADB"/>
            <w:tcMar>
              <w:top w:w="100" w:type="dxa"/>
              <w:left w:w="100" w:type="dxa"/>
              <w:bottom w:w="100" w:type="dxa"/>
              <w:right w:w="100" w:type="dxa"/>
            </w:tcMar>
          </w:tcPr>
          <w:p w14:paraId="0E185308" w14:textId="77777777" w:rsidR="002C0C53" w:rsidRPr="00693765" w:rsidRDefault="002C0C53"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8EAADB"/>
            <w:tcMar>
              <w:top w:w="100" w:type="dxa"/>
              <w:left w:w="100" w:type="dxa"/>
              <w:bottom w:w="100" w:type="dxa"/>
              <w:right w:w="100" w:type="dxa"/>
            </w:tcMar>
          </w:tcPr>
          <w:p w14:paraId="56360763"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A.1.3 </w:t>
            </w:r>
            <w:r>
              <w:rPr>
                <w:rFonts w:ascii="Arial" w:hAnsi="Arial"/>
                <w:color w:val="000000"/>
                <w:sz w:val="18"/>
              </w:rPr>
              <w:tab/>
              <w:t>Regulamentos e políticas sobre riscos psicossociais como drogas, álcool, violência e carências nutricionais</w:t>
            </w:r>
          </w:p>
        </w:tc>
        <w:tc>
          <w:tcPr>
            <w:tcW w:w="981" w:type="dxa"/>
            <w:shd w:val="clear" w:color="auto" w:fill="8EAADB"/>
          </w:tcPr>
          <w:p w14:paraId="71C6449E"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0F3B51F8" w14:textId="77777777" w:rsidTr="001D3FCF">
        <w:trPr>
          <w:trHeight w:val="20"/>
        </w:trPr>
        <w:tc>
          <w:tcPr>
            <w:tcW w:w="1753" w:type="dxa"/>
            <w:vMerge/>
            <w:shd w:val="clear" w:color="auto" w:fill="8EAADB"/>
            <w:tcMar>
              <w:top w:w="100" w:type="dxa"/>
              <w:left w:w="100" w:type="dxa"/>
              <w:bottom w:w="100" w:type="dxa"/>
              <w:right w:w="100" w:type="dxa"/>
            </w:tcMar>
          </w:tcPr>
          <w:p w14:paraId="579CFE5E" w14:textId="77777777" w:rsidR="002C0C53" w:rsidRPr="00693765" w:rsidRDefault="002C0C53" w:rsidP="001D3FCF">
            <w:pPr>
              <w:spacing w:after="0" w:line="240" w:lineRule="auto"/>
              <w:ind w:left="317" w:hanging="284"/>
              <w:rPr>
                <w:rFonts w:ascii="Arial" w:eastAsia="Times New Roman" w:hAnsi="Arial" w:cs="Arial"/>
                <w:b/>
                <w:bCs/>
                <w:color w:val="000000"/>
                <w:sz w:val="18"/>
                <w:szCs w:val="16"/>
                <w:lang w:eastAsia="de-DE"/>
              </w:rPr>
            </w:pPr>
          </w:p>
        </w:tc>
        <w:tc>
          <w:tcPr>
            <w:tcW w:w="1716" w:type="dxa"/>
            <w:vMerge/>
            <w:shd w:val="clear" w:color="auto" w:fill="8EAADB"/>
            <w:tcMar>
              <w:top w:w="100" w:type="dxa"/>
              <w:left w:w="100" w:type="dxa"/>
              <w:bottom w:w="100" w:type="dxa"/>
              <w:right w:w="100" w:type="dxa"/>
            </w:tcMar>
          </w:tcPr>
          <w:p w14:paraId="3CD73C0F" w14:textId="77777777" w:rsidR="002C0C53" w:rsidRPr="00693765" w:rsidRDefault="002C0C53"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8EAADB"/>
            <w:tcMar>
              <w:top w:w="100" w:type="dxa"/>
              <w:left w:w="100" w:type="dxa"/>
              <w:bottom w:w="100" w:type="dxa"/>
              <w:right w:w="100" w:type="dxa"/>
            </w:tcMar>
          </w:tcPr>
          <w:p w14:paraId="2827D21C" w14:textId="1400DD1A"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A.1.4 </w:t>
            </w:r>
            <w:r>
              <w:rPr>
                <w:rFonts w:ascii="Arial" w:hAnsi="Arial"/>
                <w:color w:val="000000"/>
                <w:sz w:val="18"/>
              </w:rPr>
              <w:tab/>
              <w:t>Regulamentos e políticas sobre a disponibilização de cuidados de saúde primários e secundários</w:t>
            </w:r>
          </w:p>
        </w:tc>
        <w:tc>
          <w:tcPr>
            <w:tcW w:w="981" w:type="dxa"/>
            <w:shd w:val="clear" w:color="auto" w:fill="8EAADB"/>
          </w:tcPr>
          <w:p w14:paraId="1AB43AAA"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BB8EBEC" w14:textId="77777777" w:rsidTr="001D3FCF">
        <w:trPr>
          <w:trHeight w:val="20"/>
        </w:trPr>
        <w:tc>
          <w:tcPr>
            <w:tcW w:w="1753" w:type="dxa"/>
            <w:vMerge/>
            <w:shd w:val="clear" w:color="auto" w:fill="8EAADB"/>
            <w:vAlign w:val="center"/>
            <w:hideMark/>
          </w:tcPr>
          <w:p w14:paraId="71C45222"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val="restart"/>
            <w:shd w:val="clear" w:color="auto" w:fill="8EAADB"/>
            <w:tcMar>
              <w:top w:w="100" w:type="dxa"/>
              <w:left w:w="100" w:type="dxa"/>
              <w:bottom w:w="100" w:type="dxa"/>
              <w:right w:w="100" w:type="dxa"/>
            </w:tcMar>
            <w:hideMark/>
          </w:tcPr>
          <w:p w14:paraId="138FE7A7"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A.2 Nível da estrutura</w:t>
            </w:r>
          </w:p>
        </w:tc>
        <w:tc>
          <w:tcPr>
            <w:tcW w:w="4606" w:type="dxa"/>
            <w:shd w:val="clear" w:color="auto" w:fill="8EAADB"/>
            <w:tcMar>
              <w:top w:w="100" w:type="dxa"/>
              <w:left w:w="100" w:type="dxa"/>
              <w:bottom w:w="100" w:type="dxa"/>
              <w:right w:w="100" w:type="dxa"/>
            </w:tcMar>
            <w:hideMark/>
          </w:tcPr>
          <w:p w14:paraId="04B944CE" w14:textId="1D44E035" w:rsidR="002C0C53" w:rsidRPr="004E0F64" w:rsidRDefault="002C0C53"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A.2.1 </w:t>
            </w:r>
            <w:r>
              <w:rPr>
                <w:rFonts w:ascii="Arial" w:hAnsi="Arial"/>
                <w:color w:val="000000"/>
                <w:sz w:val="18"/>
              </w:rPr>
              <w:tab/>
              <w:t>Organização e responsabilidades profissionais das principais instituições</w:t>
            </w:r>
          </w:p>
        </w:tc>
        <w:tc>
          <w:tcPr>
            <w:tcW w:w="981" w:type="dxa"/>
            <w:shd w:val="clear" w:color="auto" w:fill="8EAADB"/>
          </w:tcPr>
          <w:p w14:paraId="5291500D"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69CA4DEB" w14:textId="77777777" w:rsidTr="001D3FCF">
        <w:trPr>
          <w:trHeight w:val="20"/>
        </w:trPr>
        <w:tc>
          <w:tcPr>
            <w:tcW w:w="1753" w:type="dxa"/>
            <w:vMerge/>
            <w:shd w:val="clear" w:color="auto" w:fill="8EAADB"/>
            <w:vAlign w:val="center"/>
          </w:tcPr>
          <w:p w14:paraId="703F9778"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8EAADB"/>
            <w:tcMar>
              <w:top w:w="100" w:type="dxa"/>
              <w:left w:w="100" w:type="dxa"/>
              <w:bottom w:w="100" w:type="dxa"/>
              <w:right w:w="100" w:type="dxa"/>
            </w:tcMar>
          </w:tcPr>
          <w:p w14:paraId="52A2D585" w14:textId="77777777" w:rsidR="002C0C53" w:rsidRPr="00693765" w:rsidRDefault="002C0C53"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8EAADB"/>
            <w:tcMar>
              <w:top w:w="100" w:type="dxa"/>
              <w:left w:w="100" w:type="dxa"/>
              <w:bottom w:w="100" w:type="dxa"/>
              <w:right w:w="100" w:type="dxa"/>
            </w:tcMar>
          </w:tcPr>
          <w:p w14:paraId="4BE64421"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A.2.2 </w:t>
            </w:r>
            <w:r>
              <w:rPr>
                <w:rFonts w:ascii="Arial" w:hAnsi="Arial"/>
                <w:color w:val="000000"/>
                <w:sz w:val="18"/>
              </w:rPr>
              <w:tab/>
              <w:t>Unidades de saúde primária e hospitais</w:t>
            </w:r>
          </w:p>
        </w:tc>
        <w:tc>
          <w:tcPr>
            <w:tcW w:w="981" w:type="dxa"/>
            <w:shd w:val="clear" w:color="auto" w:fill="8EAADB"/>
          </w:tcPr>
          <w:p w14:paraId="5BD086A5"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495D1BF" w14:textId="77777777" w:rsidTr="001D3FCF">
        <w:trPr>
          <w:trHeight w:val="20"/>
        </w:trPr>
        <w:tc>
          <w:tcPr>
            <w:tcW w:w="1753" w:type="dxa"/>
            <w:vMerge/>
            <w:shd w:val="clear" w:color="auto" w:fill="8EAADB"/>
            <w:vAlign w:val="center"/>
          </w:tcPr>
          <w:p w14:paraId="111C1261"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8EAADB"/>
            <w:tcMar>
              <w:top w:w="100" w:type="dxa"/>
              <w:left w:w="100" w:type="dxa"/>
              <w:bottom w:w="100" w:type="dxa"/>
              <w:right w:w="100" w:type="dxa"/>
            </w:tcMar>
          </w:tcPr>
          <w:p w14:paraId="7CF9DD30" w14:textId="77777777" w:rsidR="002C0C53" w:rsidRPr="00693765" w:rsidRDefault="002C0C53"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8EAADB"/>
            <w:tcMar>
              <w:top w:w="100" w:type="dxa"/>
              <w:left w:w="100" w:type="dxa"/>
              <w:bottom w:w="100" w:type="dxa"/>
              <w:right w:w="100" w:type="dxa"/>
            </w:tcMar>
          </w:tcPr>
          <w:p w14:paraId="18A7855B"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A.2.3 </w:t>
            </w:r>
            <w:r>
              <w:rPr>
                <w:rFonts w:ascii="Arial" w:hAnsi="Arial"/>
                <w:color w:val="000000"/>
                <w:sz w:val="18"/>
              </w:rPr>
              <w:tab/>
              <w:t>Equipamento técnico e laboratorial para diagnosticar, monitorizar e tratar problemas de saúde relacionados com a ASGM</w:t>
            </w:r>
          </w:p>
        </w:tc>
        <w:tc>
          <w:tcPr>
            <w:tcW w:w="981" w:type="dxa"/>
            <w:shd w:val="clear" w:color="auto" w:fill="8EAADB"/>
          </w:tcPr>
          <w:p w14:paraId="6DB3C4E7"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15B29FEA" w14:textId="77777777" w:rsidTr="001D3FCF">
        <w:trPr>
          <w:trHeight w:val="20"/>
        </w:trPr>
        <w:tc>
          <w:tcPr>
            <w:tcW w:w="1753" w:type="dxa"/>
            <w:vMerge/>
            <w:shd w:val="clear" w:color="auto" w:fill="8EAADB"/>
            <w:vAlign w:val="center"/>
          </w:tcPr>
          <w:p w14:paraId="229C61BB"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8EAADB"/>
            <w:tcMar>
              <w:top w:w="100" w:type="dxa"/>
              <w:left w:w="100" w:type="dxa"/>
              <w:bottom w:w="100" w:type="dxa"/>
              <w:right w:w="100" w:type="dxa"/>
            </w:tcMar>
          </w:tcPr>
          <w:p w14:paraId="645E1880" w14:textId="77777777" w:rsidR="002C0C53" w:rsidRPr="00693765" w:rsidRDefault="002C0C53"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8EAADB"/>
            <w:tcMar>
              <w:top w:w="100" w:type="dxa"/>
              <w:left w:w="100" w:type="dxa"/>
              <w:bottom w:w="100" w:type="dxa"/>
              <w:right w:w="100" w:type="dxa"/>
            </w:tcMar>
          </w:tcPr>
          <w:p w14:paraId="08DED0FA"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A.2.4 </w:t>
            </w:r>
            <w:r>
              <w:rPr>
                <w:rFonts w:ascii="Arial" w:hAnsi="Arial"/>
                <w:color w:val="000000"/>
                <w:sz w:val="18"/>
              </w:rPr>
              <w:tab/>
              <w:t>Recursos em termos de conhecimento para abordagem de problemas relacionados com a ASGM</w:t>
            </w:r>
          </w:p>
        </w:tc>
        <w:tc>
          <w:tcPr>
            <w:tcW w:w="981" w:type="dxa"/>
            <w:shd w:val="clear" w:color="auto" w:fill="8EAADB"/>
          </w:tcPr>
          <w:p w14:paraId="6703BE91"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0561FEA9" w14:textId="77777777" w:rsidTr="001D3FCF">
        <w:trPr>
          <w:trHeight w:val="20"/>
        </w:trPr>
        <w:tc>
          <w:tcPr>
            <w:tcW w:w="1753" w:type="dxa"/>
            <w:vMerge/>
            <w:shd w:val="clear" w:color="auto" w:fill="8EAADB"/>
            <w:vAlign w:val="center"/>
            <w:hideMark/>
          </w:tcPr>
          <w:p w14:paraId="00AD8251"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val="restart"/>
            <w:shd w:val="clear" w:color="auto" w:fill="8EAADB"/>
            <w:tcMar>
              <w:top w:w="100" w:type="dxa"/>
              <w:left w:w="100" w:type="dxa"/>
              <w:bottom w:w="100" w:type="dxa"/>
              <w:right w:w="100" w:type="dxa"/>
            </w:tcMar>
            <w:hideMark/>
          </w:tcPr>
          <w:p w14:paraId="1B6D1AA5"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A.3 Nível dos processos</w:t>
            </w:r>
          </w:p>
        </w:tc>
        <w:tc>
          <w:tcPr>
            <w:tcW w:w="4606" w:type="dxa"/>
            <w:shd w:val="clear" w:color="auto" w:fill="8EAADB"/>
            <w:tcMar>
              <w:top w:w="100" w:type="dxa"/>
              <w:left w:w="100" w:type="dxa"/>
              <w:bottom w:w="100" w:type="dxa"/>
              <w:right w:w="100" w:type="dxa"/>
            </w:tcMar>
            <w:hideMark/>
          </w:tcPr>
          <w:p w14:paraId="43A3EEC7"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A.3.1 </w:t>
            </w:r>
            <w:r>
              <w:rPr>
                <w:rFonts w:ascii="Arial" w:hAnsi="Arial"/>
                <w:color w:val="000000"/>
                <w:sz w:val="18"/>
              </w:rPr>
              <w:tab/>
              <w:t>Mecanismos de resposta a emergências sanitárias (p. ex., derrames químicos, surtos de doenças)</w:t>
            </w:r>
          </w:p>
        </w:tc>
        <w:tc>
          <w:tcPr>
            <w:tcW w:w="981" w:type="dxa"/>
            <w:shd w:val="clear" w:color="auto" w:fill="8EAADB"/>
          </w:tcPr>
          <w:p w14:paraId="030C2E89"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0F68CA0C" w14:textId="77777777" w:rsidTr="001D3FCF">
        <w:trPr>
          <w:trHeight w:val="20"/>
        </w:trPr>
        <w:tc>
          <w:tcPr>
            <w:tcW w:w="1753" w:type="dxa"/>
            <w:vMerge/>
            <w:shd w:val="clear" w:color="auto" w:fill="8EAADB"/>
            <w:vAlign w:val="center"/>
          </w:tcPr>
          <w:p w14:paraId="1B73586A"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8EAADB"/>
            <w:tcMar>
              <w:top w:w="100" w:type="dxa"/>
              <w:left w:w="100" w:type="dxa"/>
              <w:bottom w:w="100" w:type="dxa"/>
              <w:right w:w="100" w:type="dxa"/>
            </w:tcMar>
          </w:tcPr>
          <w:p w14:paraId="33139BC3" w14:textId="77777777" w:rsidR="002C0C53" w:rsidRPr="00693765" w:rsidRDefault="002C0C53"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8EAADB"/>
            <w:tcMar>
              <w:top w:w="100" w:type="dxa"/>
              <w:left w:w="100" w:type="dxa"/>
              <w:bottom w:w="100" w:type="dxa"/>
              <w:right w:w="100" w:type="dxa"/>
            </w:tcMar>
          </w:tcPr>
          <w:p w14:paraId="124B5A74"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A.3.2 </w:t>
            </w:r>
            <w:r>
              <w:rPr>
                <w:rFonts w:ascii="Arial" w:hAnsi="Arial"/>
                <w:color w:val="000000"/>
                <w:sz w:val="18"/>
              </w:rPr>
              <w:tab/>
              <w:t>Mecanismos de prevenção para abordar riscos de saúde relacionados com a ASGM (p. ex., derrames químicos, surtos de doenças)</w:t>
            </w:r>
          </w:p>
        </w:tc>
        <w:tc>
          <w:tcPr>
            <w:tcW w:w="981" w:type="dxa"/>
            <w:shd w:val="clear" w:color="auto" w:fill="8EAADB"/>
          </w:tcPr>
          <w:p w14:paraId="6FD9BE5C"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50CC76A7" w14:textId="77777777" w:rsidTr="001D3FCF">
        <w:trPr>
          <w:trHeight w:val="20"/>
        </w:trPr>
        <w:tc>
          <w:tcPr>
            <w:tcW w:w="1753" w:type="dxa"/>
            <w:vMerge/>
            <w:shd w:val="clear" w:color="auto" w:fill="8EAADB"/>
            <w:vAlign w:val="center"/>
          </w:tcPr>
          <w:p w14:paraId="421BD88B"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8EAADB"/>
            <w:tcMar>
              <w:top w:w="100" w:type="dxa"/>
              <w:left w:w="100" w:type="dxa"/>
              <w:bottom w:w="100" w:type="dxa"/>
              <w:right w:w="100" w:type="dxa"/>
            </w:tcMar>
          </w:tcPr>
          <w:p w14:paraId="414F3073" w14:textId="77777777" w:rsidR="002C0C53" w:rsidRPr="00693765" w:rsidRDefault="002C0C53"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8EAADB"/>
            <w:tcMar>
              <w:top w:w="100" w:type="dxa"/>
              <w:left w:w="100" w:type="dxa"/>
              <w:bottom w:w="100" w:type="dxa"/>
              <w:right w:w="100" w:type="dxa"/>
            </w:tcMar>
          </w:tcPr>
          <w:p w14:paraId="16029175" w14:textId="39BB2C03"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A.3.3 </w:t>
            </w:r>
            <w:r>
              <w:rPr>
                <w:rFonts w:ascii="Arial" w:hAnsi="Arial"/>
                <w:color w:val="000000"/>
                <w:sz w:val="18"/>
              </w:rPr>
              <w:tab/>
              <w:t>Programas de formação destinados aos profissionais de saúde para detetar, monitorizar e tratar problemas de saúde relacionados com a ASGM</w:t>
            </w:r>
          </w:p>
        </w:tc>
        <w:tc>
          <w:tcPr>
            <w:tcW w:w="981" w:type="dxa"/>
            <w:shd w:val="clear" w:color="auto" w:fill="8EAADB"/>
          </w:tcPr>
          <w:p w14:paraId="7B92FBA2"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66AE7696" w14:textId="77777777" w:rsidTr="001D3FCF">
        <w:trPr>
          <w:trHeight w:val="20"/>
        </w:trPr>
        <w:tc>
          <w:tcPr>
            <w:tcW w:w="1753" w:type="dxa"/>
            <w:vMerge/>
            <w:shd w:val="clear" w:color="auto" w:fill="8EAADB"/>
            <w:vAlign w:val="center"/>
          </w:tcPr>
          <w:p w14:paraId="4EF0C7CC"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8EAADB"/>
            <w:tcMar>
              <w:top w:w="100" w:type="dxa"/>
              <w:left w:w="100" w:type="dxa"/>
              <w:bottom w:w="100" w:type="dxa"/>
              <w:right w:w="100" w:type="dxa"/>
            </w:tcMar>
          </w:tcPr>
          <w:p w14:paraId="062DC2DE" w14:textId="77777777" w:rsidR="002C0C53" w:rsidRPr="00693765" w:rsidRDefault="002C0C53"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8EAADB"/>
            <w:tcMar>
              <w:top w:w="100" w:type="dxa"/>
              <w:left w:w="100" w:type="dxa"/>
              <w:bottom w:w="100" w:type="dxa"/>
              <w:right w:w="100" w:type="dxa"/>
            </w:tcMar>
          </w:tcPr>
          <w:p w14:paraId="24996563"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A.3.4 </w:t>
            </w:r>
            <w:r>
              <w:rPr>
                <w:rFonts w:ascii="Arial" w:hAnsi="Arial"/>
                <w:color w:val="000000"/>
                <w:sz w:val="18"/>
              </w:rPr>
              <w:tab/>
              <w:t>Mecanismos de coordenação entre ministérios para a abordagem dos riscos para a saúde </w:t>
            </w:r>
          </w:p>
        </w:tc>
        <w:tc>
          <w:tcPr>
            <w:tcW w:w="981" w:type="dxa"/>
            <w:shd w:val="clear" w:color="auto" w:fill="8EAADB"/>
          </w:tcPr>
          <w:p w14:paraId="2BD35D49"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783E0538" w14:textId="77777777" w:rsidTr="001D3FCF">
        <w:trPr>
          <w:trHeight w:val="20"/>
        </w:trPr>
        <w:tc>
          <w:tcPr>
            <w:tcW w:w="1753" w:type="dxa"/>
            <w:vMerge w:val="restart"/>
            <w:shd w:val="clear" w:color="auto" w:fill="FCDA66"/>
            <w:tcMar>
              <w:top w:w="100" w:type="dxa"/>
              <w:left w:w="100" w:type="dxa"/>
              <w:bottom w:w="100" w:type="dxa"/>
              <w:right w:w="100" w:type="dxa"/>
            </w:tcMar>
            <w:hideMark/>
          </w:tcPr>
          <w:p w14:paraId="4E0833C1" w14:textId="77777777" w:rsidR="003457F2" w:rsidRPr="004E0F64" w:rsidRDefault="003457F2" w:rsidP="001D3FCF">
            <w:pPr>
              <w:spacing w:after="0" w:line="240" w:lineRule="auto"/>
              <w:ind w:left="317" w:hanging="284"/>
              <w:rPr>
                <w:rFonts w:ascii="Arial" w:eastAsia="Times New Roman" w:hAnsi="Arial" w:cs="Arial"/>
                <w:b/>
                <w:bCs/>
                <w:color w:val="000000"/>
                <w:sz w:val="18"/>
                <w:szCs w:val="16"/>
              </w:rPr>
            </w:pPr>
            <w:r>
              <w:rPr>
                <w:rFonts w:ascii="Arial" w:hAnsi="Arial"/>
                <w:b/>
                <w:color w:val="000000"/>
                <w:sz w:val="18"/>
              </w:rPr>
              <w:t>B.</w:t>
            </w:r>
            <w:r>
              <w:rPr>
                <w:rFonts w:ascii="Arial" w:hAnsi="Arial"/>
                <w:b/>
                <w:color w:val="000000"/>
                <w:sz w:val="18"/>
              </w:rPr>
              <w:tab/>
              <w:t>Riscos em matéria de saúde no trabalho relacionados com a ASGM</w:t>
            </w:r>
          </w:p>
        </w:tc>
        <w:tc>
          <w:tcPr>
            <w:tcW w:w="1716" w:type="dxa"/>
            <w:shd w:val="clear" w:color="auto" w:fill="FFD966"/>
            <w:tcMar>
              <w:top w:w="100" w:type="dxa"/>
              <w:left w:w="100" w:type="dxa"/>
              <w:bottom w:w="100" w:type="dxa"/>
              <w:right w:w="100" w:type="dxa"/>
            </w:tcMar>
            <w:hideMark/>
          </w:tcPr>
          <w:p w14:paraId="2BB65618" w14:textId="77777777" w:rsidR="003457F2" w:rsidRPr="004E0F64" w:rsidRDefault="003457F2"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B.1</w:t>
            </w:r>
            <w:r>
              <w:rPr>
                <w:rFonts w:ascii="Arial" w:hAnsi="Arial"/>
                <w:color w:val="000000"/>
                <w:sz w:val="18"/>
              </w:rPr>
              <w:tab/>
              <w:t>Nível regulamentar e de políticas</w:t>
            </w:r>
          </w:p>
        </w:tc>
        <w:tc>
          <w:tcPr>
            <w:tcW w:w="4606" w:type="dxa"/>
            <w:shd w:val="clear" w:color="auto" w:fill="FFD966"/>
            <w:tcMar>
              <w:top w:w="100" w:type="dxa"/>
              <w:left w:w="100" w:type="dxa"/>
              <w:bottom w:w="100" w:type="dxa"/>
              <w:right w:w="100" w:type="dxa"/>
            </w:tcMar>
            <w:hideMark/>
          </w:tcPr>
          <w:p w14:paraId="0D11AE8A"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B.1.1 </w:t>
            </w:r>
            <w:r>
              <w:rPr>
                <w:rFonts w:ascii="Arial" w:hAnsi="Arial"/>
                <w:color w:val="000000"/>
                <w:sz w:val="18"/>
              </w:rPr>
              <w:tab/>
              <w:t>Regulamentos e políticas sobre os seguintes riscos em matéria de saúde no trabalho relacionados com a ASGM:</w:t>
            </w:r>
          </w:p>
          <w:p w14:paraId="7A61931C" w14:textId="765A1EE0" w:rsidR="003457F2" w:rsidRPr="004E0F64" w:rsidRDefault="003457F2" w:rsidP="001D3FCF">
            <w:pPr>
              <w:pStyle w:val="ListParagraph"/>
              <w:numPr>
                <w:ilvl w:val="0"/>
                <w:numId w:val="36"/>
              </w:numPr>
              <w:spacing w:line="240" w:lineRule="auto"/>
              <w:ind w:left="983"/>
              <w:contextualSpacing/>
              <w:rPr>
                <w:rFonts w:ascii="Arial" w:eastAsia="Times New Roman" w:hAnsi="Arial" w:cs="Arial"/>
                <w:color w:val="000000"/>
                <w:sz w:val="18"/>
                <w:szCs w:val="16"/>
              </w:rPr>
            </w:pPr>
            <w:r>
              <w:rPr>
                <w:rFonts w:ascii="Arial" w:hAnsi="Arial"/>
                <w:color w:val="000000"/>
                <w:sz w:val="18"/>
              </w:rPr>
              <w:t>Riscos químicos (mercúrio, cianeto, químicos presentes na poeira e nos gases)</w:t>
            </w:r>
          </w:p>
          <w:p w14:paraId="0C55951B" w14:textId="77777777" w:rsidR="003457F2" w:rsidRPr="004E0F64" w:rsidRDefault="003457F2" w:rsidP="001D3FCF">
            <w:pPr>
              <w:pStyle w:val="ListParagraph"/>
              <w:numPr>
                <w:ilvl w:val="0"/>
                <w:numId w:val="36"/>
              </w:numPr>
              <w:spacing w:line="240" w:lineRule="auto"/>
              <w:ind w:left="983"/>
              <w:contextualSpacing/>
              <w:rPr>
                <w:rFonts w:ascii="Arial" w:eastAsia="Times New Roman" w:hAnsi="Arial" w:cs="Arial"/>
                <w:color w:val="000000"/>
                <w:sz w:val="18"/>
                <w:szCs w:val="16"/>
              </w:rPr>
            </w:pPr>
            <w:r>
              <w:rPr>
                <w:rFonts w:ascii="Arial" w:hAnsi="Arial"/>
                <w:color w:val="000000"/>
                <w:sz w:val="18"/>
              </w:rPr>
              <w:t xml:space="preserve">Riscos biomecânicos e físicos (doenças </w:t>
            </w:r>
            <w:r>
              <w:rPr>
                <w:rFonts w:ascii="Arial" w:hAnsi="Arial"/>
                <w:color w:val="000000"/>
                <w:sz w:val="18"/>
              </w:rPr>
              <w:lastRenderedPageBreak/>
              <w:t>músculo-esqueléticas, esgotamento, traumatismo físico, ruído, calor e humidade)</w:t>
            </w:r>
          </w:p>
        </w:tc>
        <w:tc>
          <w:tcPr>
            <w:tcW w:w="981" w:type="dxa"/>
            <w:shd w:val="clear" w:color="auto" w:fill="FFD966"/>
          </w:tcPr>
          <w:p w14:paraId="4A45F111" w14:textId="77777777" w:rsidR="003457F2" w:rsidRPr="00693765" w:rsidRDefault="003457F2"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09EB9754" w14:textId="77777777" w:rsidTr="003457F2">
        <w:trPr>
          <w:trHeight w:val="441"/>
        </w:trPr>
        <w:tc>
          <w:tcPr>
            <w:tcW w:w="1753" w:type="dxa"/>
            <w:vMerge/>
            <w:shd w:val="clear" w:color="auto" w:fill="FCDA66"/>
            <w:vAlign w:val="center"/>
            <w:hideMark/>
          </w:tcPr>
          <w:p w14:paraId="7E5B32B2" w14:textId="77777777" w:rsidR="003457F2" w:rsidRPr="00693765" w:rsidRDefault="003457F2" w:rsidP="001D3FCF">
            <w:pPr>
              <w:spacing w:after="0" w:line="240" w:lineRule="auto"/>
              <w:rPr>
                <w:rFonts w:ascii="Arial" w:eastAsia="Times New Roman" w:hAnsi="Arial" w:cs="Arial"/>
                <w:b/>
                <w:bCs/>
                <w:color w:val="000000"/>
                <w:sz w:val="18"/>
                <w:szCs w:val="16"/>
                <w:lang w:eastAsia="de-DE"/>
              </w:rPr>
            </w:pPr>
          </w:p>
        </w:tc>
        <w:tc>
          <w:tcPr>
            <w:tcW w:w="1716" w:type="dxa"/>
            <w:vMerge w:val="restart"/>
            <w:shd w:val="clear" w:color="auto" w:fill="FFD966"/>
            <w:tcMar>
              <w:top w:w="100" w:type="dxa"/>
              <w:left w:w="100" w:type="dxa"/>
              <w:bottom w:w="100" w:type="dxa"/>
              <w:right w:w="100" w:type="dxa"/>
            </w:tcMar>
            <w:hideMark/>
          </w:tcPr>
          <w:p w14:paraId="0BB4D286" w14:textId="77777777" w:rsidR="003457F2" w:rsidRPr="004E0F64" w:rsidRDefault="003457F2"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B.2 </w:t>
            </w:r>
            <w:r>
              <w:rPr>
                <w:rFonts w:ascii="Arial" w:hAnsi="Arial"/>
                <w:color w:val="000000"/>
                <w:sz w:val="18"/>
              </w:rPr>
              <w:tab/>
              <w:t>Nível da estrutura</w:t>
            </w:r>
          </w:p>
        </w:tc>
        <w:tc>
          <w:tcPr>
            <w:tcW w:w="4606" w:type="dxa"/>
            <w:shd w:val="clear" w:color="auto" w:fill="FFD966"/>
            <w:tcMar>
              <w:top w:w="100" w:type="dxa"/>
              <w:left w:w="100" w:type="dxa"/>
              <w:bottom w:w="100" w:type="dxa"/>
              <w:right w:w="100" w:type="dxa"/>
            </w:tcMar>
            <w:hideMark/>
          </w:tcPr>
          <w:p w14:paraId="08891C12" w14:textId="3C83AE9D" w:rsidR="003457F2" w:rsidRPr="004E0F64" w:rsidRDefault="003457F2"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B.2.1 </w:t>
            </w:r>
            <w:r>
              <w:rPr>
                <w:rFonts w:ascii="Arial" w:hAnsi="Arial"/>
                <w:color w:val="000000"/>
                <w:sz w:val="18"/>
              </w:rPr>
              <w:tab/>
              <w:t>Organização e responsabilidades profissionais das principais instituições</w:t>
            </w:r>
          </w:p>
        </w:tc>
        <w:tc>
          <w:tcPr>
            <w:tcW w:w="981" w:type="dxa"/>
            <w:vMerge w:val="restart"/>
            <w:shd w:val="clear" w:color="auto" w:fill="FFD966"/>
          </w:tcPr>
          <w:p w14:paraId="0F0690BF" w14:textId="77777777" w:rsidR="003457F2" w:rsidRPr="00693765" w:rsidRDefault="003457F2"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142ECF69" w14:textId="77777777" w:rsidTr="001D3FCF">
        <w:trPr>
          <w:trHeight w:val="687"/>
        </w:trPr>
        <w:tc>
          <w:tcPr>
            <w:tcW w:w="1753" w:type="dxa"/>
            <w:vMerge/>
            <w:shd w:val="clear" w:color="auto" w:fill="FCDA66"/>
            <w:vAlign w:val="center"/>
          </w:tcPr>
          <w:p w14:paraId="44D923A4" w14:textId="77777777" w:rsidR="003457F2" w:rsidRPr="00693765" w:rsidRDefault="003457F2" w:rsidP="001D3FCF">
            <w:pPr>
              <w:spacing w:after="0" w:line="240" w:lineRule="auto"/>
              <w:rPr>
                <w:rFonts w:ascii="Arial" w:eastAsia="Times New Roman" w:hAnsi="Arial" w:cs="Arial"/>
                <w:b/>
                <w:bCs/>
                <w:color w:val="000000"/>
                <w:sz w:val="18"/>
                <w:szCs w:val="16"/>
                <w:lang w:eastAsia="de-DE"/>
              </w:rPr>
            </w:pPr>
          </w:p>
        </w:tc>
        <w:tc>
          <w:tcPr>
            <w:tcW w:w="1716" w:type="dxa"/>
            <w:vMerge/>
            <w:shd w:val="clear" w:color="auto" w:fill="FFD966"/>
            <w:tcMar>
              <w:top w:w="100" w:type="dxa"/>
              <w:left w:w="100" w:type="dxa"/>
              <w:bottom w:w="100" w:type="dxa"/>
              <w:right w:w="100" w:type="dxa"/>
            </w:tcMar>
          </w:tcPr>
          <w:p w14:paraId="59391AAD" w14:textId="77777777" w:rsidR="003457F2" w:rsidRPr="00693765" w:rsidRDefault="003457F2"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FFD966"/>
            <w:tcMar>
              <w:top w:w="100" w:type="dxa"/>
              <w:left w:w="100" w:type="dxa"/>
              <w:bottom w:w="100" w:type="dxa"/>
              <w:right w:w="100" w:type="dxa"/>
            </w:tcMar>
          </w:tcPr>
          <w:p w14:paraId="7EC13F5A" w14:textId="22CEA1F7" w:rsidR="003457F2" w:rsidRPr="004E0F64" w:rsidRDefault="003457F2"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B.2.2 </w:t>
            </w:r>
            <w:r>
              <w:rPr>
                <w:rFonts w:ascii="Arial" w:hAnsi="Arial"/>
                <w:color w:val="000000"/>
                <w:sz w:val="18"/>
              </w:rPr>
              <w:tab/>
              <w:t>Equipamento técnico e laboratorial para diagnosticar, monitorizar e tratar problemas de saúde no trabalho relacionados com a ASGM (ver também o ponto A.2.3)</w:t>
            </w:r>
          </w:p>
        </w:tc>
        <w:tc>
          <w:tcPr>
            <w:tcW w:w="981" w:type="dxa"/>
            <w:vMerge/>
            <w:shd w:val="clear" w:color="auto" w:fill="FFD966"/>
          </w:tcPr>
          <w:p w14:paraId="56A85E19" w14:textId="77777777" w:rsidR="003457F2" w:rsidRPr="00693765" w:rsidRDefault="003457F2"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59CDC802" w14:textId="77777777" w:rsidTr="001D3FCF">
        <w:trPr>
          <w:trHeight w:val="20"/>
        </w:trPr>
        <w:tc>
          <w:tcPr>
            <w:tcW w:w="1753" w:type="dxa"/>
            <w:vMerge/>
            <w:shd w:val="clear" w:color="auto" w:fill="FCDA66"/>
            <w:vAlign w:val="center"/>
          </w:tcPr>
          <w:p w14:paraId="2E191DE0" w14:textId="77777777" w:rsidR="003457F2" w:rsidRPr="00693765" w:rsidRDefault="003457F2" w:rsidP="001D3FCF">
            <w:pPr>
              <w:spacing w:after="0" w:line="240" w:lineRule="auto"/>
              <w:rPr>
                <w:rFonts w:ascii="Arial" w:eastAsia="Times New Roman" w:hAnsi="Arial" w:cs="Arial"/>
                <w:b/>
                <w:bCs/>
                <w:color w:val="000000"/>
                <w:sz w:val="18"/>
                <w:szCs w:val="16"/>
                <w:lang w:eastAsia="de-DE"/>
              </w:rPr>
            </w:pPr>
          </w:p>
        </w:tc>
        <w:tc>
          <w:tcPr>
            <w:tcW w:w="1716" w:type="dxa"/>
            <w:vMerge/>
            <w:shd w:val="clear" w:color="auto" w:fill="FFD966"/>
            <w:tcMar>
              <w:top w:w="100" w:type="dxa"/>
              <w:left w:w="100" w:type="dxa"/>
              <w:bottom w:w="100" w:type="dxa"/>
              <w:right w:w="100" w:type="dxa"/>
            </w:tcMar>
          </w:tcPr>
          <w:p w14:paraId="149BE23C" w14:textId="77777777" w:rsidR="003457F2" w:rsidRPr="00693765" w:rsidRDefault="003457F2"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FFD966"/>
            <w:tcMar>
              <w:top w:w="100" w:type="dxa"/>
              <w:left w:w="100" w:type="dxa"/>
              <w:bottom w:w="100" w:type="dxa"/>
              <w:right w:w="100" w:type="dxa"/>
            </w:tcMar>
          </w:tcPr>
          <w:p w14:paraId="3B42D2B1"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B.2.3 </w:t>
            </w:r>
            <w:r>
              <w:rPr>
                <w:rFonts w:ascii="Arial" w:hAnsi="Arial"/>
                <w:color w:val="000000"/>
                <w:sz w:val="18"/>
              </w:rPr>
              <w:tab/>
              <w:t>Recursos em termos de conhecimento para abordagem de problemas relacionados com a ASGM</w:t>
            </w:r>
          </w:p>
        </w:tc>
        <w:tc>
          <w:tcPr>
            <w:tcW w:w="981" w:type="dxa"/>
            <w:shd w:val="clear" w:color="auto" w:fill="FFD966"/>
          </w:tcPr>
          <w:p w14:paraId="0D99A14D" w14:textId="77777777" w:rsidR="003457F2" w:rsidRPr="00693765" w:rsidRDefault="003457F2"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33355389" w14:textId="77777777" w:rsidTr="001D3FCF">
        <w:trPr>
          <w:trHeight w:val="20"/>
        </w:trPr>
        <w:tc>
          <w:tcPr>
            <w:tcW w:w="1753" w:type="dxa"/>
            <w:vMerge/>
            <w:shd w:val="clear" w:color="auto" w:fill="FCDA66"/>
            <w:vAlign w:val="center"/>
            <w:hideMark/>
          </w:tcPr>
          <w:p w14:paraId="467EE80B" w14:textId="77777777" w:rsidR="003457F2" w:rsidRPr="00693765" w:rsidRDefault="003457F2" w:rsidP="001D3FCF">
            <w:pPr>
              <w:spacing w:after="0" w:line="240" w:lineRule="auto"/>
              <w:rPr>
                <w:rFonts w:ascii="Arial" w:eastAsia="Times New Roman" w:hAnsi="Arial" w:cs="Arial"/>
                <w:b/>
                <w:bCs/>
                <w:color w:val="000000"/>
                <w:sz w:val="18"/>
                <w:szCs w:val="16"/>
                <w:lang w:eastAsia="de-DE"/>
              </w:rPr>
            </w:pPr>
          </w:p>
        </w:tc>
        <w:tc>
          <w:tcPr>
            <w:tcW w:w="1716" w:type="dxa"/>
            <w:vMerge w:val="restart"/>
            <w:shd w:val="clear" w:color="auto" w:fill="FFD966"/>
            <w:tcMar>
              <w:top w:w="100" w:type="dxa"/>
              <w:left w:w="100" w:type="dxa"/>
              <w:bottom w:w="100" w:type="dxa"/>
              <w:right w:w="100" w:type="dxa"/>
            </w:tcMar>
            <w:hideMark/>
          </w:tcPr>
          <w:p w14:paraId="0D98B661" w14:textId="77777777" w:rsidR="003457F2" w:rsidRPr="004E0F64" w:rsidRDefault="003457F2"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B.3 </w:t>
            </w:r>
            <w:r>
              <w:rPr>
                <w:rFonts w:ascii="Arial" w:hAnsi="Arial"/>
                <w:color w:val="000000"/>
                <w:sz w:val="18"/>
              </w:rPr>
              <w:tab/>
              <w:t>Nível dos processos</w:t>
            </w:r>
          </w:p>
        </w:tc>
        <w:tc>
          <w:tcPr>
            <w:tcW w:w="4606" w:type="dxa"/>
            <w:shd w:val="clear" w:color="auto" w:fill="FFD966"/>
            <w:tcMar>
              <w:top w:w="100" w:type="dxa"/>
              <w:left w:w="100" w:type="dxa"/>
              <w:bottom w:w="100" w:type="dxa"/>
              <w:right w:w="100" w:type="dxa"/>
            </w:tcMar>
            <w:hideMark/>
          </w:tcPr>
          <w:p w14:paraId="36996C8C"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B.3.1 </w:t>
            </w:r>
            <w:r>
              <w:rPr>
                <w:rFonts w:ascii="Arial" w:hAnsi="Arial"/>
                <w:color w:val="000000"/>
                <w:sz w:val="18"/>
              </w:rPr>
              <w:tab/>
              <w:t>Mecanismos de resposta a emergências sanitárias no local de trabalho (p. ex., derrames químicos e surtos de doenças)</w:t>
            </w:r>
          </w:p>
        </w:tc>
        <w:tc>
          <w:tcPr>
            <w:tcW w:w="981" w:type="dxa"/>
            <w:shd w:val="clear" w:color="auto" w:fill="FFD966"/>
          </w:tcPr>
          <w:p w14:paraId="36E61160" w14:textId="77777777" w:rsidR="003457F2" w:rsidRPr="00693765" w:rsidRDefault="003457F2"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1A95DB32" w14:textId="77777777" w:rsidTr="001D3FCF">
        <w:trPr>
          <w:trHeight w:val="20"/>
        </w:trPr>
        <w:tc>
          <w:tcPr>
            <w:tcW w:w="1753" w:type="dxa"/>
            <w:vMerge/>
            <w:shd w:val="clear" w:color="auto" w:fill="FCDA66"/>
            <w:vAlign w:val="center"/>
          </w:tcPr>
          <w:p w14:paraId="1FD2896F" w14:textId="77777777" w:rsidR="003457F2" w:rsidRPr="00693765" w:rsidRDefault="003457F2" w:rsidP="001D3FCF">
            <w:pPr>
              <w:spacing w:after="0" w:line="240" w:lineRule="auto"/>
              <w:rPr>
                <w:rFonts w:ascii="Arial" w:eastAsia="Times New Roman" w:hAnsi="Arial" w:cs="Arial"/>
                <w:b/>
                <w:bCs/>
                <w:color w:val="000000"/>
                <w:sz w:val="18"/>
                <w:szCs w:val="16"/>
                <w:lang w:eastAsia="de-DE"/>
              </w:rPr>
            </w:pPr>
          </w:p>
        </w:tc>
        <w:tc>
          <w:tcPr>
            <w:tcW w:w="1716" w:type="dxa"/>
            <w:vMerge/>
            <w:shd w:val="clear" w:color="auto" w:fill="FFD966"/>
            <w:tcMar>
              <w:top w:w="100" w:type="dxa"/>
              <w:left w:w="100" w:type="dxa"/>
              <w:bottom w:w="100" w:type="dxa"/>
              <w:right w:w="100" w:type="dxa"/>
            </w:tcMar>
          </w:tcPr>
          <w:p w14:paraId="6AEF38EB" w14:textId="77777777" w:rsidR="003457F2" w:rsidRPr="00693765" w:rsidRDefault="003457F2"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FFD966"/>
            <w:tcMar>
              <w:top w:w="100" w:type="dxa"/>
              <w:left w:w="100" w:type="dxa"/>
              <w:bottom w:w="100" w:type="dxa"/>
              <w:right w:w="100" w:type="dxa"/>
            </w:tcMar>
          </w:tcPr>
          <w:p w14:paraId="76678827"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B.3.2 </w:t>
            </w:r>
            <w:r>
              <w:rPr>
                <w:rFonts w:ascii="Arial" w:hAnsi="Arial"/>
                <w:color w:val="000000"/>
                <w:sz w:val="18"/>
              </w:rPr>
              <w:tab/>
              <w:t>Mecanismos de prevenção para abordar riscos em matéria de saúde no local de trabalho (p. ex., químicos, mecânicos, físicos)</w:t>
            </w:r>
          </w:p>
        </w:tc>
        <w:tc>
          <w:tcPr>
            <w:tcW w:w="981" w:type="dxa"/>
            <w:shd w:val="clear" w:color="auto" w:fill="FFD966"/>
          </w:tcPr>
          <w:p w14:paraId="7CDF38E0" w14:textId="77777777" w:rsidR="003457F2" w:rsidRPr="00693765" w:rsidRDefault="003457F2"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25A704A7" w14:textId="77777777" w:rsidTr="001D3FCF">
        <w:trPr>
          <w:trHeight w:val="20"/>
        </w:trPr>
        <w:tc>
          <w:tcPr>
            <w:tcW w:w="1753" w:type="dxa"/>
            <w:vMerge/>
            <w:shd w:val="clear" w:color="auto" w:fill="FCDA66"/>
            <w:vAlign w:val="center"/>
          </w:tcPr>
          <w:p w14:paraId="0206BD59" w14:textId="77777777" w:rsidR="003457F2" w:rsidRPr="00693765" w:rsidRDefault="003457F2" w:rsidP="001D3FCF">
            <w:pPr>
              <w:spacing w:after="0" w:line="240" w:lineRule="auto"/>
              <w:rPr>
                <w:rFonts w:ascii="Arial" w:eastAsia="Times New Roman" w:hAnsi="Arial" w:cs="Arial"/>
                <w:b/>
                <w:bCs/>
                <w:color w:val="000000"/>
                <w:sz w:val="18"/>
                <w:szCs w:val="16"/>
                <w:lang w:eastAsia="de-DE"/>
              </w:rPr>
            </w:pPr>
          </w:p>
        </w:tc>
        <w:tc>
          <w:tcPr>
            <w:tcW w:w="1716" w:type="dxa"/>
            <w:vMerge/>
            <w:shd w:val="clear" w:color="auto" w:fill="FFD966"/>
            <w:tcMar>
              <w:top w:w="100" w:type="dxa"/>
              <w:left w:w="100" w:type="dxa"/>
              <w:bottom w:w="100" w:type="dxa"/>
              <w:right w:w="100" w:type="dxa"/>
            </w:tcMar>
          </w:tcPr>
          <w:p w14:paraId="579AAAF0" w14:textId="77777777" w:rsidR="003457F2" w:rsidRPr="00693765" w:rsidRDefault="003457F2"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FFD966"/>
            <w:tcMar>
              <w:top w:w="100" w:type="dxa"/>
              <w:left w:w="100" w:type="dxa"/>
              <w:bottom w:w="100" w:type="dxa"/>
              <w:right w:w="100" w:type="dxa"/>
            </w:tcMar>
          </w:tcPr>
          <w:p w14:paraId="639CAE73"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B.3.3 </w:t>
            </w:r>
            <w:r>
              <w:rPr>
                <w:rFonts w:ascii="Arial" w:hAnsi="Arial"/>
                <w:color w:val="000000"/>
                <w:sz w:val="18"/>
              </w:rPr>
              <w:tab/>
              <w:t>Mecanismos de coordenação entre ministérios para abordagem dos riscos em matéria de saúde no trabalho</w:t>
            </w:r>
          </w:p>
        </w:tc>
        <w:tc>
          <w:tcPr>
            <w:tcW w:w="981" w:type="dxa"/>
            <w:shd w:val="clear" w:color="auto" w:fill="FFD966"/>
          </w:tcPr>
          <w:p w14:paraId="0CDD6CE3" w14:textId="77777777" w:rsidR="003457F2" w:rsidRPr="00693765" w:rsidRDefault="003457F2"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63F5EF1F" w14:textId="77777777" w:rsidTr="001D3FCF">
        <w:trPr>
          <w:trHeight w:val="20"/>
        </w:trPr>
        <w:tc>
          <w:tcPr>
            <w:tcW w:w="1753" w:type="dxa"/>
            <w:vMerge w:val="restart"/>
            <w:shd w:val="clear" w:color="auto" w:fill="A8D08D"/>
            <w:tcMar>
              <w:top w:w="100" w:type="dxa"/>
              <w:left w:w="100" w:type="dxa"/>
              <w:bottom w:w="100" w:type="dxa"/>
              <w:right w:w="100" w:type="dxa"/>
            </w:tcMar>
            <w:hideMark/>
          </w:tcPr>
          <w:p w14:paraId="136A3963" w14:textId="2A6BBFC8" w:rsidR="002C0C53" w:rsidRPr="004E0F64" w:rsidRDefault="003625BB" w:rsidP="001D3FCF">
            <w:pPr>
              <w:spacing w:after="0" w:line="240" w:lineRule="auto"/>
              <w:ind w:left="317" w:hanging="284"/>
              <w:rPr>
                <w:rFonts w:ascii="Arial" w:eastAsia="Times New Roman" w:hAnsi="Arial" w:cs="Arial"/>
                <w:b/>
                <w:bCs/>
                <w:color w:val="000000"/>
                <w:sz w:val="18"/>
                <w:szCs w:val="16"/>
              </w:rPr>
            </w:pPr>
            <w:r>
              <w:rPr>
                <w:rFonts w:ascii="Arial" w:hAnsi="Arial"/>
                <w:b/>
                <w:color w:val="000000"/>
                <w:sz w:val="18"/>
              </w:rPr>
              <w:t>C. Riscos ambientais relacionados com a ASGM com implicações para a saúde</w:t>
            </w:r>
          </w:p>
        </w:tc>
        <w:tc>
          <w:tcPr>
            <w:tcW w:w="1716" w:type="dxa"/>
            <w:shd w:val="clear" w:color="auto" w:fill="A8D08D"/>
            <w:tcMar>
              <w:top w:w="100" w:type="dxa"/>
              <w:left w:w="100" w:type="dxa"/>
              <w:bottom w:w="100" w:type="dxa"/>
              <w:right w:w="100" w:type="dxa"/>
            </w:tcMar>
            <w:hideMark/>
          </w:tcPr>
          <w:p w14:paraId="6D283FB6"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C.1</w:t>
            </w:r>
            <w:r>
              <w:rPr>
                <w:rFonts w:ascii="Arial" w:hAnsi="Arial"/>
                <w:color w:val="000000"/>
                <w:sz w:val="18"/>
              </w:rPr>
              <w:tab/>
              <w:t>Nível regulamentar e de políticas</w:t>
            </w:r>
          </w:p>
        </w:tc>
        <w:tc>
          <w:tcPr>
            <w:tcW w:w="4606" w:type="dxa"/>
            <w:shd w:val="clear" w:color="auto" w:fill="A8D08D"/>
            <w:tcMar>
              <w:top w:w="100" w:type="dxa"/>
              <w:left w:w="100" w:type="dxa"/>
              <w:bottom w:w="100" w:type="dxa"/>
              <w:right w:w="100" w:type="dxa"/>
            </w:tcMar>
            <w:hideMark/>
          </w:tcPr>
          <w:p w14:paraId="3C212486" w14:textId="6C284DE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C.1.1 </w:t>
            </w:r>
            <w:r>
              <w:rPr>
                <w:rFonts w:ascii="Arial" w:hAnsi="Arial"/>
                <w:color w:val="000000"/>
                <w:sz w:val="18"/>
              </w:rPr>
              <w:tab/>
              <w:t>Regulamentos e políticas sobre a degradação dos solos, emissões de mercúrio e poluição, assoreamento, erosão e contaminação das águas</w:t>
            </w:r>
          </w:p>
        </w:tc>
        <w:tc>
          <w:tcPr>
            <w:tcW w:w="981" w:type="dxa"/>
            <w:shd w:val="clear" w:color="auto" w:fill="A8D08D"/>
          </w:tcPr>
          <w:p w14:paraId="5E8308D0"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76194C0" w14:textId="77777777" w:rsidTr="001D3FCF">
        <w:trPr>
          <w:trHeight w:val="20"/>
        </w:trPr>
        <w:tc>
          <w:tcPr>
            <w:tcW w:w="1753" w:type="dxa"/>
            <w:vMerge/>
            <w:shd w:val="clear" w:color="auto" w:fill="A8D08D"/>
            <w:vAlign w:val="center"/>
            <w:hideMark/>
          </w:tcPr>
          <w:p w14:paraId="6CE3771D"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val="restart"/>
            <w:shd w:val="clear" w:color="auto" w:fill="A8D08D"/>
            <w:tcMar>
              <w:top w:w="100" w:type="dxa"/>
              <w:left w:w="100" w:type="dxa"/>
              <w:bottom w:w="100" w:type="dxa"/>
              <w:right w:w="100" w:type="dxa"/>
            </w:tcMar>
            <w:hideMark/>
          </w:tcPr>
          <w:p w14:paraId="6D5D813A" w14:textId="77777777" w:rsidR="002C0C53" w:rsidRPr="004E0F64" w:rsidRDefault="002C0C53" w:rsidP="001D3FCF">
            <w:pPr>
              <w:spacing w:after="0" w:line="240" w:lineRule="auto"/>
              <w:rPr>
                <w:rFonts w:ascii="Arial" w:eastAsia="Times New Roman" w:hAnsi="Arial" w:cs="Arial"/>
                <w:color w:val="000000"/>
                <w:sz w:val="18"/>
                <w:szCs w:val="16"/>
              </w:rPr>
            </w:pPr>
            <w:r>
              <w:rPr>
                <w:rFonts w:ascii="Arial" w:hAnsi="Arial"/>
                <w:color w:val="000000"/>
                <w:sz w:val="18"/>
              </w:rPr>
              <w:t xml:space="preserve">C.2 </w:t>
            </w:r>
            <w:r>
              <w:rPr>
                <w:rFonts w:ascii="Arial" w:hAnsi="Arial"/>
                <w:color w:val="000000"/>
                <w:sz w:val="18"/>
              </w:rPr>
              <w:tab/>
              <w:t>Nível da estrutura</w:t>
            </w:r>
          </w:p>
        </w:tc>
        <w:tc>
          <w:tcPr>
            <w:tcW w:w="4606" w:type="dxa"/>
            <w:shd w:val="clear" w:color="auto" w:fill="A8D08D"/>
            <w:tcMar>
              <w:top w:w="100" w:type="dxa"/>
              <w:left w:w="100" w:type="dxa"/>
              <w:bottom w:w="100" w:type="dxa"/>
              <w:right w:w="100" w:type="dxa"/>
            </w:tcMar>
            <w:hideMark/>
          </w:tcPr>
          <w:p w14:paraId="4F72EA59" w14:textId="2CD38C10" w:rsidR="002C0C53" w:rsidRPr="004E0F64" w:rsidRDefault="002C0C53"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C.2.1 </w:t>
            </w:r>
            <w:r>
              <w:rPr>
                <w:rFonts w:ascii="Arial" w:hAnsi="Arial"/>
                <w:color w:val="000000"/>
                <w:sz w:val="18"/>
              </w:rPr>
              <w:tab/>
              <w:t>Organização e responsabilidades profissionais das principais instituições</w:t>
            </w:r>
          </w:p>
        </w:tc>
        <w:tc>
          <w:tcPr>
            <w:tcW w:w="981" w:type="dxa"/>
            <w:shd w:val="clear" w:color="auto" w:fill="A8D08D"/>
          </w:tcPr>
          <w:p w14:paraId="06954415"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12641376" w14:textId="77777777" w:rsidTr="001D3FCF">
        <w:trPr>
          <w:trHeight w:val="20"/>
        </w:trPr>
        <w:tc>
          <w:tcPr>
            <w:tcW w:w="1753" w:type="dxa"/>
            <w:vMerge/>
            <w:shd w:val="clear" w:color="auto" w:fill="A8D08D"/>
            <w:vAlign w:val="center"/>
          </w:tcPr>
          <w:p w14:paraId="6594494A"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A8D08D"/>
            <w:tcMar>
              <w:top w:w="100" w:type="dxa"/>
              <w:left w:w="100" w:type="dxa"/>
              <w:bottom w:w="100" w:type="dxa"/>
              <w:right w:w="100" w:type="dxa"/>
            </w:tcMar>
          </w:tcPr>
          <w:p w14:paraId="04CC76ED" w14:textId="77777777" w:rsidR="002C0C53" w:rsidRPr="00693765" w:rsidRDefault="002C0C53" w:rsidP="001D3FCF">
            <w:pPr>
              <w:spacing w:after="0" w:line="240" w:lineRule="auto"/>
              <w:rPr>
                <w:rFonts w:ascii="Arial" w:eastAsia="Times New Roman" w:hAnsi="Arial" w:cs="Arial"/>
                <w:color w:val="000000"/>
                <w:sz w:val="18"/>
                <w:szCs w:val="16"/>
                <w:lang w:eastAsia="de-DE"/>
              </w:rPr>
            </w:pPr>
          </w:p>
        </w:tc>
        <w:tc>
          <w:tcPr>
            <w:tcW w:w="4606" w:type="dxa"/>
            <w:shd w:val="clear" w:color="auto" w:fill="A8D08D"/>
            <w:tcMar>
              <w:top w:w="100" w:type="dxa"/>
              <w:left w:w="100" w:type="dxa"/>
              <w:bottom w:w="100" w:type="dxa"/>
              <w:right w:w="100" w:type="dxa"/>
            </w:tcMar>
          </w:tcPr>
          <w:p w14:paraId="32FB09D0"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C.2.2 </w:t>
            </w:r>
            <w:r>
              <w:rPr>
                <w:rFonts w:ascii="Arial" w:hAnsi="Arial"/>
                <w:color w:val="000000"/>
                <w:sz w:val="18"/>
              </w:rPr>
              <w:tab/>
              <w:t>Equipamento técnico e laboratorial para avaliar, monitorizar e melhorar os problemas ambientais relacionados com a ASGM</w:t>
            </w:r>
          </w:p>
        </w:tc>
        <w:tc>
          <w:tcPr>
            <w:tcW w:w="981" w:type="dxa"/>
            <w:shd w:val="clear" w:color="auto" w:fill="A8D08D"/>
          </w:tcPr>
          <w:p w14:paraId="63B42E60"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50172268" w14:textId="77777777" w:rsidTr="001D3FCF">
        <w:trPr>
          <w:trHeight w:val="20"/>
        </w:trPr>
        <w:tc>
          <w:tcPr>
            <w:tcW w:w="1753" w:type="dxa"/>
            <w:vMerge/>
            <w:shd w:val="clear" w:color="auto" w:fill="A8D08D"/>
            <w:vAlign w:val="center"/>
          </w:tcPr>
          <w:p w14:paraId="244B4FA4"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A8D08D"/>
            <w:tcMar>
              <w:top w:w="100" w:type="dxa"/>
              <w:left w:w="100" w:type="dxa"/>
              <w:bottom w:w="100" w:type="dxa"/>
              <w:right w:w="100" w:type="dxa"/>
            </w:tcMar>
          </w:tcPr>
          <w:p w14:paraId="783AFBC6" w14:textId="77777777" w:rsidR="002C0C53" w:rsidRPr="00693765" w:rsidRDefault="002C0C53" w:rsidP="001D3FCF">
            <w:pPr>
              <w:spacing w:after="0" w:line="240" w:lineRule="auto"/>
              <w:rPr>
                <w:rFonts w:ascii="Arial" w:eastAsia="Times New Roman" w:hAnsi="Arial" w:cs="Arial"/>
                <w:color w:val="000000"/>
                <w:sz w:val="18"/>
                <w:szCs w:val="16"/>
                <w:lang w:eastAsia="de-DE"/>
              </w:rPr>
            </w:pPr>
          </w:p>
        </w:tc>
        <w:tc>
          <w:tcPr>
            <w:tcW w:w="4606" w:type="dxa"/>
            <w:shd w:val="clear" w:color="auto" w:fill="A8D08D"/>
            <w:tcMar>
              <w:top w:w="100" w:type="dxa"/>
              <w:left w:w="100" w:type="dxa"/>
              <w:bottom w:w="100" w:type="dxa"/>
              <w:right w:w="100" w:type="dxa"/>
            </w:tcMar>
          </w:tcPr>
          <w:p w14:paraId="09D9D9C9"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C.2.3 </w:t>
            </w:r>
            <w:r>
              <w:rPr>
                <w:rFonts w:ascii="Arial" w:hAnsi="Arial"/>
                <w:color w:val="000000"/>
                <w:sz w:val="18"/>
              </w:rPr>
              <w:tab/>
              <w:t>Recursos em termos de conhecimento para abordagem de problemas relacionados com a ASGM</w:t>
            </w:r>
          </w:p>
        </w:tc>
        <w:tc>
          <w:tcPr>
            <w:tcW w:w="981" w:type="dxa"/>
            <w:shd w:val="clear" w:color="auto" w:fill="A8D08D"/>
          </w:tcPr>
          <w:p w14:paraId="0584BB6E"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1A693CBC" w14:textId="77777777" w:rsidTr="001D3FCF">
        <w:trPr>
          <w:trHeight w:val="20"/>
        </w:trPr>
        <w:tc>
          <w:tcPr>
            <w:tcW w:w="1753" w:type="dxa"/>
            <w:vMerge/>
            <w:shd w:val="clear" w:color="auto" w:fill="A8D08D"/>
            <w:vAlign w:val="center"/>
            <w:hideMark/>
          </w:tcPr>
          <w:p w14:paraId="228FD982"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val="restart"/>
            <w:shd w:val="clear" w:color="auto" w:fill="A8D08D"/>
            <w:tcMar>
              <w:top w:w="100" w:type="dxa"/>
              <w:left w:w="100" w:type="dxa"/>
              <w:bottom w:w="100" w:type="dxa"/>
              <w:right w:w="100" w:type="dxa"/>
            </w:tcMar>
            <w:hideMark/>
          </w:tcPr>
          <w:p w14:paraId="03980F05" w14:textId="77777777" w:rsidR="002C0C53" w:rsidRPr="004E0F64" w:rsidRDefault="002C0C53" w:rsidP="001D3FCF">
            <w:pPr>
              <w:spacing w:after="0" w:line="240" w:lineRule="auto"/>
              <w:rPr>
                <w:rFonts w:ascii="Arial" w:eastAsia="Times New Roman" w:hAnsi="Arial" w:cs="Arial"/>
                <w:color w:val="000000"/>
                <w:sz w:val="18"/>
                <w:szCs w:val="16"/>
              </w:rPr>
            </w:pPr>
            <w:r>
              <w:rPr>
                <w:rFonts w:ascii="Arial" w:hAnsi="Arial"/>
                <w:color w:val="000000"/>
                <w:sz w:val="18"/>
              </w:rPr>
              <w:t>C.3 Nível dos processos</w:t>
            </w:r>
          </w:p>
        </w:tc>
        <w:tc>
          <w:tcPr>
            <w:tcW w:w="4606" w:type="dxa"/>
            <w:shd w:val="clear" w:color="auto" w:fill="A8D08D"/>
            <w:tcMar>
              <w:top w:w="100" w:type="dxa"/>
              <w:left w:w="100" w:type="dxa"/>
              <w:bottom w:w="100" w:type="dxa"/>
              <w:right w:w="100" w:type="dxa"/>
            </w:tcMar>
            <w:hideMark/>
          </w:tcPr>
          <w:p w14:paraId="7B84EE88"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C.3.1 </w:t>
            </w:r>
            <w:r>
              <w:rPr>
                <w:rFonts w:ascii="Arial" w:hAnsi="Arial"/>
                <w:color w:val="000000"/>
                <w:sz w:val="18"/>
              </w:rPr>
              <w:tab/>
              <w:t>Mecanismos de resposta a emergências ambientais relacionadas com a ASGM (p. ex., poluição por mercúrio, contaminação das águas)</w:t>
            </w:r>
          </w:p>
        </w:tc>
        <w:tc>
          <w:tcPr>
            <w:tcW w:w="981" w:type="dxa"/>
            <w:shd w:val="clear" w:color="auto" w:fill="A8D08D"/>
          </w:tcPr>
          <w:p w14:paraId="35BFCEB1"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6824842C" w14:textId="77777777" w:rsidTr="001D3FCF">
        <w:trPr>
          <w:trHeight w:val="20"/>
        </w:trPr>
        <w:tc>
          <w:tcPr>
            <w:tcW w:w="1753" w:type="dxa"/>
            <w:vMerge/>
            <w:shd w:val="clear" w:color="auto" w:fill="A8D08D"/>
            <w:vAlign w:val="center"/>
          </w:tcPr>
          <w:p w14:paraId="524BC95E"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A8D08D"/>
            <w:tcMar>
              <w:top w:w="100" w:type="dxa"/>
              <w:left w:w="100" w:type="dxa"/>
              <w:bottom w:w="100" w:type="dxa"/>
              <w:right w:w="100" w:type="dxa"/>
            </w:tcMar>
          </w:tcPr>
          <w:p w14:paraId="40790985" w14:textId="77777777" w:rsidR="002C0C53" w:rsidRPr="00693765" w:rsidRDefault="002C0C53" w:rsidP="001D3FCF">
            <w:pPr>
              <w:spacing w:after="0" w:line="240" w:lineRule="auto"/>
              <w:rPr>
                <w:rFonts w:ascii="Arial" w:eastAsia="Times New Roman" w:hAnsi="Arial" w:cs="Arial"/>
                <w:color w:val="000000"/>
                <w:sz w:val="18"/>
                <w:szCs w:val="16"/>
                <w:lang w:eastAsia="de-DE"/>
              </w:rPr>
            </w:pPr>
          </w:p>
        </w:tc>
        <w:tc>
          <w:tcPr>
            <w:tcW w:w="4606" w:type="dxa"/>
            <w:shd w:val="clear" w:color="auto" w:fill="A8D08D"/>
            <w:tcMar>
              <w:top w:w="100" w:type="dxa"/>
              <w:left w:w="100" w:type="dxa"/>
              <w:bottom w:w="100" w:type="dxa"/>
              <w:right w:w="100" w:type="dxa"/>
            </w:tcMar>
          </w:tcPr>
          <w:p w14:paraId="7E6EFC25" w14:textId="4AB0FE0E"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C.3.2 </w:t>
            </w:r>
            <w:r>
              <w:rPr>
                <w:rFonts w:ascii="Arial" w:hAnsi="Arial"/>
                <w:color w:val="000000"/>
                <w:sz w:val="18"/>
              </w:rPr>
              <w:tab/>
              <w:t>Mecanismos de prevenção para abordar riscos ambientais relacionados com a ASGM (p. ex., degradação do solo, emissões de mercúrio e poluição, assoreamento, erosão, contaminação das águas)</w:t>
            </w:r>
          </w:p>
        </w:tc>
        <w:tc>
          <w:tcPr>
            <w:tcW w:w="981" w:type="dxa"/>
            <w:shd w:val="clear" w:color="auto" w:fill="A8D08D"/>
          </w:tcPr>
          <w:p w14:paraId="02CC0690"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81FB54D" w14:textId="77777777" w:rsidTr="001D3FCF">
        <w:trPr>
          <w:trHeight w:val="20"/>
        </w:trPr>
        <w:tc>
          <w:tcPr>
            <w:tcW w:w="1753" w:type="dxa"/>
            <w:vMerge/>
            <w:shd w:val="clear" w:color="auto" w:fill="A8D08D"/>
            <w:vAlign w:val="center"/>
          </w:tcPr>
          <w:p w14:paraId="5BEF7F3A"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A8D08D"/>
            <w:tcMar>
              <w:top w:w="100" w:type="dxa"/>
              <w:left w:w="100" w:type="dxa"/>
              <w:bottom w:w="100" w:type="dxa"/>
              <w:right w:w="100" w:type="dxa"/>
            </w:tcMar>
          </w:tcPr>
          <w:p w14:paraId="0DF0AC7D" w14:textId="77777777" w:rsidR="002C0C53" w:rsidRPr="00693765" w:rsidRDefault="002C0C53" w:rsidP="001D3FCF">
            <w:pPr>
              <w:spacing w:after="0" w:line="240" w:lineRule="auto"/>
              <w:rPr>
                <w:rFonts w:ascii="Arial" w:eastAsia="Times New Roman" w:hAnsi="Arial" w:cs="Arial"/>
                <w:color w:val="000000"/>
                <w:sz w:val="18"/>
                <w:szCs w:val="16"/>
                <w:lang w:eastAsia="de-DE"/>
              </w:rPr>
            </w:pPr>
          </w:p>
        </w:tc>
        <w:tc>
          <w:tcPr>
            <w:tcW w:w="4606" w:type="dxa"/>
            <w:shd w:val="clear" w:color="auto" w:fill="A8D08D"/>
            <w:tcMar>
              <w:top w:w="100" w:type="dxa"/>
              <w:left w:w="100" w:type="dxa"/>
              <w:bottom w:w="100" w:type="dxa"/>
              <w:right w:w="100" w:type="dxa"/>
            </w:tcMar>
          </w:tcPr>
          <w:p w14:paraId="6515F7C6" w14:textId="5C943A3E"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C.3.3 </w:t>
            </w:r>
            <w:r>
              <w:rPr>
                <w:rFonts w:ascii="Arial" w:hAnsi="Arial"/>
                <w:color w:val="000000"/>
                <w:sz w:val="18"/>
              </w:rPr>
              <w:tab/>
              <w:t>Programas de formação destinados aos profissionais para deteção e monitorização dos riscos ambientais relacionados com a ASGM</w:t>
            </w:r>
          </w:p>
        </w:tc>
        <w:tc>
          <w:tcPr>
            <w:tcW w:w="981" w:type="dxa"/>
            <w:shd w:val="clear" w:color="auto" w:fill="A8D08D"/>
          </w:tcPr>
          <w:p w14:paraId="16CF41E5"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340C4CE" w14:textId="77777777" w:rsidTr="001D3FCF">
        <w:trPr>
          <w:trHeight w:val="20"/>
        </w:trPr>
        <w:tc>
          <w:tcPr>
            <w:tcW w:w="1753" w:type="dxa"/>
            <w:vMerge/>
            <w:shd w:val="clear" w:color="auto" w:fill="A8D08D"/>
            <w:vAlign w:val="center"/>
          </w:tcPr>
          <w:p w14:paraId="637B0CE8"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A8D08D"/>
            <w:tcMar>
              <w:top w:w="100" w:type="dxa"/>
              <w:left w:w="100" w:type="dxa"/>
              <w:bottom w:w="100" w:type="dxa"/>
              <w:right w:w="100" w:type="dxa"/>
            </w:tcMar>
          </w:tcPr>
          <w:p w14:paraId="02AB1A7E" w14:textId="77777777" w:rsidR="002C0C53" w:rsidRPr="00693765" w:rsidRDefault="002C0C53" w:rsidP="001D3FCF">
            <w:pPr>
              <w:spacing w:after="0" w:line="240" w:lineRule="auto"/>
              <w:rPr>
                <w:rFonts w:ascii="Arial" w:eastAsia="Times New Roman" w:hAnsi="Arial" w:cs="Arial"/>
                <w:color w:val="000000"/>
                <w:sz w:val="18"/>
                <w:szCs w:val="16"/>
                <w:lang w:eastAsia="de-DE"/>
              </w:rPr>
            </w:pPr>
          </w:p>
        </w:tc>
        <w:tc>
          <w:tcPr>
            <w:tcW w:w="4606" w:type="dxa"/>
            <w:shd w:val="clear" w:color="auto" w:fill="A8D08D"/>
            <w:tcMar>
              <w:top w:w="100" w:type="dxa"/>
              <w:left w:w="100" w:type="dxa"/>
              <w:bottom w:w="100" w:type="dxa"/>
              <w:right w:w="100" w:type="dxa"/>
            </w:tcMar>
          </w:tcPr>
          <w:p w14:paraId="79241110"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C.3.4 </w:t>
            </w:r>
            <w:r>
              <w:rPr>
                <w:rFonts w:ascii="Arial" w:hAnsi="Arial"/>
                <w:color w:val="000000"/>
                <w:sz w:val="18"/>
              </w:rPr>
              <w:tab/>
              <w:t>Mecanismos de coordenação entre ministérios para abordagem dos riscos ambientais com implicações para a saúde</w:t>
            </w:r>
          </w:p>
        </w:tc>
        <w:tc>
          <w:tcPr>
            <w:tcW w:w="981" w:type="dxa"/>
            <w:shd w:val="clear" w:color="auto" w:fill="A8D08D"/>
          </w:tcPr>
          <w:p w14:paraId="77AF82FB"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0A6A163B" w14:textId="77777777" w:rsidTr="001D3FCF">
        <w:trPr>
          <w:trHeight w:val="20"/>
        </w:trPr>
        <w:tc>
          <w:tcPr>
            <w:tcW w:w="1753" w:type="dxa"/>
            <w:vMerge w:val="restart"/>
            <w:shd w:val="clear" w:color="auto" w:fill="F4B083"/>
            <w:tcMar>
              <w:top w:w="100" w:type="dxa"/>
              <w:left w:w="100" w:type="dxa"/>
              <w:bottom w:w="100" w:type="dxa"/>
              <w:right w:w="100" w:type="dxa"/>
            </w:tcMar>
            <w:hideMark/>
          </w:tcPr>
          <w:p w14:paraId="06CAE2CA" w14:textId="77777777" w:rsidR="002C0C53" w:rsidRPr="004E0F64" w:rsidRDefault="002C0C53" w:rsidP="001D3FCF">
            <w:pPr>
              <w:spacing w:after="0" w:line="240" w:lineRule="auto"/>
              <w:ind w:left="317" w:hanging="284"/>
              <w:rPr>
                <w:rFonts w:ascii="Arial" w:eastAsia="Times New Roman" w:hAnsi="Arial"/>
                <w:sz w:val="18"/>
                <w:szCs w:val="16"/>
              </w:rPr>
            </w:pPr>
            <w:r>
              <w:rPr>
                <w:rFonts w:ascii="Arial" w:hAnsi="Arial"/>
                <w:b/>
                <w:color w:val="000000"/>
                <w:sz w:val="18"/>
              </w:rPr>
              <w:t>D.</w:t>
            </w:r>
            <w:r>
              <w:rPr>
                <w:rFonts w:ascii="Arial" w:hAnsi="Arial"/>
                <w:b/>
                <w:color w:val="000000"/>
                <w:sz w:val="18"/>
              </w:rPr>
              <w:tab/>
              <w:t xml:space="preserve">Gestão de químicos relacionada </w:t>
            </w:r>
            <w:r>
              <w:rPr>
                <w:rFonts w:ascii="Arial" w:hAnsi="Arial"/>
                <w:b/>
                <w:color w:val="000000"/>
                <w:sz w:val="18"/>
              </w:rPr>
              <w:lastRenderedPageBreak/>
              <w:t>com a ASGM</w:t>
            </w:r>
          </w:p>
        </w:tc>
        <w:tc>
          <w:tcPr>
            <w:tcW w:w="1716" w:type="dxa"/>
            <w:shd w:val="clear" w:color="auto" w:fill="F4B083"/>
            <w:tcMar>
              <w:top w:w="100" w:type="dxa"/>
              <w:left w:w="100" w:type="dxa"/>
              <w:bottom w:w="100" w:type="dxa"/>
              <w:right w:w="100" w:type="dxa"/>
            </w:tcMar>
            <w:hideMark/>
          </w:tcPr>
          <w:p w14:paraId="306B0B97"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lastRenderedPageBreak/>
              <w:t>D.1</w:t>
            </w:r>
            <w:r>
              <w:rPr>
                <w:rFonts w:ascii="Arial" w:hAnsi="Arial"/>
                <w:color w:val="000000"/>
                <w:sz w:val="18"/>
              </w:rPr>
              <w:tab/>
              <w:t>Nível regulamentar e de políticas</w:t>
            </w:r>
          </w:p>
        </w:tc>
        <w:tc>
          <w:tcPr>
            <w:tcW w:w="4606" w:type="dxa"/>
            <w:shd w:val="clear" w:color="auto" w:fill="F4B083"/>
            <w:tcMar>
              <w:top w:w="100" w:type="dxa"/>
              <w:left w:w="100" w:type="dxa"/>
              <w:bottom w:w="100" w:type="dxa"/>
              <w:right w:w="100" w:type="dxa"/>
            </w:tcMar>
            <w:hideMark/>
          </w:tcPr>
          <w:p w14:paraId="15A88024"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D.1.1 </w:t>
            </w:r>
            <w:r>
              <w:rPr>
                <w:rFonts w:ascii="Arial" w:hAnsi="Arial"/>
                <w:color w:val="000000"/>
                <w:sz w:val="18"/>
              </w:rPr>
              <w:tab/>
              <w:t>Regulamentos e políticas para a gestão de substâncias químicas</w:t>
            </w:r>
          </w:p>
        </w:tc>
        <w:tc>
          <w:tcPr>
            <w:tcW w:w="981" w:type="dxa"/>
            <w:shd w:val="clear" w:color="auto" w:fill="F4B083"/>
          </w:tcPr>
          <w:p w14:paraId="7C48A836"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082AF2E5" w14:textId="77777777" w:rsidTr="001D3FCF">
        <w:trPr>
          <w:trHeight w:val="20"/>
        </w:trPr>
        <w:tc>
          <w:tcPr>
            <w:tcW w:w="1753" w:type="dxa"/>
            <w:vMerge/>
            <w:shd w:val="clear" w:color="auto" w:fill="F4B083"/>
            <w:vAlign w:val="center"/>
            <w:hideMark/>
          </w:tcPr>
          <w:p w14:paraId="22E39D97"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val="restart"/>
            <w:shd w:val="clear" w:color="auto" w:fill="F4B083"/>
            <w:tcMar>
              <w:top w:w="100" w:type="dxa"/>
              <w:left w:w="100" w:type="dxa"/>
              <w:bottom w:w="100" w:type="dxa"/>
              <w:right w:w="100" w:type="dxa"/>
            </w:tcMar>
            <w:hideMark/>
          </w:tcPr>
          <w:p w14:paraId="112180A0"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D.2 </w:t>
            </w:r>
            <w:r>
              <w:rPr>
                <w:rFonts w:ascii="Arial" w:hAnsi="Arial"/>
                <w:color w:val="000000"/>
                <w:sz w:val="18"/>
              </w:rPr>
              <w:tab/>
              <w:t>Nível da estrutura</w:t>
            </w:r>
          </w:p>
        </w:tc>
        <w:tc>
          <w:tcPr>
            <w:tcW w:w="4606" w:type="dxa"/>
            <w:shd w:val="clear" w:color="auto" w:fill="F4B083"/>
            <w:tcMar>
              <w:top w:w="100" w:type="dxa"/>
              <w:left w:w="100" w:type="dxa"/>
              <w:bottom w:w="100" w:type="dxa"/>
              <w:right w:w="100" w:type="dxa"/>
            </w:tcMar>
            <w:hideMark/>
          </w:tcPr>
          <w:p w14:paraId="19E6681E" w14:textId="7A412B2E" w:rsidR="002C0C53" w:rsidRPr="004E0F64" w:rsidRDefault="002C0C53"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D.2.1 </w:t>
            </w:r>
            <w:r>
              <w:rPr>
                <w:rFonts w:ascii="Arial" w:hAnsi="Arial"/>
                <w:color w:val="000000"/>
                <w:sz w:val="18"/>
              </w:rPr>
              <w:tab/>
              <w:t>Organização e responsabilidades profissionais das principais instituições</w:t>
            </w:r>
          </w:p>
        </w:tc>
        <w:tc>
          <w:tcPr>
            <w:tcW w:w="981" w:type="dxa"/>
            <w:shd w:val="clear" w:color="auto" w:fill="F4B083"/>
          </w:tcPr>
          <w:p w14:paraId="373505C4"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439F933F" w14:textId="77777777" w:rsidTr="001D3FCF">
        <w:trPr>
          <w:trHeight w:val="20"/>
        </w:trPr>
        <w:tc>
          <w:tcPr>
            <w:tcW w:w="1753" w:type="dxa"/>
            <w:vMerge/>
            <w:shd w:val="clear" w:color="auto" w:fill="F4B083"/>
            <w:vAlign w:val="center"/>
          </w:tcPr>
          <w:p w14:paraId="72B4E1A0"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F4B083"/>
            <w:tcMar>
              <w:top w:w="100" w:type="dxa"/>
              <w:left w:w="100" w:type="dxa"/>
              <w:bottom w:w="100" w:type="dxa"/>
              <w:right w:w="100" w:type="dxa"/>
            </w:tcMar>
          </w:tcPr>
          <w:p w14:paraId="2040BE4C" w14:textId="77777777" w:rsidR="002C0C53" w:rsidRPr="00693765" w:rsidRDefault="002C0C53"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F4B083"/>
            <w:tcMar>
              <w:top w:w="100" w:type="dxa"/>
              <w:left w:w="100" w:type="dxa"/>
              <w:bottom w:w="100" w:type="dxa"/>
              <w:right w:w="100" w:type="dxa"/>
            </w:tcMar>
          </w:tcPr>
          <w:p w14:paraId="6ED13728" w14:textId="31227DC6"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D.2.2 </w:t>
            </w:r>
            <w:r>
              <w:rPr>
                <w:rFonts w:ascii="Arial" w:hAnsi="Arial"/>
                <w:color w:val="000000"/>
                <w:sz w:val="18"/>
              </w:rPr>
              <w:tab/>
              <w:t>Equipamento técnico e laboratorial para identificação de substâncias químicas (mercúrio, cianeto, químicos presentes na poeira e nos gases)</w:t>
            </w:r>
          </w:p>
        </w:tc>
        <w:tc>
          <w:tcPr>
            <w:tcW w:w="981" w:type="dxa"/>
            <w:shd w:val="clear" w:color="auto" w:fill="F4B083"/>
          </w:tcPr>
          <w:p w14:paraId="6B3DF9A8"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ACDC8A2" w14:textId="77777777" w:rsidTr="001D3FCF">
        <w:trPr>
          <w:trHeight w:val="20"/>
        </w:trPr>
        <w:tc>
          <w:tcPr>
            <w:tcW w:w="1753" w:type="dxa"/>
            <w:vMerge/>
            <w:shd w:val="clear" w:color="auto" w:fill="F4B083"/>
            <w:vAlign w:val="center"/>
          </w:tcPr>
          <w:p w14:paraId="5BE0C368"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F4B083"/>
            <w:tcMar>
              <w:top w:w="100" w:type="dxa"/>
              <w:left w:w="100" w:type="dxa"/>
              <w:bottom w:w="100" w:type="dxa"/>
              <w:right w:w="100" w:type="dxa"/>
            </w:tcMar>
          </w:tcPr>
          <w:p w14:paraId="58B55FB8" w14:textId="77777777" w:rsidR="002C0C53" w:rsidRPr="00693765" w:rsidRDefault="002C0C53"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F4B083"/>
            <w:tcMar>
              <w:top w:w="100" w:type="dxa"/>
              <w:left w:w="100" w:type="dxa"/>
              <w:bottom w:w="100" w:type="dxa"/>
              <w:right w:w="100" w:type="dxa"/>
            </w:tcMar>
          </w:tcPr>
          <w:p w14:paraId="4126081C"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D.2.3 </w:t>
            </w:r>
            <w:r>
              <w:rPr>
                <w:rFonts w:ascii="Arial" w:hAnsi="Arial"/>
                <w:color w:val="000000"/>
                <w:sz w:val="18"/>
              </w:rPr>
              <w:tab/>
              <w:t>Recursos em termos de conhecimento para abordagem de problemas relacionados com a ASGM</w:t>
            </w:r>
          </w:p>
        </w:tc>
        <w:tc>
          <w:tcPr>
            <w:tcW w:w="981" w:type="dxa"/>
            <w:shd w:val="clear" w:color="auto" w:fill="F4B083"/>
          </w:tcPr>
          <w:p w14:paraId="6B11F415"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621AE410" w14:textId="77777777" w:rsidTr="001D3FCF">
        <w:trPr>
          <w:trHeight w:val="20"/>
        </w:trPr>
        <w:tc>
          <w:tcPr>
            <w:tcW w:w="1753" w:type="dxa"/>
            <w:vMerge/>
            <w:shd w:val="clear" w:color="auto" w:fill="F4B083"/>
            <w:vAlign w:val="center"/>
            <w:hideMark/>
          </w:tcPr>
          <w:p w14:paraId="3396C432"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val="restart"/>
            <w:shd w:val="clear" w:color="auto" w:fill="F4B083"/>
            <w:tcMar>
              <w:top w:w="100" w:type="dxa"/>
              <w:left w:w="100" w:type="dxa"/>
              <w:bottom w:w="100" w:type="dxa"/>
              <w:right w:w="100" w:type="dxa"/>
            </w:tcMar>
            <w:hideMark/>
          </w:tcPr>
          <w:p w14:paraId="39F187BC"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 xml:space="preserve">D.3 </w:t>
            </w:r>
            <w:r>
              <w:rPr>
                <w:rFonts w:ascii="Arial" w:hAnsi="Arial"/>
                <w:color w:val="000000"/>
                <w:sz w:val="18"/>
              </w:rPr>
              <w:tab/>
              <w:t>Nível dos processos</w:t>
            </w:r>
          </w:p>
        </w:tc>
        <w:tc>
          <w:tcPr>
            <w:tcW w:w="4606" w:type="dxa"/>
            <w:shd w:val="clear" w:color="auto" w:fill="F4B083"/>
            <w:tcMar>
              <w:top w:w="100" w:type="dxa"/>
              <w:left w:w="100" w:type="dxa"/>
              <w:bottom w:w="100" w:type="dxa"/>
              <w:right w:w="100" w:type="dxa"/>
            </w:tcMar>
            <w:hideMark/>
          </w:tcPr>
          <w:p w14:paraId="01F0FB69"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D.3.1 </w:t>
            </w:r>
            <w:r>
              <w:rPr>
                <w:rFonts w:ascii="Arial" w:hAnsi="Arial"/>
                <w:color w:val="000000"/>
                <w:sz w:val="18"/>
              </w:rPr>
              <w:tab/>
              <w:t>Mecanismos de resposta a emergências químicas</w:t>
            </w:r>
          </w:p>
        </w:tc>
        <w:tc>
          <w:tcPr>
            <w:tcW w:w="981" w:type="dxa"/>
            <w:shd w:val="clear" w:color="auto" w:fill="F4B083"/>
          </w:tcPr>
          <w:p w14:paraId="14E9A2E5"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7EA0C501" w14:textId="77777777" w:rsidTr="001D3FCF">
        <w:trPr>
          <w:trHeight w:val="20"/>
        </w:trPr>
        <w:tc>
          <w:tcPr>
            <w:tcW w:w="1753" w:type="dxa"/>
            <w:vMerge/>
            <w:shd w:val="clear" w:color="auto" w:fill="F4B083"/>
            <w:vAlign w:val="center"/>
          </w:tcPr>
          <w:p w14:paraId="3CAC257C"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F4B083"/>
            <w:tcMar>
              <w:top w:w="100" w:type="dxa"/>
              <w:left w:w="100" w:type="dxa"/>
              <w:bottom w:w="100" w:type="dxa"/>
              <w:right w:w="100" w:type="dxa"/>
            </w:tcMar>
          </w:tcPr>
          <w:p w14:paraId="3326E090" w14:textId="77777777" w:rsidR="002C0C53" w:rsidRPr="00693765" w:rsidRDefault="002C0C53"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F4B083"/>
            <w:tcMar>
              <w:top w:w="100" w:type="dxa"/>
              <w:left w:w="100" w:type="dxa"/>
              <w:bottom w:w="100" w:type="dxa"/>
              <w:right w:w="100" w:type="dxa"/>
            </w:tcMar>
          </w:tcPr>
          <w:p w14:paraId="7581B7F8"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D.3.2 </w:t>
            </w:r>
            <w:r>
              <w:rPr>
                <w:rFonts w:ascii="Arial" w:hAnsi="Arial"/>
                <w:color w:val="000000"/>
                <w:sz w:val="18"/>
              </w:rPr>
              <w:tab/>
              <w:t>Mecanismos de prevenção para abordagem dos riscos químicos</w:t>
            </w:r>
          </w:p>
        </w:tc>
        <w:tc>
          <w:tcPr>
            <w:tcW w:w="981" w:type="dxa"/>
            <w:shd w:val="clear" w:color="auto" w:fill="F4B083"/>
          </w:tcPr>
          <w:p w14:paraId="0C7BA620"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1A429E59" w14:textId="77777777" w:rsidTr="001D3FCF">
        <w:trPr>
          <w:trHeight w:val="20"/>
        </w:trPr>
        <w:tc>
          <w:tcPr>
            <w:tcW w:w="1753" w:type="dxa"/>
            <w:vMerge/>
            <w:shd w:val="clear" w:color="auto" w:fill="F4B083"/>
            <w:vAlign w:val="center"/>
          </w:tcPr>
          <w:p w14:paraId="78B2BE15" w14:textId="77777777" w:rsidR="002C0C53" w:rsidRPr="00693765" w:rsidRDefault="002C0C53" w:rsidP="001D3FCF">
            <w:pPr>
              <w:spacing w:after="0" w:line="240" w:lineRule="auto"/>
              <w:rPr>
                <w:rFonts w:ascii="Arial" w:eastAsia="Times New Roman" w:hAnsi="Arial"/>
                <w:sz w:val="18"/>
                <w:szCs w:val="16"/>
                <w:lang w:eastAsia="de-DE"/>
              </w:rPr>
            </w:pPr>
          </w:p>
        </w:tc>
        <w:tc>
          <w:tcPr>
            <w:tcW w:w="1716" w:type="dxa"/>
            <w:vMerge/>
            <w:shd w:val="clear" w:color="auto" w:fill="F4B083"/>
            <w:tcMar>
              <w:top w:w="100" w:type="dxa"/>
              <w:left w:w="100" w:type="dxa"/>
              <w:bottom w:w="100" w:type="dxa"/>
              <w:right w:w="100" w:type="dxa"/>
            </w:tcMar>
          </w:tcPr>
          <w:p w14:paraId="7C331C3E" w14:textId="77777777" w:rsidR="002C0C53" w:rsidRPr="00693765" w:rsidRDefault="002C0C53" w:rsidP="001D3FCF">
            <w:pPr>
              <w:spacing w:after="0" w:line="240" w:lineRule="auto"/>
              <w:ind w:left="409" w:hanging="409"/>
              <w:rPr>
                <w:rFonts w:ascii="Arial" w:eastAsia="Times New Roman" w:hAnsi="Arial" w:cs="Arial"/>
                <w:color w:val="000000"/>
                <w:sz w:val="18"/>
                <w:szCs w:val="16"/>
                <w:lang w:eastAsia="de-DE"/>
              </w:rPr>
            </w:pPr>
          </w:p>
        </w:tc>
        <w:tc>
          <w:tcPr>
            <w:tcW w:w="4606" w:type="dxa"/>
            <w:shd w:val="clear" w:color="auto" w:fill="F4B083"/>
            <w:tcMar>
              <w:top w:w="100" w:type="dxa"/>
              <w:left w:w="100" w:type="dxa"/>
              <w:bottom w:w="100" w:type="dxa"/>
              <w:right w:w="100" w:type="dxa"/>
            </w:tcMar>
          </w:tcPr>
          <w:p w14:paraId="4FCF7706"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D.3.3 </w:t>
            </w:r>
            <w:r>
              <w:rPr>
                <w:rFonts w:ascii="Arial" w:hAnsi="Arial"/>
                <w:color w:val="000000"/>
                <w:sz w:val="18"/>
              </w:rPr>
              <w:tab/>
              <w:t>Mecanismos de coordenação entre ministérios para abordagem da gestão de substâncias químicas</w:t>
            </w:r>
          </w:p>
        </w:tc>
        <w:tc>
          <w:tcPr>
            <w:tcW w:w="981" w:type="dxa"/>
            <w:shd w:val="clear" w:color="auto" w:fill="F4B083"/>
          </w:tcPr>
          <w:p w14:paraId="65160ECC" w14:textId="77777777" w:rsidR="002C0C53" w:rsidRPr="00693765" w:rsidRDefault="002C0C53" w:rsidP="001D3FCF">
            <w:pPr>
              <w:spacing w:after="0" w:line="240" w:lineRule="auto"/>
              <w:ind w:left="558" w:hanging="558"/>
              <w:rPr>
                <w:rFonts w:ascii="Arial" w:eastAsia="Times New Roman" w:hAnsi="Arial" w:cs="Arial"/>
                <w:color w:val="000000"/>
                <w:sz w:val="18"/>
                <w:szCs w:val="16"/>
                <w:lang w:eastAsia="de-DE"/>
              </w:rPr>
            </w:pPr>
          </w:p>
        </w:tc>
      </w:tr>
    </w:tbl>
    <w:p w14:paraId="0388C03B" w14:textId="77777777" w:rsidR="002C0C53" w:rsidRPr="00693765" w:rsidRDefault="002C0C53" w:rsidP="00350586">
      <w:pPr>
        <w:spacing w:after="200"/>
        <w:rPr>
          <w:rFonts w:ascii="Arial" w:hAnsi="Arial" w:cs="Arial"/>
          <w:i/>
          <w:iCs/>
          <w:color w:val="000000"/>
          <w:sz w:val="26"/>
          <w:szCs w:val="26"/>
        </w:rPr>
      </w:pPr>
    </w:p>
    <w:p w14:paraId="30435A32" w14:textId="6E9DA065" w:rsidR="002C0C53" w:rsidRPr="004E0F64" w:rsidRDefault="002E3F4B" w:rsidP="00350586">
      <w:pPr>
        <w:pStyle w:val="Heading2"/>
        <w:ind w:left="576" w:hanging="576"/>
      </w:pPr>
      <w:bookmarkStart w:id="4" w:name="_Toc23869729"/>
      <w:r>
        <w:t xml:space="preserve">2.4 </w:t>
      </w:r>
      <w:r>
        <w:tab/>
        <w:t>Fontes de dados: entrevistas aos principais intervenientes e revisão de documentos</w:t>
      </w:r>
      <w:bookmarkEnd w:id="4"/>
    </w:p>
    <w:p w14:paraId="39EBC483" w14:textId="3F5801C2" w:rsidR="002C0C53" w:rsidRPr="004E0F64" w:rsidRDefault="002C0C53" w:rsidP="00B66B3A">
      <w:r>
        <w:t>Com base nos indicadores relevantes, foram desenvolvidos guiões de entrevistas abrangendo todas as áreas prioritárias e dimensões institucionais. As perguntas constantes dos guiões das entrevistas destinam-se a saber em que medida: </w:t>
      </w:r>
    </w:p>
    <w:p w14:paraId="24DEA384" w14:textId="2E4853F5" w:rsidR="002C0C53" w:rsidRPr="004E0F64" w:rsidRDefault="002D4A3D" w:rsidP="00A636E0">
      <w:pPr>
        <w:pStyle w:val="Bulletlist"/>
      </w:pPr>
      <w:r>
        <w:t>Os regulamentos e políticas foram aplicados e implementados</w:t>
      </w:r>
    </w:p>
    <w:p w14:paraId="0C33D533" w14:textId="27C9A7BC" w:rsidR="002C0C53" w:rsidRPr="004E0F64" w:rsidRDefault="002D4A3D" w:rsidP="00A636E0">
      <w:pPr>
        <w:pStyle w:val="Bulletlist"/>
      </w:pPr>
      <w:r>
        <w:t>Os elementos relevantes ao nível da estrutura foram aplicados e estão disponíveis</w:t>
      </w:r>
    </w:p>
    <w:p w14:paraId="3B86BBA0" w14:textId="7E34A6F1" w:rsidR="002C0C53" w:rsidRPr="004E0F64" w:rsidRDefault="002D4A3D" w:rsidP="00A636E0">
      <w:pPr>
        <w:pStyle w:val="Bulletlist"/>
      </w:pPr>
      <w:r>
        <w:t>Os elementos ao nível dos processos foram aplicados e estão disponíveis.</w:t>
      </w:r>
    </w:p>
    <w:p w14:paraId="3AD8C882" w14:textId="44F56EFA" w:rsidR="002C0C53" w:rsidRPr="004E0F64" w:rsidRDefault="002C0C53" w:rsidP="00A636E0">
      <w:pPr>
        <w:rPr>
          <w:i/>
        </w:rPr>
      </w:pPr>
      <w:r>
        <w:t>Nos casos em que os regulamentos, estruturas ou processos existam de forma parcial ou não tenham sido implementados, as perguntas dos guiões das entrevistas debruçaram-se sobre de que forma aqueles poderiam ser melhorados, adaptados ou alargados a fim de acomodar e abordar os problemas de saúde relacionados com a ASGM. Estas conclusões também foram reportadas.</w:t>
      </w:r>
    </w:p>
    <w:p w14:paraId="299105D5" w14:textId="5CF14155" w:rsidR="002C0C53" w:rsidRPr="004E0F64" w:rsidRDefault="002C0C53" w:rsidP="005749EE">
      <w:r>
        <w:t>Serão depois realizadas entrevistas semiestruturadas com um mínimo proposto de 15 inquiridos que representem entidades governamentais (p. ex., ministério da saúde, ministério do ambiente, ministério da exploração mineira ou entidades que gerem a utilização de substâncias químicas). Sempre que possível, serão também entrevistados intervenientes essenciais das organizações da sociedade civil ou de organizações privadas, bem como intervenientes da Organização das Nações Unidas para o Desenvolvimento Industrial e da OMS.</w:t>
      </w:r>
    </w:p>
    <w:p w14:paraId="4E9B1CA8" w14:textId="18E781D5" w:rsidR="002C0C53" w:rsidRPr="004E0F64" w:rsidRDefault="002C0C53" w:rsidP="00350586">
      <w:pPr>
        <w:rPr>
          <w:rFonts w:ascii="Arial" w:eastAsia="Times New Roman" w:hAnsi="Arial"/>
        </w:rPr>
      </w:pPr>
      <w:r>
        <w:rPr>
          <w:b/>
          <w:color w:val="2F5496"/>
        </w:rPr>
        <w:t> </w:t>
      </w:r>
      <w:r>
        <w:t xml:space="preserve">A revisão de documentos consiste na análise das informações recolhidas junto de instituições públicas, organizações internacionais e organizações não governamentais. Além disso, as informações relevantes reunidas para efeitos de avaliação incluirão leis, regulamentos, decretos, estatutos orgânicos, determinações legais, programas, organogramas, estudos, </w:t>
      </w:r>
      <w:r>
        <w:lastRenderedPageBreak/>
        <w:t>relatórios privados e públicos, estatísticas nacionais e internacionais, informações incluídas no censos e artigos académicos. Os documentos podem ser guardados em papel ou em formato digital.</w:t>
      </w:r>
      <w:r>
        <w:rPr>
          <w:rFonts w:ascii="Arial" w:hAnsi="Arial"/>
          <w:color w:val="000000"/>
        </w:rPr>
        <w:t> </w:t>
      </w:r>
    </w:p>
    <w:p w14:paraId="2FA72EC0" w14:textId="77777777" w:rsidR="002C0C53" w:rsidRPr="004E0F64" w:rsidRDefault="002C0C53" w:rsidP="009816B5">
      <w:pPr>
        <w:pStyle w:val="Heading1"/>
      </w:pPr>
      <w:bookmarkStart w:id="5" w:name="_Toc23869730"/>
      <w:r>
        <w:t>Avaliação e análise, pontos fortes e desafios</w:t>
      </w:r>
      <w:bookmarkEnd w:id="5"/>
    </w:p>
    <w:p w14:paraId="4EEA60FA" w14:textId="541074D7" w:rsidR="002C0C53" w:rsidRPr="004E0F64" w:rsidRDefault="002C0C53" w:rsidP="00D458F5">
      <w:r>
        <w:t>Uma vez recolhidos os dados, serão executados três passos.</w:t>
      </w:r>
    </w:p>
    <w:p w14:paraId="109736CF" w14:textId="77777777" w:rsidR="002C0C53" w:rsidRPr="004E0F64" w:rsidRDefault="002C0C53" w:rsidP="00D458F5">
      <w:pPr>
        <w:pStyle w:val="Listnumbered"/>
      </w:pPr>
      <w:r>
        <w:t xml:space="preserve">Em primeiro lugar, os dados recolhidos são avaliados, triangulados e resumidos por cada indicador. </w:t>
      </w:r>
    </w:p>
    <w:p w14:paraId="141E4A77" w14:textId="6170F8A6" w:rsidR="002C0C53" w:rsidRPr="004E0F64" w:rsidRDefault="002C0C53" w:rsidP="00D458F5">
      <w:pPr>
        <w:pStyle w:val="Listnumbered"/>
      </w:pPr>
      <w:r>
        <w:t xml:space="preserve">Em segundo lugar, o resumo por escrito é traduzido numa classificação através da escala de Likert de cinco passos, de 1 (a capacidade descrita neste indicador específico está ausente) a 5 (a capacidade descrita neste indicador específico está disponível em grande medida) (Tabela 3). </w:t>
      </w:r>
    </w:p>
    <w:p w14:paraId="7F299845" w14:textId="79C37F15" w:rsidR="005749EE" w:rsidRPr="004E0F64" w:rsidRDefault="005749EE" w:rsidP="005749EE">
      <w:pPr>
        <w:pStyle w:val="Tablehead"/>
      </w:pPr>
      <w:r>
        <w:t>Tabela 3. Classificações e indicadores</w:t>
      </w:r>
    </w:p>
    <w:tbl>
      <w:tblPr>
        <w:tblW w:w="0" w:type="auto"/>
        <w:tblCellMar>
          <w:left w:w="15" w:type="dxa"/>
          <w:right w:w="15" w:type="dxa"/>
        </w:tblCellMar>
        <w:tblLook w:val="04A0" w:firstRow="1" w:lastRow="0" w:firstColumn="1" w:lastColumn="0" w:noHBand="0" w:noVBand="1"/>
      </w:tblPr>
      <w:tblGrid>
        <w:gridCol w:w="1373"/>
        <w:gridCol w:w="5353"/>
      </w:tblGrid>
      <w:tr w:rsidR="002C0C53" w:rsidRPr="004E0F64" w14:paraId="6DAF8BCA" w14:textId="77777777" w:rsidTr="00D458F5">
        <w:tc>
          <w:tcPr>
            <w:tcW w:w="0" w:type="auto"/>
            <w:tcBorders>
              <w:top w:val="single" w:sz="8" w:space="0" w:color="B4C6E7"/>
              <w:left w:val="single" w:sz="8" w:space="0" w:color="B4C6E7"/>
              <w:bottom w:val="single" w:sz="8" w:space="0" w:color="FFFFFF"/>
              <w:right w:val="single" w:sz="8" w:space="0" w:color="B4C6E7"/>
            </w:tcBorders>
            <w:shd w:val="clear" w:color="auto" w:fill="000000"/>
            <w:tcMar>
              <w:top w:w="100" w:type="dxa"/>
              <w:left w:w="100" w:type="dxa"/>
              <w:bottom w:w="100" w:type="dxa"/>
              <w:right w:w="100" w:type="dxa"/>
            </w:tcMar>
            <w:hideMark/>
          </w:tcPr>
          <w:p w14:paraId="5CE1E787" w14:textId="77777777" w:rsidR="002C0C53" w:rsidRPr="004E0F64" w:rsidRDefault="002C0C53" w:rsidP="005749EE">
            <w:pPr>
              <w:pStyle w:val="Tabletext"/>
              <w:keepNext/>
              <w:keepLines/>
              <w:spacing w:line="240" w:lineRule="auto"/>
            </w:pPr>
            <w:r>
              <w:t>Classificação</w:t>
            </w:r>
          </w:p>
        </w:tc>
        <w:tc>
          <w:tcPr>
            <w:tcW w:w="5353" w:type="dxa"/>
            <w:tcBorders>
              <w:top w:val="single" w:sz="8" w:space="0" w:color="B4C6E7"/>
              <w:left w:val="single" w:sz="8" w:space="0" w:color="B4C6E7"/>
              <w:bottom w:val="single" w:sz="8" w:space="0" w:color="FFFFFF"/>
              <w:right w:val="single" w:sz="8" w:space="0" w:color="B4C6E7"/>
            </w:tcBorders>
            <w:shd w:val="clear" w:color="auto" w:fill="000000"/>
            <w:tcMar>
              <w:top w:w="100" w:type="dxa"/>
              <w:left w:w="100" w:type="dxa"/>
              <w:bottom w:w="100" w:type="dxa"/>
              <w:right w:w="100" w:type="dxa"/>
            </w:tcMar>
            <w:hideMark/>
          </w:tcPr>
          <w:p w14:paraId="617C03ED" w14:textId="77777777" w:rsidR="002C0C53" w:rsidRPr="004E0F64" w:rsidRDefault="002C0C53" w:rsidP="005749EE">
            <w:pPr>
              <w:pStyle w:val="Tabletext"/>
              <w:keepNext/>
              <w:keepLines/>
              <w:spacing w:line="240" w:lineRule="auto"/>
            </w:pPr>
            <w:r>
              <w:t>Indicadores</w:t>
            </w:r>
          </w:p>
        </w:tc>
      </w:tr>
      <w:tr w:rsidR="002C0C53" w:rsidRPr="004E0F64" w14:paraId="1DB47202"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0292A56B" w14:textId="77777777" w:rsidR="002C0C53" w:rsidRPr="004E0F64" w:rsidRDefault="002C0C53" w:rsidP="005749EE">
            <w:pPr>
              <w:pStyle w:val="Tabletext"/>
              <w:keepNext/>
              <w:keepLines/>
              <w:spacing w:line="240" w:lineRule="auto"/>
            </w:pPr>
            <w:r>
              <w:rPr>
                <w:color w:val="000000"/>
              </w:rPr>
              <w:t>1</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4EE0B60A" w14:textId="77777777" w:rsidR="002C0C53" w:rsidRPr="004E0F64" w:rsidRDefault="002C0C53" w:rsidP="005749EE">
            <w:pPr>
              <w:pStyle w:val="Tabletext"/>
              <w:keepNext/>
              <w:keepLines/>
              <w:spacing w:line="240" w:lineRule="auto"/>
            </w:pPr>
            <w:r>
              <w:rPr>
                <w:color w:val="000000"/>
              </w:rPr>
              <w:t xml:space="preserve">A capacidade está </w:t>
            </w:r>
            <w:r>
              <w:rPr>
                <w:i/>
                <w:color w:val="000000"/>
              </w:rPr>
              <w:t>ausente</w:t>
            </w:r>
          </w:p>
        </w:tc>
      </w:tr>
      <w:tr w:rsidR="002C0C53" w:rsidRPr="004E0F64" w14:paraId="5A733698"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E866F13" w14:textId="77777777" w:rsidR="002C0C53" w:rsidRPr="004E0F64" w:rsidRDefault="002C0C53" w:rsidP="005749EE">
            <w:pPr>
              <w:pStyle w:val="Tabletext"/>
              <w:keepNext/>
              <w:keepLines/>
              <w:spacing w:line="240" w:lineRule="auto"/>
            </w:pPr>
            <w:r>
              <w:rPr>
                <w:color w:val="000000"/>
              </w:rPr>
              <w:t>2</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765FF627" w14:textId="77777777" w:rsidR="002C0C53" w:rsidRPr="004E0F64" w:rsidRDefault="002C0C53" w:rsidP="005749EE">
            <w:pPr>
              <w:pStyle w:val="Tabletext"/>
              <w:keepNext/>
              <w:keepLines/>
              <w:spacing w:line="240" w:lineRule="auto"/>
            </w:pPr>
            <w:r>
              <w:rPr>
                <w:color w:val="000000"/>
              </w:rPr>
              <w:t xml:space="preserve">A capacidade existe mas </w:t>
            </w:r>
            <w:r>
              <w:rPr>
                <w:i/>
                <w:color w:val="000000"/>
              </w:rPr>
              <w:t>não está disponível</w:t>
            </w:r>
          </w:p>
        </w:tc>
      </w:tr>
      <w:tr w:rsidR="002C0C53" w:rsidRPr="004E0F64" w14:paraId="47A647D8"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11024BF3" w14:textId="77777777" w:rsidR="002C0C53" w:rsidRPr="004E0F64" w:rsidRDefault="002C0C53" w:rsidP="005749EE">
            <w:pPr>
              <w:pStyle w:val="Tabletext"/>
              <w:keepNext/>
              <w:keepLines/>
              <w:spacing w:line="240" w:lineRule="auto"/>
            </w:pPr>
            <w:r>
              <w:rPr>
                <w:color w:val="000000"/>
              </w:rPr>
              <w:t>3</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0285DE1" w14:textId="77777777" w:rsidR="002C0C53" w:rsidRPr="004E0F64" w:rsidRDefault="002C0C53" w:rsidP="005749EE">
            <w:pPr>
              <w:pStyle w:val="Tabletext"/>
              <w:keepNext/>
              <w:keepLines/>
              <w:spacing w:line="240" w:lineRule="auto"/>
            </w:pPr>
            <w:r>
              <w:rPr>
                <w:color w:val="000000"/>
              </w:rPr>
              <w:t xml:space="preserve">A capacidade existe e está </w:t>
            </w:r>
            <w:r>
              <w:rPr>
                <w:i/>
                <w:color w:val="000000"/>
              </w:rPr>
              <w:t>disponível de forma limitada</w:t>
            </w:r>
          </w:p>
        </w:tc>
      </w:tr>
      <w:tr w:rsidR="002C0C53" w:rsidRPr="004E0F64" w14:paraId="12A64DCD"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511F11C5" w14:textId="77777777" w:rsidR="002C0C53" w:rsidRPr="004E0F64" w:rsidRDefault="002C0C53" w:rsidP="005749EE">
            <w:pPr>
              <w:pStyle w:val="Tabletext"/>
              <w:keepNext/>
              <w:keepLines/>
              <w:spacing w:line="240" w:lineRule="auto"/>
            </w:pPr>
            <w:r>
              <w:rPr>
                <w:color w:val="000000"/>
              </w:rPr>
              <w:t>4</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FF9866A" w14:textId="77777777" w:rsidR="002C0C53" w:rsidRPr="004E0F64" w:rsidRDefault="002C0C53" w:rsidP="005749EE">
            <w:pPr>
              <w:pStyle w:val="Tabletext"/>
              <w:keepNext/>
              <w:keepLines/>
              <w:spacing w:line="240" w:lineRule="auto"/>
            </w:pPr>
            <w:r>
              <w:rPr>
                <w:color w:val="000000"/>
              </w:rPr>
              <w:t xml:space="preserve">A capacidade existe e está </w:t>
            </w:r>
            <w:r>
              <w:rPr>
                <w:i/>
                <w:color w:val="000000"/>
              </w:rPr>
              <w:t>disponível em certa medida</w:t>
            </w:r>
          </w:p>
        </w:tc>
      </w:tr>
      <w:tr w:rsidR="002C0C53" w:rsidRPr="004E0F64" w14:paraId="214A7A16"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11037B48" w14:textId="77777777" w:rsidR="002C0C53" w:rsidRPr="004E0F64" w:rsidRDefault="002C0C53" w:rsidP="005749EE">
            <w:pPr>
              <w:pStyle w:val="Tabletext"/>
              <w:keepNext/>
              <w:keepLines/>
              <w:spacing w:line="240" w:lineRule="auto"/>
            </w:pPr>
            <w:r>
              <w:rPr>
                <w:color w:val="000000"/>
              </w:rPr>
              <w:t>5</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4D9D2969" w14:textId="77777777" w:rsidR="002C0C53" w:rsidRPr="004E0F64" w:rsidRDefault="002C0C53" w:rsidP="005749EE">
            <w:pPr>
              <w:pStyle w:val="Tabletext"/>
              <w:keepNext/>
              <w:keepLines/>
              <w:spacing w:line="240" w:lineRule="auto"/>
            </w:pPr>
            <w:r>
              <w:rPr>
                <w:color w:val="000000"/>
              </w:rPr>
              <w:t xml:space="preserve">A capacidade existe e está </w:t>
            </w:r>
            <w:r>
              <w:rPr>
                <w:i/>
                <w:color w:val="000000"/>
              </w:rPr>
              <w:t>disponível em grande medida</w:t>
            </w:r>
          </w:p>
        </w:tc>
      </w:tr>
    </w:tbl>
    <w:p w14:paraId="606E3683" w14:textId="6AF099C3" w:rsidR="00D458F5" w:rsidRPr="004E0F64" w:rsidRDefault="002C0C53" w:rsidP="00B36EF0">
      <w:pPr>
        <w:spacing w:before="240"/>
      </w:pPr>
      <w:r>
        <w:t>Para cada área prioritária, é apresentado um gráfico tipo radar para facilitar a visualização das capacidades institucionais em vigor (Figura 1).</w:t>
      </w:r>
    </w:p>
    <w:p w14:paraId="37D7950E" w14:textId="142E95A2" w:rsidR="006C219C" w:rsidRPr="004E0F64" w:rsidRDefault="002C155D" w:rsidP="00F34254">
      <w:pPr>
        <w:pStyle w:val="Figurehead"/>
      </w:pPr>
      <w:r>
        <w:lastRenderedPageBreak/>
        <w:t>Figura 1. Exemplificação de um gráfico tipo radar para visualização das capacidades institucionais</w:t>
      </w:r>
    </w:p>
    <w:p w14:paraId="647E1532" w14:textId="5A2F116F" w:rsidR="006C219C" w:rsidRDefault="00B0076F" w:rsidP="00F34254">
      <w:pPr>
        <w:rPr>
          <w:rFonts w:ascii="Arial" w:eastAsia="Times New Roman" w:hAnsi="Arial"/>
          <w:color w:val="000000"/>
        </w:rPr>
      </w:pPr>
      <w:r>
        <w:rPr>
          <w:noProof/>
          <w:lang w:val="nl-BE" w:eastAsia="nl-BE"/>
        </w:rPr>
        <mc:AlternateContent>
          <mc:Choice Requires="wpg">
            <w:drawing>
              <wp:anchor distT="0" distB="0" distL="114300" distR="114300" simplePos="0" relativeHeight="251696640" behindDoc="0" locked="0" layoutInCell="1" allowOverlap="1" wp14:anchorId="5DB2EFFF" wp14:editId="0984AF9E">
                <wp:simplePos x="0" y="0"/>
                <wp:positionH relativeFrom="column">
                  <wp:posOffset>-138023</wp:posOffset>
                </wp:positionH>
                <wp:positionV relativeFrom="paragraph">
                  <wp:posOffset>38160</wp:posOffset>
                </wp:positionV>
                <wp:extent cx="6102681" cy="3001853"/>
                <wp:effectExtent l="0" t="0" r="0" b="0"/>
                <wp:wrapNone/>
                <wp:docPr id="27" name="Group 27"/>
                <wp:cNvGraphicFramePr/>
                <a:graphic xmlns:a="http://schemas.openxmlformats.org/drawingml/2006/main">
                  <a:graphicData uri="http://schemas.microsoft.com/office/word/2010/wordprocessingGroup">
                    <wpg:wgp>
                      <wpg:cNvGrpSpPr/>
                      <wpg:grpSpPr>
                        <a:xfrm>
                          <a:off x="0" y="0"/>
                          <a:ext cx="6102681" cy="3001853"/>
                          <a:chOff x="273524" y="116014"/>
                          <a:chExt cx="6102681" cy="3002094"/>
                        </a:xfrm>
                      </wpg:grpSpPr>
                      <wps:wsp>
                        <wps:cNvPr id="3" name="Text Box 3"/>
                        <wps:cNvSpPr txBox="1"/>
                        <wps:spPr>
                          <a:xfrm>
                            <a:off x="1666875" y="116014"/>
                            <a:ext cx="1552575" cy="409575"/>
                          </a:xfrm>
                          <a:prstGeom prst="rect">
                            <a:avLst/>
                          </a:prstGeom>
                          <a:noFill/>
                          <a:ln w="6350">
                            <a:noFill/>
                          </a:ln>
                        </wps:spPr>
                        <wps:txbx>
                          <w:txbxContent>
                            <w:p w14:paraId="57BD635A" w14:textId="4663C533" w:rsidR="001A3C0D" w:rsidRPr="00B0076F" w:rsidRDefault="001A3C0D" w:rsidP="001A3C0D">
                              <w:pPr>
                                <w:jc w:val="center"/>
                                <w:rPr>
                                  <w:rFonts w:asciiTheme="minorBidi" w:hAnsiTheme="minorBidi" w:cstheme="minorBidi"/>
                                  <w:sz w:val="16"/>
                                  <w:szCs w:val="14"/>
                                </w:rPr>
                              </w:pPr>
                              <w:r w:rsidRPr="00B0076F">
                                <w:rPr>
                                  <w:rFonts w:asciiTheme="minorBidi" w:hAnsiTheme="minorBidi"/>
                                  <w:sz w:val="16"/>
                                  <w:szCs w:val="20"/>
                                </w:rPr>
                                <w:t>Regulamentos/Políticas sobre substâncias químicas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943081" y="306497"/>
                            <a:ext cx="1485820" cy="409575"/>
                          </a:xfrm>
                          <a:prstGeom prst="rect">
                            <a:avLst/>
                          </a:prstGeom>
                          <a:noFill/>
                          <a:ln w="6350">
                            <a:noFill/>
                          </a:ln>
                        </wps:spPr>
                        <wps:txbx>
                          <w:txbxContent>
                            <w:p w14:paraId="5C3B7A4C" w14:textId="0DA0084E" w:rsidR="001A3C0D" w:rsidRPr="00B0076F" w:rsidRDefault="001A3C0D" w:rsidP="001A3C0D">
                              <w:pPr>
                                <w:rPr>
                                  <w:rFonts w:asciiTheme="minorBidi" w:hAnsiTheme="minorBidi" w:cstheme="minorBidi"/>
                                  <w:sz w:val="16"/>
                                  <w:szCs w:val="14"/>
                                </w:rPr>
                              </w:pPr>
                              <w:r w:rsidRPr="00B0076F">
                                <w:rPr>
                                  <w:rFonts w:asciiTheme="minorBidi" w:hAnsiTheme="minorBidi"/>
                                  <w:sz w:val="16"/>
                                  <w:szCs w:val="20"/>
                                </w:rPr>
                                <w:t>Regulamentos/Políticas sobre riscos biológicos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390900" y="683537"/>
                            <a:ext cx="962025" cy="714375"/>
                          </a:xfrm>
                          <a:prstGeom prst="rect">
                            <a:avLst/>
                          </a:prstGeom>
                          <a:noFill/>
                          <a:ln w="6350">
                            <a:noFill/>
                          </a:ln>
                        </wps:spPr>
                        <wps:txbx>
                          <w:txbxContent>
                            <w:p w14:paraId="3AAF7C00" w14:textId="65E87053" w:rsidR="001A3C0D" w:rsidRPr="00693765" w:rsidRDefault="001A3C0D" w:rsidP="001A3C0D">
                              <w:pPr>
                                <w:rPr>
                                  <w:rFonts w:asciiTheme="minorBidi" w:hAnsiTheme="minorBidi"/>
                                  <w:sz w:val="16"/>
                                  <w:szCs w:val="20"/>
                                </w:rPr>
                              </w:pPr>
                              <w:r w:rsidRPr="00B0076F">
                                <w:rPr>
                                  <w:rFonts w:asciiTheme="minorBidi" w:hAnsiTheme="minorBidi"/>
                                  <w:sz w:val="16"/>
                                  <w:szCs w:val="20"/>
                                </w:rPr>
                                <w:t>Regulamentos/</w:t>
                              </w:r>
                              <w:r w:rsidR="00102973">
                                <w:rPr>
                                  <w:rFonts w:asciiTheme="minorBidi" w:hAnsiTheme="minorBidi"/>
                                  <w:sz w:val="16"/>
                                  <w:szCs w:val="20"/>
                                </w:rPr>
                                <w:t xml:space="preserve"> </w:t>
                              </w:r>
                              <w:r w:rsidRPr="00B0076F">
                                <w:rPr>
                                  <w:rFonts w:asciiTheme="minorBidi" w:hAnsiTheme="minorBidi"/>
                                  <w:sz w:val="16"/>
                                  <w:szCs w:val="20"/>
                                </w:rPr>
                                <w:t>Políticas sobre riscos psicológicos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467100" y="1343457"/>
                            <a:ext cx="962025" cy="714375"/>
                          </a:xfrm>
                          <a:prstGeom prst="rect">
                            <a:avLst/>
                          </a:prstGeom>
                          <a:noFill/>
                          <a:ln w="6350">
                            <a:noFill/>
                          </a:ln>
                        </wps:spPr>
                        <wps:txbx>
                          <w:txbxContent>
                            <w:p w14:paraId="5D386D70" w14:textId="30AAAD6F" w:rsidR="001A3C0D" w:rsidRPr="00B0076F" w:rsidRDefault="001A3C0D" w:rsidP="001A3C0D">
                              <w:pPr>
                                <w:rPr>
                                  <w:rFonts w:asciiTheme="minorBidi" w:hAnsiTheme="minorBidi" w:cstheme="minorBidi"/>
                                  <w:sz w:val="16"/>
                                  <w:szCs w:val="14"/>
                                </w:rPr>
                              </w:pPr>
                              <w:r w:rsidRPr="00B0076F">
                                <w:rPr>
                                  <w:rFonts w:asciiTheme="minorBidi" w:hAnsiTheme="minorBidi"/>
                                  <w:sz w:val="16"/>
                                  <w:szCs w:val="20"/>
                                </w:rPr>
                                <w:t>Regulamentos/</w:t>
                              </w:r>
                              <w:r w:rsidR="00B0076F" w:rsidRPr="00B0076F">
                                <w:rPr>
                                  <w:rFonts w:asciiTheme="minorBidi" w:hAnsiTheme="minorBidi"/>
                                  <w:sz w:val="16"/>
                                  <w:szCs w:val="20"/>
                                </w:rPr>
                                <w:t xml:space="preserve"> </w:t>
                              </w:r>
                              <w:r w:rsidRPr="00B0076F">
                                <w:rPr>
                                  <w:rFonts w:asciiTheme="minorBidi" w:hAnsiTheme="minorBidi"/>
                                  <w:sz w:val="16"/>
                                  <w:szCs w:val="20"/>
                                </w:rPr>
                                <w:t>Políticas de CSP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352800" y="1778762"/>
                            <a:ext cx="1181100" cy="714375"/>
                          </a:xfrm>
                          <a:prstGeom prst="rect">
                            <a:avLst/>
                          </a:prstGeom>
                          <a:noFill/>
                          <a:ln w="6350">
                            <a:noFill/>
                          </a:ln>
                        </wps:spPr>
                        <wps:txbx>
                          <w:txbxContent>
                            <w:p w14:paraId="4EED9ABE" w14:textId="02C3AD1A" w:rsidR="001A3C0D" w:rsidRPr="00B0076F" w:rsidRDefault="001A3C0D" w:rsidP="001A3C0D">
                              <w:pPr>
                                <w:rPr>
                                  <w:rFonts w:asciiTheme="minorBidi" w:hAnsiTheme="minorBidi" w:cstheme="minorBidi"/>
                                  <w:sz w:val="16"/>
                                  <w:szCs w:val="14"/>
                                </w:rPr>
                              </w:pPr>
                              <w:r w:rsidRPr="00B0076F">
                                <w:rPr>
                                  <w:rFonts w:asciiTheme="minorBidi" w:hAnsiTheme="minorBidi"/>
                                  <w:sz w:val="16"/>
                                  <w:szCs w:val="20"/>
                                </w:rPr>
                                <w:t>Organização institucional e responsabilidades profissionais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662609" y="2560772"/>
                            <a:ext cx="1722035" cy="523164"/>
                          </a:xfrm>
                          <a:prstGeom prst="rect">
                            <a:avLst/>
                          </a:prstGeom>
                          <a:noFill/>
                          <a:ln w="6350">
                            <a:noFill/>
                          </a:ln>
                        </wps:spPr>
                        <wps:txbx>
                          <w:txbxContent>
                            <w:p w14:paraId="24958939" w14:textId="2A22C1A4" w:rsidR="001A3C0D" w:rsidRPr="00B0076F" w:rsidRDefault="001A3C0D" w:rsidP="001A3C0D">
                              <w:pPr>
                                <w:jc w:val="center"/>
                                <w:rPr>
                                  <w:rFonts w:asciiTheme="minorBidi" w:hAnsiTheme="minorBidi" w:cstheme="minorBidi"/>
                                  <w:sz w:val="16"/>
                                  <w:szCs w:val="14"/>
                                </w:rPr>
                              </w:pPr>
                              <w:r w:rsidRPr="00B0076F">
                                <w:rPr>
                                  <w:rFonts w:asciiTheme="minorBidi" w:hAnsiTheme="minorBidi"/>
                                  <w:sz w:val="16"/>
                                  <w:szCs w:val="20"/>
                                </w:rPr>
                                <w:t>Equipamento técnico e laboratorial relativo à ASGM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932135" y="2414377"/>
                            <a:ext cx="1552575" cy="409575"/>
                          </a:xfrm>
                          <a:prstGeom prst="rect">
                            <a:avLst/>
                          </a:prstGeom>
                          <a:noFill/>
                          <a:ln w="6350">
                            <a:noFill/>
                          </a:ln>
                        </wps:spPr>
                        <wps:txbx>
                          <w:txbxContent>
                            <w:p w14:paraId="75326CB2" w14:textId="10B6947B" w:rsidR="001A3C0D" w:rsidRPr="00B0076F" w:rsidRDefault="001A3C0D" w:rsidP="001A3C0D">
                              <w:pPr>
                                <w:rPr>
                                  <w:rFonts w:asciiTheme="minorBidi" w:hAnsiTheme="minorBidi" w:cstheme="minorBidi"/>
                                  <w:sz w:val="16"/>
                                  <w:szCs w:val="14"/>
                                </w:rPr>
                              </w:pPr>
                              <w:r w:rsidRPr="00B0076F">
                                <w:rPr>
                                  <w:rFonts w:asciiTheme="minorBidi" w:hAnsiTheme="minorBidi"/>
                                  <w:sz w:val="16"/>
                                  <w:szCs w:val="20"/>
                                </w:rPr>
                                <w:t>Unidades de CSP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73524" y="2394208"/>
                            <a:ext cx="1552575" cy="723900"/>
                          </a:xfrm>
                          <a:prstGeom prst="rect">
                            <a:avLst/>
                          </a:prstGeom>
                          <a:noFill/>
                          <a:ln w="6350">
                            <a:noFill/>
                          </a:ln>
                        </wps:spPr>
                        <wps:txbx>
                          <w:txbxContent>
                            <w:p w14:paraId="1733E15D" w14:textId="03406C11" w:rsidR="0016149C" w:rsidRPr="00B0076F" w:rsidRDefault="0016149C" w:rsidP="0016149C">
                              <w:pPr>
                                <w:jc w:val="right"/>
                                <w:rPr>
                                  <w:rFonts w:asciiTheme="minorBidi" w:hAnsiTheme="minorBidi" w:cstheme="minorBidi"/>
                                  <w:sz w:val="16"/>
                                  <w:szCs w:val="14"/>
                                </w:rPr>
                              </w:pPr>
                              <w:r w:rsidRPr="00B0076F">
                                <w:rPr>
                                  <w:rFonts w:asciiTheme="minorBidi" w:hAnsiTheme="minorBidi"/>
                                  <w:sz w:val="16"/>
                                  <w:szCs w:val="20"/>
                                </w:rPr>
                                <w:t>Recursos e conhecimentos institucionais para abordar problemas da ASGM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00250" y="1670672"/>
                            <a:ext cx="1181495" cy="779297"/>
                          </a:xfrm>
                          <a:prstGeom prst="rect">
                            <a:avLst/>
                          </a:prstGeom>
                          <a:noFill/>
                          <a:ln w="6350">
                            <a:noFill/>
                          </a:ln>
                        </wps:spPr>
                        <wps:txbx>
                          <w:txbxContent>
                            <w:p w14:paraId="6ACCC049" w14:textId="34B2AB33" w:rsidR="0016149C" w:rsidRPr="00B0076F" w:rsidRDefault="0016149C" w:rsidP="0016149C">
                              <w:pPr>
                                <w:jc w:val="right"/>
                                <w:rPr>
                                  <w:rFonts w:asciiTheme="minorBidi" w:hAnsiTheme="minorBidi" w:cstheme="minorBidi"/>
                                  <w:sz w:val="16"/>
                                  <w:szCs w:val="14"/>
                                </w:rPr>
                              </w:pPr>
                              <w:r w:rsidRPr="00B0076F">
                                <w:rPr>
                                  <w:rFonts w:asciiTheme="minorBidi" w:hAnsiTheme="minorBidi"/>
                                  <w:sz w:val="16"/>
                                  <w:szCs w:val="20"/>
                                </w:rPr>
                                <w:t>Mecanismos de resposta a emergências relacionadas com a ASGM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13898" y="1186236"/>
                            <a:ext cx="1103851" cy="723900"/>
                          </a:xfrm>
                          <a:prstGeom prst="rect">
                            <a:avLst/>
                          </a:prstGeom>
                          <a:noFill/>
                          <a:ln w="6350">
                            <a:noFill/>
                          </a:ln>
                        </wps:spPr>
                        <wps:txbx>
                          <w:txbxContent>
                            <w:p w14:paraId="20BA91CE" w14:textId="37193F43" w:rsidR="0016149C" w:rsidRPr="00B0076F" w:rsidRDefault="0016149C" w:rsidP="0016149C">
                              <w:pPr>
                                <w:jc w:val="right"/>
                                <w:rPr>
                                  <w:rFonts w:asciiTheme="minorBidi" w:hAnsiTheme="minorBidi" w:cstheme="minorBidi"/>
                                  <w:sz w:val="16"/>
                                  <w:szCs w:val="14"/>
                                </w:rPr>
                              </w:pPr>
                              <w:r w:rsidRPr="00B0076F">
                                <w:rPr>
                                  <w:rFonts w:asciiTheme="minorBidi" w:hAnsiTheme="minorBidi"/>
                                  <w:sz w:val="16"/>
                                  <w:szCs w:val="20"/>
                                </w:rPr>
                                <w:t>Mecanismos de prevenção em contexto de ASGM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24328" y="658204"/>
                            <a:ext cx="1238750" cy="891490"/>
                          </a:xfrm>
                          <a:prstGeom prst="rect">
                            <a:avLst/>
                          </a:prstGeom>
                          <a:noFill/>
                          <a:ln w="6350">
                            <a:noFill/>
                          </a:ln>
                        </wps:spPr>
                        <wps:txbx>
                          <w:txbxContent>
                            <w:p w14:paraId="494C423F" w14:textId="186040A5" w:rsidR="0016149C" w:rsidRPr="00B0076F" w:rsidRDefault="0016149C" w:rsidP="0016149C">
                              <w:pPr>
                                <w:jc w:val="right"/>
                                <w:rPr>
                                  <w:rFonts w:asciiTheme="minorBidi" w:hAnsiTheme="minorBidi" w:cstheme="minorBidi"/>
                                  <w:sz w:val="16"/>
                                  <w:szCs w:val="14"/>
                                </w:rPr>
                              </w:pPr>
                              <w:r w:rsidRPr="00B0076F">
                                <w:rPr>
                                  <w:rFonts w:asciiTheme="minorBidi" w:hAnsiTheme="minorBidi"/>
                                  <w:sz w:val="16"/>
                                  <w:szCs w:val="20"/>
                                </w:rPr>
                                <w:t>Formação relevante em ASGM para profissionais de saúde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41044" y="315733"/>
                            <a:ext cx="1047750" cy="723900"/>
                          </a:xfrm>
                          <a:prstGeom prst="rect">
                            <a:avLst/>
                          </a:prstGeom>
                          <a:noFill/>
                          <a:ln w="6350">
                            <a:noFill/>
                          </a:ln>
                        </wps:spPr>
                        <wps:txbx>
                          <w:txbxContent>
                            <w:p w14:paraId="0CA023C8" w14:textId="5F79705D" w:rsidR="008145C6" w:rsidRPr="00B0076F" w:rsidRDefault="008145C6" w:rsidP="008145C6">
                              <w:pPr>
                                <w:jc w:val="right"/>
                                <w:rPr>
                                  <w:rFonts w:asciiTheme="minorBidi" w:hAnsiTheme="minorBidi" w:cstheme="minorBidi"/>
                                  <w:sz w:val="16"/>
                                  <w:szCs w:val="14"/>
                                </w:rPr>
                              </w:pPr>
                              <w:r w:rsidRPr="00B0076F">
                                <w:rPr>
                                  <w:rFonts w:asciiTheme="minorBidi" w:hAnsiTheme="minorBidi"/>
                                  <w:sz w:val="16"/>
                                  <w:szCs w:val="20"/>
                                </w:rPr>
                                <w:t>Coordenação entre ministérios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552950" y="2621085"/>
                            <a:ext cx="1552575" cy="409575"/>
                          </a:xfrm>
                          <a:prstGeom prst="rect">
                            <a:avLst/>
                          </a:prstGeom>
                          <a:noFill/>
                          <a:ln w="6350">
                            <a:noFill/>
                          </a:ln>
                        </wps:spPr>
                        <wps:txbx>
                          <w:txbxContent>
                            <w:p w14:paraId="3DE849E6" w14:textId="1EF83F84" w:rsidR="00547E51" w:rsidRPr="00B0076F" w:rsidRDefault="00547E51" w:rsidP="00547E51">
                              <w:pPr>
                                <w:rPr>
                                  <w:rFonts w:asciiTheme="minorBidi" w:hAnsiTheme="minorBidi" w:cstheme="minorBidi"/>
                                  <w:sz w:val="16"/>
                                  <w:szCs w:val="14"/>
                                </w:rPr>
                              </w:pPr>
                              <w:r w:rsidRPr="00B0076F">
                                <w:rPr>
                                  <w:rFonts w:asciiTheme="minorBidi" w:hAnsiTheme="minorBidi"/>
                                  <w:sz w:val="16"/>
                                  <w:szCs w:val="20"/>
                                </w:rPr>
                                <w:t>Capacidades institucionais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823630" y="439861"/>
                            <a:ext cx="1552575" cy="409575"/>
                          </a:xfrm>
                          <a:prstGeom prst="rect">
                            <a:avLst/>
                          </a:prstGeom>
                          <a:noFill/>
                          <a:ln w="6350">
                            <a:noFill/>
                          </a:ln>
                        </wps:spPr>
                        <wps:txbx>
                          <w:txbxContent>
                            <w:p w14:paraId="3146EAF9" w14:textId="56B9E415" w:rsidR="00547E51" w:rsidRPr="00B0076F" w:rsidRDefault="00547E51" w:rsidP="00547E51">
                              <w:pPr>
                                <w:rPr>
                                  <w:rFonts w:asciiTheme="minorBidi" w:hAnsiTheme="minorBidi" w:cstheme="minorBidi"/>
                                  <w:i/>
                                  <w:iCs/>
                                  <w:sz w:val="14"/>
                                  <w:szCs w:val="12"/>
                                </w:rPr>
                              </w:pPr>
                              <w:r w:rsidRPr="00B0076F">
                                <w:rPr>
                                  <w:rFonts w:asciiTheme="minorBidi" w:hAnsiTheme="minorBidi"/>
                                  <w:sz w:val="14"/>
                                  <w:szCs w:val="20"/>
                                </w:rPr>
                                <w:t xml:space="preserve">A capacidade está </w:t>
                              </w:r>
                              <w:r w:rsidRPr="00B0076F">
                                <w:rPr>
                                  <w:rFonts w:asciiTheme="minorBidi" w:hAnsiTheme="minorBidi"/>
                                  <w:i/>
                                  <w:sz w:val="14"/>
                                  <w:szCs w:val="20"/>
                                </w:rPr>
                                <w:t>ausente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823630" y="677990"/>
                            <a:ext cx="1152525" cy="409575"/>
                          </a:xfrm>
                          <a:prstGeom prst="rect">
                            <a:avLst/>
                          </a:prstGeom>
                          <a:noFill/>
                          <a:ln w="6350">
                            <a:noFill/>
                          </a:ln>
                        </wps:spPr>
                        <wps:txbx>
                          <w:txbxContent>
                            <w:p w14:paraId="4CA641EF" w14:textId="7E2D9A1B" w:rsidR="00547E51" w:rsidRPr="00B0076F" w:rsidRDefault="00547E51" w:rsidP="00547E51">
                              <w:pPr>
                                <w:rPr>
                                  <w:rFonts w:asciiTheme="minorBidi" w:hAnsiTheme="minorBidi" w:cstheme="minorBidi"/>
                                  <w:i/>
                                  <w:iCs/>
                                  <w:sz w:val="14"/>
                                  <w:szCs w:val="12"/>
                                </w:rPr>
                              </w:pPr>
                              <w:r w:rsidRPr="00B0076F">
                                <w:rPr>
                                  <w:rFonts w:asciiTheme="minorBidi" w:hAnsiTheme="minorBidi"/>
                                  <w:sz w:val="14"/>
                                  <w:szCs w:val="20"/>
                                </w:rPr>
                                <w:t xml:space="preserve">A capacidade existe, mas </w:t>
                              </w:r>
                              <w:r w:rsidRPr="00B0076F">
                                <w:rPr>
                                  <w:rFonts w:asciiTheme="minorBidi" w:hAnsiTheme="minorBidi"/>
                                  <w:i/>
                                  <w:sz w:val="14"/>
                                  <w:szCs w:val="20"/>
                                </w:rPr>
                                <w:t>não está disponível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823630" y="1049461"/>
                            <a:ext cx="1152525" cy="495300"/>
                          </a:xfrm>
                          <a:prstGeom prst="rect">
                            <a:avLst/>
                          </a:prstGeom>
                          <a:noFill/>
                          <a:ln w="6350">
                            <a:noFill/>
                          </a:ln>
                        </wps:spPr>
                        <wps:txbx>
                          <w:txbxContent>
                            <w:p w14:paraId="6B876F4F" w14:textId="7F676358" w:rsidR="00547E51" w:rsidRPr="00B0076F" w:rsidRDefault="00547E51" w:rsidP="00547E51">
                              <w:pPr>
                                <w:rPr>
                                  <w:rFonts w:asciiTheme="minorBidi" w:hAnsiTheme="minorBidi" w:cstheme="minorBidi"/>
                                  <w:i/>
                                  <w:iCs/>
                                  <w:sz w:val="14"/>
                                  <w:szCs w:val="12"/>
                                </w:rPr>
                              </w:pPr>
                              <w:r w:rsidRPr="00B0076F">
                                <w:rPr>
                                  <w:rFonts w:asciiTheme="minorBidi" w:hAnsiTheme="minorBidi"/>
                                  <w:sz w:val="14"/>
                                  <w:szCs w:val="20"/>
                                </w:rPr>
                                <w:t xml:space="preserve">A capacidade existe e está </w:t>
                              </w:r>
                              <w:r w:rsidRPr="00B0076F">
                                <w:rPr>
                                  <w:rFonts w:asciiTheme="minorBidi" w:hAnsiTheme="minorBidi"/>
                                  <w:i/>
                                  <w:sz w:val="14"/>
                                  <w:szCs w:val="20"/>
                                </w:rPr>
                                <w:t>disponível de forma limitada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823630" y="1563808"/>
                            <a:ext cx="1152525" cy="495300"/>
                          </a:xfrm>
                          <a:prstGeom prst="rect">
                            <a:avLst/>
                          </a:prstGeom>
                          <a:noFill/>
                          <a:ln w="6350">
                            <a:noFill/>
                          </a:ln>
                        </wps:spPr>
                        <wps:txbx>
                          <w:txbxContent>
                            <w:p w14:paraId="25C58024" w14:textId="1967B4A0" w:rsidR="00547E51" w:rsidRPr="00B0076F" w:rsidRDefault="00547E51" w:rsidP="00547E51">
                              <w:pPr>
                                <w:rPr>
                                  <w:rFonts w:asciiTheme="minorBidi" w:hAnsiTheme="minorBidi" w:cstheme="minorBidi"/>
                                  <w:i/>
                                  <w:iCs/>
                                  <w:sz w:val="14"/>
                                  <w:szCs w:val="12"/>
                                </w:rPr>
                              </w:pPr>
                              <w:r w:rsidRPr="00B0076F">
                                <w:rPr>
                                  <w:rFonts w:asciiTheme="minorBidi" w:hAnsiTheme="minorBidi"/>
                                  <w:sz w:val="14"/>
                                  <w:szCs w:val="20"/>
                                </w:rPr>
                                <w:t xml:space="preserve">A capacidade existe e está </w:t>
                              </w:r>
                              <w:r w:rsidRPr="00B0076F">
                                <w:rPr>
                                  <w:rFonts w:asciiTheme="minorBidi" w:hAnsiTheme="minorBidi"/>
                                  <w:i/>
                                  <w:sz w:val="14"/>
                                  <w:szCs w:val="20"/>
                                </w:rPr>
                                <w:t>disponível em certa medida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823630" y="2098641"/>
                            <a:ext cx="1152525" cy="495300"/>
                          </a:xfrm>
                          <a:prstGeom prst="rect">
                            <a:avLst/>
                          </a:prstGeom>
                          <a:noFill/>
                          <a:ln w="6350">
                            <a:noFill/>
                          </a:ln>
                        </wps:spPr>
                        <wps:txbx>
                          <w:txbxContent>
                            <w:p w14:paraId="1169663F" w14:textId="222BD8A5" w:rsidR="00547E51" w:rsidRPr="00B0076F" w:rsidRDefault="00547E51" w:rsidP="00547E51">
                              <w:pPr>
                                <w:rPr>
                                  <w:rFonts w:asciiTheme="minorBidi" w:hAnsiTheme="minorBidi" w:cstheme="minorBidi"/>
                                  <w:i/>
                                  <w:iCs/>
                                  <w:sz w:val="14"/>
                                  <w:szCs w:val="12"/>
                                </w:rPr>
                              </w:pPr>
                              <w:r w:rsidRPr="00B0076F">
                                <w:rPr>
                                  <w:rFonts w:asciiTheme="minorBidi" w:hAnsiTheme="minorBidi"/>
                                  <w:sz w:val="14"/>
                                  <w:szCs w:val="20"/>
                                </w:rPr>
                                <w:t xml:space="preserve">A capacidade existe e está </w:t>
                              </w:r>
                              <w:r w:rsidRPr="00B0076F">
                                <w:rPr>
                                  <w:rFonts w:asciiTheme="minorBidi" w:hAnsiTheme="minorBidi"/>
                                  <w:i/>
                                  <w:sz w:val="14"/>
                                  <w:szCs w:val="20"/>
                                </w:rPr>
                                <w:t>disponível em grande medida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429125" y="211261"/>
                            <a:ext cx="676275" cy="228600"/>
                          </a:xfrm>
                          <a:prstGeom prst="rect">
                            <a:avLst/>
                          </a:prstGeom>
                          <a:noFill/>
                          <a:ln w="6350">
                            <a:noFill/>
                          </a:ln>
                        </wps:spPr>
                        <wps:txbx>
                          <w:txbxContent>
                            <w:p w14:paraId="34B861E3" w14:textId="013E1B48" w:rsidR="002C155D" w:rsidRPr="00B0076F" w:rsidRDefault="002C155D" w:rsidP="002C155D">
                              <w:pPr>
                                <w:rPr>
                                  <w:rFonts w:asciiTheme="minorBidi" w:hAnsiTheme="minorBidi" w:cstheme="minorBidi"/>
                                  <w:color w:val="FFFFFF" w:themeColor="background1"/>
                                  <w:sz w:val="16"/>
                                  <w:szCs w:val="14"/>
                                </w:rPr>
                              </w:pPr>
                              <w:r w:rsidRPr="00B0076F">
                                <w:rPr>
                                  <w:rFonts w:asciiTheme="minorBidi" w:hAnsiTheme="minorBidi"/>
                                  <w:color w:val="FFFFFF" w:themeColor="background1"/>
                                  <w:sz w:val="16"/>
                                  <w:szCs w:val="20"/>
                                </w:rPr>
                                <w:t>Class</w:t>
                              </w:r>
                              <w:r w:rsidR="00102973">
                                <w:rPr>
                                  <w:rFonts w:asciiTheme="minorBidi" w:hAnsiTheme="minorBidi"/>
                                  <w:color w:val="FFFFFF" w:themeColor="background1"/>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4848225" y="211261"/>
                            <a:ext cx="828675" cy="209550"/>
                          </a:xfrm>
                          <a:prstGeom prst="rect">
                            <a:avLst/>
                          </a:prstGeom>
                          <a:noFill/>
                          <a:ln w="6350">
                            <a:noFill/>
                          </a:ln>
                        </wps:spPr>
                        <wps:txbx>
                          <w:txbxContent>
                            <w:p w14:paraId="0C6FDF73" w14:textId="6517FE77" w:rsidR="002C155D" w:rsidRPr="00B0076F" w:rsidRDefault="002C155D" w:rsidP="002C155D">
                              <w:pPr>
                                <w:rPr>
                                  <w:rFonts w:asciiTheme="minorBidi" w:hAnsiTheme="minorBidi" w:cstheme="minorBidi"/>
                                  <w:color w:val="FFFFFF" w:themeColor="background1"/>
                                  <w:sz w:val="16"/>
                                  <w:szCs w:val="14"/>
                                </w:rPr>
                              </w:pPr>
                              <w:r w:rsidRPr="00B0076F">
                                <w:rPr>
                                  <w:rFonts w:asciiTheme="minorBidi" w:hAnsiTheme="minorBidi"/>
                                  <w:color w:val="FFFFFF" w:themeColor="background1"/>
                                  <w:sz w:val="16"/>
                                  <w:szCs w:val="20"/>
                                </w:rPr>
                                <w:t>Indicadores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B2EFFF" id="Group 27" o:spid="_x0000_s1026" style="position:absolute;margin-left:-10.85pt;margin-top:3pt;width:480.55pt;height:236.35pt;z-index:251696640;mso-width-relative:margin;mso-height-relative:margin" coordorigin="2735,1160" coordsize="61026,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">
                <v:shapetype id="_x0000_t202" coordsize="21600,21600" o:spt="202" path="m,l,21600r21600,l21600,xe">
                  <v:stroke joinstyle="miter"/>
                  <v:path gradientshapeok="t" o:connecttype="rect"/>
                </v:shapetype>
                <v:shape id="Text Box 3" o:spid="_x0000_s1027" type="#_x0000_t202" style="position:absolute;left:16668;top:1160;width:1552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7BD635A" w14:textId="4663C533" w:rsidR="001A3C0D" w:rsidRPr="00B0076F" w:rsidRDefault="001A3C0D" w:rsidP="001A3C0D">
                        <w:pPr>
                          <w:jc w:val="center"/>
                          <w:rPr>
                            <w:rFonts w:asciiTheme="minorBidi" w:hAnsiTheme="minorBidi" w:cstheme="minorBidi"/>
                            <w:sz w:val="16"/>
                            <w:szCs w:val="14"/>
                          </w:rPr>
                        </w:pPr>
                        <w:r w:rsidRPr="00B0076F">
                          <w:rPr>
                            <w:rFonts w:asciiTheme="minorBidi" w:hAnsiTheme="minorBidi"/>
                            <w:sz w:val="16"/>
                            <w:szCs w:val="20"/>
                          </w:rPr>
                          <w:t>Regulamentos/Políticas sobre substâncias químicas</w:t>
                        </w:r>
                      </w:p>
                    </w:txbxContent>
                  </v:textbox>
                </v:shape>
                <v:shape id="Text Box 4" o:spid="_x0000_s1028" type="#_x0000_t202" style="position:absolute;left:29430;top:3064;width:1485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C3B7A4C" w14:textId="0DA0084E" w:rsidR="001A3C0D" w:rsidRPr="00B0076F" w:rsidRDefault="001A3C0D" w:rsidP="001A3C0D">
                        <w:pPr>
                          <w:rPr>
                            <w:rFonts w:asciiTheme="minorBidi" w:hAnsiTheme="minorBidi" w:cstheme="minorBidi"/>
                            <w:sz w:val="16"/>
                            <w:szCs w:val="14"/>
                          </w:rPr>
                        </w:pPr>
                        <w:r w:rsidRPr="00B0076F">
                          <w:rPr>
                            <w:rFonts w:asciiTheme="minorBidi" w:hAnsiTheme="minorBidi"/>
                            <w:sz w:val="16"/>
                            <w:szCs w:val="20"/>
                          </w:rPr>
                          <w:t>Regulamentos/Políticas sobre riscos biológicos</w:t>
                        </w:r>
                      </w:p>
                    </w:txbxContent>
                  </v:textbox>
                </v:shape>
                <v:shape id="Text Box 5" o:spid="_x0000_s1029" type="#_x0000_t202" style="position:absolute;left:33909;top:6835;width:9620;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AAF7C00" w14:textId="65E87053" w:rsidR="001A3C0D" w:rsidRPr="00693765" w:rsidRDefault="001A3C0D" w:rsidP="001A3C0D">
                        <w:pPr>
                          <w:rPr>
                            <w:rFonts w:asciiTheme="minorBidi" w:hAnsiTheme="minorBidi"/>
                            <w:sz w:val="16"/>
                            <w:szCs w:val="20"/>
                          </w:rPr>
                        </w:pPr>
                        <w:r w:rsidRPr="00B0076F">
                          <w:rPr>
                            <w:rFonts w:asciiTheme="minorBidi" w:hAnsiTheme="minorBidi"/>
                            <w:sz w:val="16"/>
                            <w:szCs w:val="20"/>
                          </w:rPr>
                          <w:t>Regulamentos/</w:t>
                        </w:r>
                        <w:r w:rsidR="00102973">
                          <w:rPr>
                            <w:rFonts w:asciiTheme="minorBidi" w:hAnsiTheme="minorBidi"/>
                            <w:sz w:val="16"/>
                            <w:szCs w:val="20"/>
                          </w:rPr>
                          <w:t xml:space="preserve"> </w:t>
                        </w:r>
                        <w:r w:rsidRPr="00B0076F">
                          <w:rPr>
                            <w:rFonts w:asciiTheme="minorBidi" w:hAnsiTheme="minorBidi"/>
                            <w:sz w:val="16"/>
                            <w:szCs w:val="20"/>
                          </w:rPr>
                          <w:t>Políticas sobre riscos psicológicos</w:t>
                        </w:r>
                      </w:p>
                    </w:txbxContent>
                  </v:textbox>
                </v:shape>
                <v:shape id="Text Box 6" o:spid="_x0000_s1030" type="#_x0000_t202" style="position:absolute;left:34671;top:13434;width:9620;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D386D70" w14:textId="30AAAD6F" w:rsidR="001A3C0D" w:rsidRPr="00B0076F" w:rsidRDefault="001A3C0D" w:rsidP="001A3C0D">
                        <w:pPr>
                          <w:rPr>
                            <w:rFonts w:asciiTheme="minorBidi" w:hAnsiTheme="minorBidi" w:cstheme="minorBidi"/>
                            <w:sz w:val="16"/>
                            <w:szCs w:val="14"/>
                          </w:rPr>
                        </w:pPr>
                        <w:r w:rsidRPr="00B0076F">
                          <w:rPr>
                            <w:rFonts w:asciiTheme="minorBidi" w:hAnsiTheme="minorBidi"/>
                            <w:sz w:val="16"/>
                            <w:szCs w:val="20"/>
                          </w:rPr>
                          <w:t>Regulamentos/</w:t>
                        </w:r>
                        <w:r w:rsidR="00B0076F" w:rsidRPr="00B0076F">
                          <w:rPr>
                            <w:rFonts w:asciiTheme="minorBidi" w:hAnsiTheme="minorBidi"/>
                            <w:sz w:val="16"/>
                            <w:szCs w:val="20"/>
                          </w:rPr>
                          <w:t xml:space="preserve"> </w:t>
                        </w:r>
                        <w:r w:rsidRPr="00B0076F">
                          <w:rPr>
                            <w:rFonts w:asciiTheme="minorBidi" w:hAnsiTheme="minorBidi"/>
                            <w:sz w:val="16"/>
                            <w:szCs w:val="20"/>
                          </w:rPr>
                          <w:t>Políticas de CSP</w:t>
                        </w:r>
                      </w:p>
                    </w:txbxContent>
                  </v:textbox>
                </v:shape>
                <v:shape id="Text Box 7" o:spid="_x0000_s1031" type="#_x0000_t202" style="position:absolute;left:33528;top:17787;width:11811;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EED9ABE" w14:textId="02C3AD1A" w:rsidR="001A3C0D" w:rsidRPr="00B0076F" w:rsidRDefault="001A3C0D" w:rsidP="001A3C0D">
                        <w:pPr>
                          <w:rPr>
                            <w:rFonts w:asciiTheme="minorBidi" w:hAnsiTheme="minorBidi" w:cstheme="minorBidi"/>
                            <w:sz w:val="16"/>
                            <w:szCs w:val="14"/>
                          </w:rPr>
                        </w:pPr>
                        <w:r w:rsidRPr="00B0076F">
                          <w:rPr>
                            <w:rFonts w:asciiTheme="minorBidi" w:hAnsiTheme="minorBidi"/>
                            <w:sz w:val="16"/>
                            <w:szCs w:val="20"/>
                          </w:rPr>
                          <w:t>Organização institucional e responsabilidades profissionais</w:t>
                        </w:r>
                      </w:p>
                    </w:txbxContent>
                  </v:textbox>
                </v:shape>
                <v:shape id="Text Box 11" o:spid="_x0000_s1032" type="#_x0000_t202" style="position:absolute;left:16626;top:25607;width:17220;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4958939" w14:textId="2A22C1A4" w:rsidR="001A3C0D" w:rsidRPr="00B0076F" w:rsidRDefault="001A3C0D" w:rsidP="001A3C0D">
                        <w:pPr>
                          <w:jc w:val="center"/>
                          <w:rPr>
                            <w:rFonts w:asciiTheme="minorBidi" w:hAnsiTheme="minorBidi" w:cstheme="minorBidi"/>
                            <w:sz w:val="16"/>
                            <w:szCs w:val="14"/>
                          </w:rPr>
                        </w:pPr>
                        <w:r w:rsidRPr="00B0076F">
                          <w:rPr>
                            <w:rFonts w:asciiTheme="minorBidi" w:hAnsiTheme="minorBidi"/>
                            <w:sz w:val="16"/>
                            <w:szCs w:val="20"/>
                          </w:rPr>
                          <w:t>Equipamento técnico e laboratorial relativo à ASGM</w:t>
                        </w:r>
                      </w:p>
                    </w:txbxContent>
                  </v:textbox>
                </v:shape>
                <v:shape id="Text Box 8" o:spid="_x0000_s1033" type="#_x0000_t202" style="position:absolute;left:29321;top:24143;width:1552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5326CB2" w14:textId="10B6947B" w:rsidR="001A3C0D" w:rsidRPr="00B0076F" w:rsidRDefault="001A3C0D" w:rsidP="001A3C0D">
                        <w:pPr>
                          <w:rPr>
                            <w:rFonts w:asciiTheme="minorBidi" w:hAnsiTheme="minorBidi" w:cstheme="minorBidi"/>
                            <w:sz w:val="16"/>
                            <w:szCs w:val="14"/>
                          </w:rPr>
                        </w:pPr>
                        <w:r w:rsidRPr="00B0076F">
                          <w:rPr>
                            <w:rFonts w:asciiTheme="minorBidi" w:hAnsiTheme="minorBidi"/>
                            <w:sz w:val="16"/>
                            <w:szCs w:val="20"/>
                          </w:rPr>
                          <w:t>Unidades de CSP</w:t>
                        </w:r>
                      </w:p>
                    </w:txbxContent>
                  </v:textbox>
                </v:shape>
                <v:shape id="Text Box 12" o:spid="_x0000_s1034" type="#_x0000_t202" style="position:absolute;left:2735;top:23942;width:15525;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733E15D" w14:textId="03406C11" w:rsidR="0016149C" w:rsidRPr="00B0076F" w:rsidRDefault="0016149C" w:rsidP="0016149C">
                        <w:pPr>
                          <w:jc w:val="right"/>
                          <w:rPr>
                            <w:rFonts w:asciiTheme="minorBidi" w:hAnsiTheme="minorBidi" w:cstheme="minorBidi"/>
                            <w:sz w:val="16"/>
                            <w:szCs w:val="14"/>
                          </w:rPr>
                        </w:pPr>
                        <w:r w:rsidRPr="00B0076F">
                          <w:rPr>
                            <w:rFonts w:asciiTheme="minorBidi" w:hAnsiTheme="minorBidi"/>
                            <w:sz w:val="16"/>
                            <w:szCs w:val="20"/>
                          </w:rPr>
                          <w:t>Recursos e conhecimentos institucionais para abordar problemas da ASGM</w:t>
                        </w:r>
                      </w:p>
                    </w:txbxContent>
                  </v:textbox>
                </v:shape>
                <v:shape id="Text Box 13" o:spid="_x0000_s1035" type="#_x0000_t202" style="position:absolute;left:3002;top:16706;width:11815;height:7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ACCC049" w14:textId="34B2AB33" w:rsidR="0016149C" w:rsidRPr="00B0076F" w:rsidRDefault="0016149C" w:rsidP="0016149C">
                        <w:pPr>
                          <w:jc w:val="right"/>
                          <w:rPr>
                            <w:rFonts w:asciiTheme="minorBidi" w:hAnsiTheme="minorBidi" w:cstheme="minorBidi"/>
                            <w:sz w:val="16"/>
                            <w:szCs w:val="14"/>
                          </w:rPr>
                        </w:pPr>
                        <w:r w:rsidRPr="00B0076F">
                          <w:rPr>
                            <w:rFonts w:asciiTheme="minorBidi" w:hAnsiTheme="minorBidi"/>
                            <w:sz w:val="16"/>
                            <w:szCs w:val="20"/>
                          </w:rPr>
                          <w:t>Mecanismos de resposta a emergências relacionadas com a ASGM</w:t>
                        </w:r>
                      </w:p>
                    </w:txbxContent>
                  </v:textbox>
                </v:shape>
                <v:shape id="Text Box 14" o:spid="_x0000_s1036" type="#_x0000_t202" style="position:absolute;left:3138;top:11862;width:1103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0BA91CE" w14:textId="37193F43" w:rsidR="0016149C" w:rsidRPr="00B0076F" w:rsidRDefault="0016149C" w:rsidP="0016149C">
                        <w:pPr>
                          <w:jc w:val="right"/>
                          <w:rPr>
                            <w:rFonts w:asciiTheme="minorBidi" w:hAnsiTheme="minorBidi" w:cstheme="minorBidi"/>
                            <w:sz w:val="16"/>
                            <w:szCs w:val="14"/>
                          </w:rPr>
                        </w:pPr>
                        <w:r w:rsidRPr="00B0076F">
                          <w:rPr>
                            <w:rFonts w:asciiTheme="minorBidi" w:hAnsiTheme="minorBidi"/>
                            <w:sz w:val="16"/>
                            <w:szCs w:val="20"/>
                          </w:rPr>
                          <w:t>Mecanismos de prevenção em contexto de ASGM</w:t>
                        </w:r>
                      </w:p>
                    </w:txbxContent>
                  </v:textbox>
                </v:shape>
                <v:shape id="Text Box 15" o:spid="_x0000_s1037" type="#_x0000_t202" style="position:absolute;left:3243;top:6582;width:12387;height:8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94C423F" w14:textId="186040A5" w:rsidR="0016149C" w:rsidRPr="00B0076F" w:rsidRDefault="0016149C" w:rsidP="0016149C">
                        <w:pPr>
                          <w:jc w:val="right"/>
                          <w:rPr>
                            <w:rFonts w:asciiTheme="minorBidi" w:hAnsiTheme="minorBidi" w:cstheme="minorBidi"/>
                            <w:sz w:val="16"/>
                            <w:szCs w:val="14"/>
                          </w:rPr>
                        </w:pPr>
                        <w:r w:rsidRPr="00B0076F">
                          <w:rPr>
                            <w:rFonts w:asciiTheme="minorBidi" w:hAnsiTheme="minorBidi"/>
                            <w:sz w:val="16"/>
                            <w:szCs w:val="20"/>
                          </w:rPr>
                          <w:t>Formação relevante em ASGM para profissionais de saúde</w:t>
                        </w:r>
                      </w:p>
                    </w:txbxContent>
                  </v:textbox>
                </v:shape>
                <v:shape id="Text Box 17" o:spid="_x0000_s1038" type="#_x0000_t202" style="position:absolute;left:8410;top:3157;width:10477;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CA023C8" w14:textId="5F79705D" w:rsidR="008145C6" w:rsidRPr="00B0076F" w:rsidRDefault="008145C6" w:rsidP="008145C6">
                        <w:pPr>
                          <w:jc w:val="right"/>
                          <w:rPr>
                            <w:rFonts w:asciiTheme="minorBidi" w:hAnsiTheme="minorBidi" w:cstheme="minorBidi"/>
                            <w:sz w:val="16"/>
                            <w:szCs w:val="14"/>
                          </w:rPr>
                        </w:pPr>
                        <w:r w:rsidRPr="00B0076F">
                          <w:rPr>
                            <w:rFonts w:asciiTheme="minorBidi" w:hAnsiTheme="minorBidi"/>
                            <w:sz w:val="16"/>
                            <w:szCs w:val="20"/>
                          </w:rPr>
                          <w:t>Coordenação entre ministérios</w:t>
                        </w:r>
                      </w:p>
                    </w:txbxContent>
                  </v:textbox>
                </v:shape>
                <v:shape id="Text Box 18" o:spid="_x0000_s1039" type="#_x0000_t202" style="position:absolute;left:45529;top:26210;width:1552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DE849E6" w14:textId="1EF83F84" w:rsidR="00547E51" w:rsidRPr="00B0076F" w:rsidRDefault="00547E51" w:rsidP="00547E51">
                        <w:pPr>
                          <w:rPr>
                            <w:rFonts w:asciiTheme="minorBidi" w:hAnsiTheme="minorBidi" w:cstheme="minorBidi"/>
                            <w:sz w:val="16"/>
                            <w:szCs w:val="14"/>
                          </w:rPr>
                        </w:pPr>
                        <w:r w:rsidRPr="00B0076F">
                          <w:rPr>
                            <w:rFonts w:asciiTheme="minorBidi" w:hAnsiTheme="minorBidi"/>
                            <w:sz w:val="16"/>
                            <w:szCs w:val="20"/>
                          </w:rPr>
                          <w:t>Capacidades institucionais</w:t>
                        </w:r>
                      </w:p>
                    </w:txbxContent>
                  </v:textbox>
                </v:shape>
                <v:shape id="Text Box 19" o:spid="_x0000_s1040" type="#_x0000_t202" style="position:absolute;left:48236;top:4398;width:1552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146EAF9" w14:textId="56B9E415" w:rsidR="00547E51" w:rsidRPr="00B0076F" w:rsidRDefault="00547E51" w:rsidP="00547E51">
                        <w:pPr>
                          <w:rPr>
                            <w:rFonts w:asciiTheme="minorBidi" w:hAnsiTheme="minorBidi" w:cstheme="minorBidi"/>
                            <w:i/>
                            <w:iCs/>
                            <w:sz w:val="14"/>
                            <w:szCs w:val="12"/>
                          </w:rPr>
                        </w:pPr>
                        <w:r w:rsidRPr="00B0076F">
                          <w:rPr>
                            <w:rFonts w:asciiTheme="minorBidi" w:hAnsiTheme="minorBidi"/>
                            <w:sz w:val="14"/>
                            <w:szCs w:val="20"/>
                          </w:rPr>
                          <w:t xml:space="preserve">A capacidade está </w:t>
                        </w:r>
                        <w:r w:rsidRPr="00B0076F">
                          <w:rPr>
                            <w:rFonts w:asciiTheme="minorBidi" w:hAnsiTheme="minorBidi"/>
                            <w:i/>
                            <w:sz w:val="14"/>
                            <w:szCs w:val="20"/>
                          </w:rPr>
                          <w:t>ausente</w:t>
                        </w:r>
                      </w:p>
                    </w:txbxContent>
                  </v:textbox>
                </v:shape>
                <v:shape id="Text Box 20" o:spid="_x0000_s1041" type="#_x0000_t202" style="position:absolute;left:48236;top:6779;width:1152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CA641EF" w14:textId="7E2D9A1B" w:rsidR="00547E51" w:rsidRPr="00B0076F" w:rsidRDefault="00547E51" w:rsidP="00547E51">
                        <w:pPr>
                          <w:rPr>
                            <w:rFonts w:asciiTheme="minorBidi" w:hAnsiTheme="minorBidi" w:cstheme="minorBidi"/>
                            <w:i/>
                            <w:iCs/>
                            <w:sz w:val="14"/>
                            <w:szCs w:val="12"/>
                          </w:rPr>
                        </w:pPr>
                        <w:r w:rsidRPr="00B0076F">
                          <w:rPr>
                            <w:rFonts w:asciiTheme="minorBidi" w:hAnsiTheme="minorBidi"/>
                            <w:sz w:val="14"/>
                            <w:szCs w:val="20"/>
                          </w:rPr>
                          <w:t xml:space="preserve">A capacidade existe, mas </w:t>
                        </w:r>
                        <w:r w:rsidRPr="00B0076F">
                          <w:rPr>
                            <w:rFonts w:asciiTheme="minorBidi" w:hAnsiTheme="minorBidi"/>
                            <w:i/>
                            <w:sz w:val="14"/>
                            <w:szCs w:val="20"/>
                          </w:rPr>
                          <w:t>não está disponível</w:t>
                        </w:r>
                      </w:p>
                    </w:txbxContent>
                  </v:textbox>
                </v:shape>
                <v:shape id="Text Box 21" o:spid="_x0000_s1042" type="#_x0000_t202" style="position:absolute;left:48236;top:10494;width:1152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B876F4F" w14:textId="7F676358" w:rsidR="00547E51" w:rsidRPr="00B0076F" w:rsidRDefault="00547E51" w:rsidP="00547E51">
                        <w:pPr>
                          <w:rPr>
                            <w:rFonts w:asciiTheme="minorBidi" w:hAnsiTheme="minorBidi" w:cstheme="minorBidi"/>
                            <w:i/>
                            <w:iCs/>
                            <w:sz w:val="14"/>
                            <w:szCs w:val="12"/>
                          </w:rPr>
                        </w:pPr>
                        <w:r w:rsidRPr="00B0076F">
                          <w:rPr>
                            <w:rFonts w:asciiTheme="minorBidi" w:hAnsiTheme="minorBidi"/>
                            <w:sz w:val="14"/>
                            <w:szCs w:val="20"/>
                          </w:rPr>
                          <w:t xml:space="preserve">A capacidade existe e está </w:t>
                        </w:r>
                        <w:r w:rsidRPr="00B0076F">
                          <w:rPr>
                            <w:rFonts w:asciiTheme="minorBidi" w:hAnsiTheme="minorBidi"/>
                            <w:i/>
                            <w:sz w:val="14"/>
                            <w:szCs w:val="20"/>
                          </w:rPr>
                          <w:t>disponível de forma limitada</w:t>
                        </w:r>
                      </w:p>
                    </w:txbxContent>
                  </v:textbox>
                </v:shape>
                <v:shape id="Text Box 22" o:spid="_x0000_s1043" type="#_x0000_t202" style="position:absolute;left:48236;top:15638;width:1152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5C58024" w14:textId="1967B4A0" w:rsidR="00547E51" w:rsidRPr="00B0076F" w:rsidRDefault="00547E51" w:rsidP="00547E51">
                        <w:pPr>
                          <w:rPr>
                            <w:rFonts w:asciiTheme="minorBidi" w:hAnsiTheme="minorBidi" w:cstheme="minorBidi"/>
                            <w:i/>
                            <w:iCs/>
                            <w:sz w:val="14"/>
                            <w:szCs w:val="12"/>
                          </w:rPr>
                        </w:pPr>
                        <w:r w:rsidRPr="00B0076F">
                          <w:rPr>
                            <w:rFonts w:asciiTheme="minorBidi" w:hAnsiTheme="minorBidi"/>
                            <w:sz w:val="14"/>
                            <w:szCs w:val="20"/>
                          </w:rPr>
                          <w:t xml:space="preserve">A capacidade existe e está </w:t>
                        </w:r>
                        <w:r w:rsidRPr="00B0076F">
                          <w:rPr>
                            <w:rFonts w:asciiTheme="minorBidi" w:hAnsiTheme="minorBidi"/>
                            <w:i/>
                            <w:sz w:val="14"/>
                            <w:szCs w:val="20"/>
                          </w:rPr>
                          <w:t>disponível em certa medida</w:t>
                        </w:r>
                      </w:p>
                    </w:txbxContent>
                  </v:textbox>
                </v:shape>
                <v:shape id="Text Box 23" o:spid="_x0000_s1044" type="#_x0000_t202" style="position:absolute;left:48236;top:20986;width:1152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169663F" w14:textId="222BD8A5" w:rsidR="00547E51" w:rsidRPr="00B0076F" w:rsidRDefault="00547E51" w:rsidP="00547E51">
                        <w:pPr>
                          <w:rPr>
                            <w:rFonts w:asciiTheme="minorBidi" w:hAnsiTheme="minorBidi" w:cstheme="minorBidi"/>
                            <w:i/>
                            <w:iCs/>
                            <w:sz w:val="14"/>
                            <w:szCs w:val="12"/>
                          </w:rPr>
                        </w:pPr>
                        <w:r w:rsidRPr="00B0076F">
                          <w:rPr>
                            <w:rFonts w:asciiTheme="minorBidi" w:hAnsiTheme="minorBidi"/>
                            <w:sz w:val="14"/>
                            <w:szCs w:val="20"/>
                          </w:rPr>
                          <w:t xml:space="preserve">A capacidade existe e está </w:t>
                        </w:r>
                        <w:r w:rsidRPr="00B0076F">
                          <w:rPr>
                            <w:rFonts w:asciiTheme="minorBidi" w:hAnsiTheme="minorBidi"/>
                            <w:i/>
                            <w:sz w:val="14"/>
                            <w:szCs w:val="20"/>
                          </w:rPr>
                          <w:t>disponível em grande medida</w:t>
                        </w:r>
                      </w:p>
                    </w:txbxContent>
                  </v:textbox>
                </v:shape>
                <v:shape id="Text Box 25" o:spid="_x0000_s1045" type="#_x0000_t202" style="position:absolute;left:44291;top:2112;width:67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4B861E3" w14:textId="013E1B48" w:rsidR="002C155D" w:rsidRPr="00B0076F" w:rsidRDefault="002C155D" w:rsidP="002C155D">
                        <w:pPr>
                          <w:rPr>
                            <w:rFonts w:asciiTheme="minorBidi" w:hAnsiTheme="minorBidi" w:cstheme="minorBidi"/>
                            <w:color w:val="FFFFFF" w:themeColor="background1"/>
                            <w:sz w:val="16"/>
                            <w:szCs w:val="14"/>
                          </w:rPr>
                        </w:pPr>
                        <w:r w:rsidRPr="00B0076F">
                          <w:rPr>
                            <w:rFonts w:asciiTheme="minorBidi" w:hAnsiTheme="minorBidi"/>
                            <w:color w:val="FFFFFF" w:themeColor="background1"/>
                            <w:sz w:val="16"/>
                            <w:szCs w:val="20"/>
                          </w:rPr>
                          <w:t>Class</w:t>
                        </w:r>
                        <w:r w:rsidR="00102973">
                          <w:rPr>
                            <w:rFonts w:asciiTheme="minorBidi" w:hAnsiTheme="minorBidi"/>
                            <w:color w:val="FFFFFF" w:themeColor="background1"/>
                            <w:sz w:val="16"/>
                            <w:szCs w:val="20"/>
                          </w:rPr>
                          <w:t>.</w:t>
                        </w:r>
                      </w:p>
                    </w:txbxContent>
                  </v:textbox>
                </v:shape>
                <v:shape id="Text Box 26" o:spid="_x0000_s1046" type="#_x0000_t202" style="position:absolute;left:48482;top:2112;width:8287;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0C6FDF73" w14:textId="6517FE77" w:rsidR="002C155D" w:rsidRPr="00B0076F" w:rsidRDefault="002C155D" w:rsidP="002C155D">
                        <w:pPr>
                          <w:rPr>
                            <w:rFonts w:asciiTheme="minorBidi" w:hAnsiTheme="minorBidi" w:cstheme="minorBidi"/>
                            <w:color w:val="FFFFFF" w:themeColor="background1"/>
                            <w:sz w:val="16"/>
                            <w:szCs w:val="14"/>
                          </w:rPr>
                        </w:pPr>
                        <w:r w:rsidRPr="00B0076F">
                          <w:rPr>
                            <w:rFonts w:asciiTheme="minorBidi" w:hAnsiTheme="minorBidi"/>
                            <w:color w:val="FFFFFF" w:themeColor="background1"/>
                            <w:sz w:val="16"/>
                            <w:szCs w:val="20"/>
                          </w:rPr>
                          <w:t>Indicadores</w:t>
                        </w:r>
                      </w:p>
                    </w:txbxContent>
                  </v:textbox>
                </v:shape>
              </v:group>
            </w:pict>
          </mc:Fallback>
        </mc:AlternateContent>
      </w:r>
      <w:r w:rsidR="001A3C0D">
        <w:rPr>
          <w:rFonts w:ascii="Arial" w:hAnsi="Arial"/>
          <w:noProof/>
          <w:color w:val="000000"/>
          <w:lang w:val="nl-BE" w:eastAsia="nl-BE"/>
        </w:rPr>
        <w:drawing>
          <wp:inline distT="0" distB="0" distL="0" distR="0" wp14:anchorId="23D9CAB8" wp14:editId="7C2B9272">
            <wp:extent cx="5731510" cy="28562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annex 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856230"/>
                    </a:xfrm>
                    <a:prstGeom prst="rect">
                      <a:avLst/>
                    </a:prstGeom>
                  </pic:spPr>
                </pic:pic>
              </a:graphicData>
            </a:graphic>
          </wp:inline>
        </w:drawing>
      </w:r>
    </w:p>
    <w:p w14:paraId="101DBD6D" w14:textId="2844273F" w:rsidR="002C0C53" w:rsidRPr="004E0F64" w:rsidRDefault="002C0C53" w:rsidP="00F34254">
      <w:pPr>
        <w:pStyle w:val="Listnumbered"/>
        <w:spacing w:before="240"/>
      </w:pPr>
      <w:r>
        <w:t xml:space="preserve">Em terceiro lugar, são destacados os pontos fortes e os desafios relacionados com os níveis em matéria regulamentar, da estrutura e dos processos para cada área prioritária. São também comunicadas as opções e pontos de entrada para o reforço das capacidades institucionais identificados durante as entrevistas. </w:t>
      </w:r>
    </w:p>
    <w:p w14:paraId="3374CB1E" w14:textId="21E6EAC3" w:rsidR="002C0C53" w:rsidRPr="004E0F64" w:rsidRDefault="002C0C53" w:rsidP="00AD4924">
      <w:r>
        <w:t>Um resumo dos principais resultados obtidos durante o processo de avaliação será registado de acordo com as áreas prioritárias institucionais:</w:t>
      </w:r>
    </w:p>
    <w:p w14:paraId="22A10C6D" w14:textId="7C8C7C30" w:rsidR="002C0C53" w:rsidRPr="004E0F64" w:rsidRDefault="005D18F3" w:rsidP="00AD4924">
      <w:pPr>
        <w:pStyle w:val="Listlettered"/>
        <w:numPr>
          <w:ilvl w:val="0"/>
          <w:numId w:val="45"/>
        </w:numPr>
      </w:pPr>
      <w:r>
        <w:t>Riscos para a saúde em comunidades ASGM</w:t>
      </w:r>
    </w:p>
    <w:p w14:paraId="176672DD" w14:textId="782CFC37" w:rsidR="002C0C53" w:rsidRPr="004E0F64" w:rsidRDefault="005D18F3" w:rsidP="00AD4924">
      <w:pPr>
        <w:pStyle w:val="Listlettered"/>
        <w:numPr>
          <w:ilvl w:val="0"/>
          <w:numId w:val="45"/>
        </w:numPr>
      </w:pPr>
      <w:r>
        <w:t>Riscos em matéria de saúde no trabalho relacionados com a ASGM</w:t>
      </w:r>
    </w:p>
    <w:p w14:paraId="505143C7" w14:textId="2F1DD63C" w:rsidR="002C0C53" w:rsidRPr="004E0F64" w:rsidRDefault="005D18F3" w:rsidP="00AD4924">
      <w:pPr>
        <w:pStyle w:val="Listlettered"/>
        <w:numPr>
          <w:ilvl w:val="0"/>
          <w:numId w:val="45"/>
        </w:numPr>
      </w:pPr>
      <w:r>
        <w:t>Riscos ambientais relacionados com a ASGM com implicações para a saúde</w:t>
      </w:r>
    </w:p>
    <w:p w14:paraId="5BA6B247" w14:textId="59A19D22" w:rsidR="002C0C53" w:rsidRPr="004E0F64" w:rsidRDefault="005D18F3" w:rsidP="00350586">
      <w:pPr>
        <w:pStyle w:val="Listlettered"/>
        <w:numPr>
          <w:ilvl w:val="0"/>
          <w:numId w:val="45"/>
        </w:numPr>
        <w:rPr>
          <w:rFonts w:ascii="Arial" w:eastAsia="Times New Roman" w:hAnsi="Arial"/>
        </w:rPr>
      </w:pPr>
      <w:r>
        <w:t>Gestão de substâncias químicas relacionada</w:t>
      </w:r>
      <w:r w:rsidR="00703F5F">
        <w:t>s</w:t>
      </w:r>
      <w:r>
        <w:t xml:space="preserve"> com a ASGM.</w:t>
      </w:r>
      <w:r>
        <w:rPr>
          <w:rFonts w:ascii="Arial" w:hAnsi="Arial"/>
          <w:color w:val="000000"/>
        </w:rPr>
        <w:t> </w:t>
      </w:r>
    </w:p>
    <w:p w14:paraId="59C6B060" w14:textId="2BEC3A4E" w:rsidR="003457F2" w:rsidRPr="00693765" w:rsidRDefault="003457F2" w:rsidP="003457F2">
      <w:pPr>
        <w:pStyle w:val="Listlettered"/>
        <w:numPr>
          <w:ilvl w:val="0"/>
          <w:numId w:val="0"/>
        </w:numPr>
        <w:ind w:left="720" w:hanging="720"/>
        <w:rPr>
          <w:rFonts w:ascii="Arial" w:eastAsia="Times New Roman" w:hAnsi="Arial" w:cs="Arial"/>
          <w:color w:val="000000"/>
        </w:rPr>
      </w:pPr>
    </w:p>
    <w:p w14:paraId="20857FB4" w14:textId="77777777" w:rsidR="003457F2" w:rsidRPr="00693765" w:rsidRDefault="003457F2" w:rsidP="003457F2">
      <w:pPr>
        <w:pStyle w:val="Listlettered"/>
        <w:numPr>
          <w:ilvl w:val="0"/>
          <w:numId w:val="0"/>
        </w:numPr>
        <w:ind w:left="720" w:hanging="720"/>
        <w:rPr>
          <w:rFonts w:ascii="Arial" w:eastAsia="Times New Roman" w:hAnsi="Arial"/>
        </w:rPr>
      </w:pPr>
    </w:p>
    <w:p w14:paraId="2512441B" w14:textId="77777777" w:rsidR="002C0C53" w:rsidRPr="004E0F64" w:rsidRDefault="002C0C53" w:rsidP="00B878C2">
      <w:pPr>
        <w:pStyle w:val="Heading1"/>
      </w:pPr>
      <w:r>
        <w:t>Recomendações</w:t>
      </w:r>
    </w:p>
    <w:p w14:paraId="44BBE9C7" w14:textId="4983776B" w:rsidR="00B878C2" w:rsidRPr="004E0F64" w:rsidRDefault="002C0C53" w:rsidP="00AD4924">
      <w:r>
        <w:t>Por último, são sugeridas algumas recomendações para as áreas prioritárias e também para a dimensão institucional relevante. Idealmente, as propostas incluirão prazos a cumprir, critérios de orçamentação e o envolvimento estratégico dos intervenientes relevantes.</w:t>
      </w:r>
    </w:p>
    <w:p w14:paraId="4F05006C" w14:textId="3A910F9E" w:rsidR="00B878C2" w:rsidRPr="00693765" w:rsidRDefault="00B878C2" w:rsidP="00AD4924">
      <w:pPr>
        <w:rPr>
          <w:lang w:eastAsia="de-DE"/>
        </w:rPr>
      </w:pPr>
    </w:p>
    <w:p w14:paraId="59F40044" w14:textId="2D39AAA7" w:rsidR="00B878C2" w:rsidRPr="00693765" w:rsidRDefault="00B878C2" w:rsidP="004033FF">
      <w:pPr>
        <w:pStyle w:val="Normalboldhead"/>
        <w:rPr>
          <w:lang w:val="en-GB"/>
        </w:rPr>
      </w:pPr>
      <w:r w:rsidRPr="00693765">
        <w:rPr>
          <w:lang w:val="en-GB"/>
        </w:rPr>
        <w:t>Referências</w:t>
      </w:r>
    </w:p>
    <w:p w14:paraId="01ED6D9F" w14:textId="77777777" w:rsidR="004033FF" w:rsidRPr="00DB7E4C" w:rsidRDefault="004033FF" w:rsidP="004033FF">
      <w:pPr>
        <w:pStyle w:val="Referencelist"/>
      </w:pPr>
      <w:r w:rsidRPr="00693765">
        <w:rPr>
          <w:lang w:val="en-GB"/>
        </w:rPr>
        <w:t>1.</w:t>
      </w:r>
      <w:r w:rsidRPr="00693765">
        <w:rPr>
          <w:lang w:val="en-GB"/>
        </w:rPr>
        <w:tab/>
        <w:t xml:space="preserve">Minamata Convention on Mercury: text and annexes. </w:t>
      </w:r>
      <w:r>
        <w:t>Nairobi: United Nations Environmental Programme (</w:t>
      </w:r>
      <w:hyperlink r:id="rId9" w:history="1">
        <w:r>
          <w:rPr>
            <w:rStyle w:val="Hyperlink"/>
          </w:rPr>
          <w:t>http://www.mercuryconvention.org/</w:t>
        </w:r>
      </w:hyperlink>
      <w:r>
        <w:t>, acedido em 10 de fevereiro de 2021).</w:t>
      </w:r>
    </w:p>
    <w:p w14:paraId="0C93160D" w14:textId="77777777" w:rsidR="004033FF" w:rsidRPr="00693765" w:rsidRDefault="004033FF" w:rsidP="004033FF">
      <w:pPr>
        <w:pStyle w:val="Referencelist"/>
        <w:rPr>
          <w:noProof/>
          <w:lang w:val="en-GB"/>
        </w:rPr>
      </w:pPr>
      <w:r w:rsidRPr="00693765">
        <w:rPr>
          <w:lang w:val="en-GB"/>
        </w:rPr>
        <w:lastRenderedPageBreak/>
        <w:t>2.</w:t>
      </w:r>
      <w:r w:rsidRPr="00693765">
        <w:rPr>
          <w:lang w:val="en-GB"/>
        </w:rPr>
        <w:tab/>
        <w:t>Resolution WHA67.11. Public health impacts of exposure to mercury and mercury compounds: the role of WHO and ministries of public health in the implementation of the Minamata Convention. In: Sixty-seventh World Health Assembly, Geneva, 19–24 May 2014. Geneva: World Health Organization; 2014 (</w:t>
      </w:r>
      <w:hyperlink r:id="rId10" w:history="1">
        <w:r w:rsidRPr="00693765">
          <w:rPr>
            <w:rStyle w:val="Hyperlink"/>
            <w:lang w:val="en-GB"/>
          </w:rPr>
          <w:t>https://apps.who.int/iris/handle/10665/162849</w:t>
        </w:r>
      </w:hyperlink>
      <w:r w:rsidRPr="00693765">
        <w:rPr>
          <w:lang w:val="en-GB"/>
        </w:rPr>
        <w:t>, acedido em 3 de fevereiro de 2021).</w:t>
      </w:r>
    </w:p>
    <w:p w14:paraId="01C1A76D" w14:textId="53891937" w:rsidR="004033FF" w:rsidRPr="00693765" w:rsidRDefault="004033FF" w:rsidP="004033FF">
      <w:pPr>
        <w:pStyle w:val="Referencelist"/>
        <w:rPr>
          <w:noProof/>
          <w:lang w:val="en-GB"/>
        </w:rPr>
      </w:pPr>
      <w:r w:rsidRPr="00693765">
        <w:rPr>
          <w:lang w:val="en-GB"/>
        </w:rPr>
        <w:t>3.</w:t>
      </w:r>
      <w:r w:rsidRPr="00693765">
        <w:rPr>
          <w:lang w:val="en-GB"/>
        </w:rPr>
        <w:tab/>
        <w:t>Capacity development: a UNDP primer. New York: United Nations Development Programme; 2009 (</w:t>
      </w:r>
      <w:hyperlink r:id="rId11" w:history="1">
        <w:r w:rsidRPr="00693765">
          <w:rPr>
            <w:rStyle w:val="Hyperlink"/>
            <w:lang w:val="en-GB"/>
          </w:rPr>
          <w:t>https://www.undp.org/content/undp/en/home/librarypage/capacity-building/capacity-development-a-undp-primer.html</w:t>
        </w:r>
      </w:hyperlink>
      <w:r w:rsidRPr="00693765">
        <w:rPr>
          <w:lang w:val="en-GB"/>
        </w:rPr>
        <w:t>, acedido em 12 de fevereiro de 2021).</w:t>
      </w:r>
    </w:p>
    <w:p w14:paraId="7D40BBA1" w14:textId="77777777" w:rsidR="004033FF" w:rsidRPr="00DB7E4C" w:rsidRDefault="004033FF" w:rsidP="004033FF">
      <w:pPr>
        <w:pStyle w:val="Referencelist"/>
      </w:pPr>
      <w:r w:rsidRPr="00693765">
        <w:rPr>
          <w:lang w:val="en-GB"/>
        </w:rPr>
        <w:t>4.</w:t>
      </w:r>
      <w:r w:rsidRPr="00693765">
        <w:rPr>
          <w:lang w:val="en-GB"/>
        </w:rPr>
        <w:tab/>
        <w:t xml:space="preserve">Environmental and occupational health hazards associated with artisanal and small-scale gold mining. </w:t>
      </w:r>
      <w:r>
        <w:t>Geneva: World Health Organization; 2016 (</w:t>
      </w:r>
      <w:hyperlink r:id="rId12" w:history="1">
        <w:r>
          <w:rPr>
            <w:rStyle w:val="Hyperlink"/>
          </w:rPr>
          <w:t>https://apps.who.int/iris/handle/10665/247195</w:t>
        </w:r>
      </w:hyperlink>
      <w:r>
        <w:t>, acedido em 10 de fevereiro de 2021).</w:t>
      </w:r>
    </w:p>
    <w:p w14:paraId="2BDAA5A7" w14:textId="05FACF40" w:rsidR="00E94CF1" w:rsidRPr="004E0F64" w:rsidRDefault="00E94CF1" w:rsidP="00AD4924">
      <w:pPr>
        <w:rPr>
          <w:lang w:val="en-GB" w:eastAsia="ja-JP"/>
        </w:rPr>
      </w:pPr>
      <w:bookmarkStart w:id="6" w:name="_GoBack"/>
      <w:bookmarkEnd w:id="6"/>
    </w:p>
    <w:sectPr w:rsidR="00E94CF1" w:rsidRPr="004E0F64" w:rsidSect="008B51EE">
      <w:footerReference w:type="even" r:id="rId13"/>
      <w:footerReference w:type="default" r:id="rId14"/>
      <w:pgSz w:w="11906" w:h="16838"/>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38863" w14:textId="77777777" w:rsidR="00AB2A28" w:rsidRDefault="00AB2A28" w:rsidP="00186627">
      <w:r>
        <w:separator/>
      </w:r>
    </w:p>
  </w:endnote>
  <w:endnote w:type="continuationSeparator" w:id="0">
    <w:p w14:paraId="171E3722" w14:textId="77777777" w:rsidR="00AB2A28" w:rsidRDefault="00AB2A28" w:rsidP="0018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S Gothic">
    <w:altName w:val="ＭＳ ゴシック"/>
    <w:panose1 w:val="020B0500000000000000"/>
    <w:charset w:val="80"/>
    <w:family w:val="modern"/>
    <w:notTrueType/>
    <w:pitch w:val="fixed"/>
    <w:sig w:usb0="00000001" w:usb1="08070000" w:usb2="00000010" w:usb3="00000000" w:csb0="00020000" w:csb1="00000000"/>
  </w:font>
  <w:font w:name="Myriad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3E89" w14:textId="77777777" w:rsidR="002670CE" w:rsidRDefault="002670CE" w:rsidP="001A3C0D">
    <w:pPr>
      <w:pStyle w:val="Footer"/>
      <w:framePr w:wrap="around" w:vAnchor="text" w:hAnchor="margin" w:xAlign="center" w:y="1"/>
      <w:rPr>
        <w:rStyle w:val="PageNumber"/>
        <w:szCs w:val="22"/>
      </w:rPr>
    </w:pPr>
    <w:r>
      <w:rPr>
        <w:rStyle w:val="PageNumber"/>
      </w:rPr>
      <w:fldChar w:fldCharType="begin"/>
    </w:r>
    <w:r>
      <w:rPr>
        <w:rStyle w:val="PageNumber"/>
      </w:rPr>
      <w:instrText xml:space="preserve">PAGE  </w:instrText>
    </w:r>
    <w:r>
      <w:rPr>
        <w:rStyle w:val="PageNumber"/>
      </w:rPr>
      <w:fldChar w:fldCharType="end"/>
    </w:r>
  </w:p>
  <w:p w14:paraId="0FB20818" w14:textId="77777777" w:rsidR="002670CE" w:rsidRDefault="002670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CBF5" w14:textId="3744AA7C" w:rsidR="002670CE" w:rsidRPr="008B51EE" w:rsidRDefault="002670CE" w:rsidP="008B51EE">
    <w:pPr>
      <w:pStyle w:val="Footer"/>
      <w:tabs>
        <w:tab w:val="left" w:pos="1573"/>
        <w:tab w:val="center" w:pos="4513"/>
      </w:tabs>
    </w:pPr>
    <w:r>
      <w:rPr>
        <w:rStyle w:val="PageNumber"/>
      </w:rPr>
      <w:tab/>
    </w:r>
    <w:r>
      <w:rPr>
        <w:rStyle w:val="PageNumber"/>
      </w:rPr>
      <w:tab/>
    </w:r>
    <w:r>
      <w:rPr>
        <w:rStyle w:val="PageNumber"/>
      </w:rPr>
      <w:tab/>
    </w:r>
    <w:r w:rsidRPr="008B51EE">
      <w:rPr>
        <w:rStyle w:val="PageNumber"/>
      </w:rPr>
      <w:fldChar w:fldCharType="begin"/>
    </w:r>
    <w:r w:rsidRPr="008B51EE">
      <w:rPr>
        <w:rStyle w:val="PageNumber"/>
      </w:rPr>
      <w:instrText xml:space="preserve">PAGE  </w:instrText>
    </w:r>
    <w:r w:rsidRPr="008B51EE">
      <w:rPr>
        <w:rStyle w:val="PageNumber"/>
      </w:rPr>
      <w:fldChar w:fldCharType="separate"/>
    </w:r>
    <w:r w:rsidR="00693765">
      <w:rPr>
        <w:rStyle w:val="PageNumber"/>
        <w:noProof/>
      </w:rPr>
      <w:t>11</w:t>
    </w:r>
    <w:r w:rsidRPr="008B51EE">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2E876" w14:textId="77777777" w:rsidR="00AB2A28" w:rsidRDefault="00AB2A28" w:rsidP="00186627">
      <w:r>
        <w:separator/>
      </w:r>
    </w:p>
  </w:footnote>
  <w:footnote w:type="continuationSeparator" w:id="0">
    <w:p w14:paraId="5F55178F" w14:textId="77777777" w:rsidR="00AB2A28" w:rsidRDefault="00AB2A28" w:rsidP="001866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D84"/>
    <w:multiLevelType w:val="hybridMultilevel"/>
    <w:tmpl w:val="3D88FD1A"/>
    <w:lvl w:ilvl="0" w:tplc="6534F4A4">
      <w:start w:val="1"/>
      <w:numFmt w:val="bullet"/>
      <w:pStyle w:val="astrid"/>
      <w:lvlText w:val=""/>
      <w:lvlJc w:val="left"/>
      <w:pPr>
        <w:ind w:left="720" w:hanging="360"/>
      </w:pPr>
      <w:rPr>
        <w:rFonts w:ascii="Symbol" w:eastAsia="Arial Unicode MS" w:hAnsi="Symbol" w:hint="default"/>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675B1"/>
    <w:multiLevelType w:val="multilevel"/>
    <w:tmpl w:val="BBC85EE0"/>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2" w15:restartNumberingAfterBreak="0">
    <w:nsid w:val="049B636D"/>
    <w:multiLevelType w:val="hybridMultilevel"/>
    <w:tmpl w:val="1376FCE2"/>
    <w:lvl w:ilvl="0" w:tplc="F5AEC5D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853EA"/>
    <w:multiLevelType w:val="hybridMultilevel"/>
    <w:tmpl w:val="E460ED34"/>
    <w:lvl w:ilvl="0" w:tplc="04090001">
      <w:start w:val="1"/>
      <w:numFmt w:val="bullet"/>
      <w:lvlText w:val=""/>
      <w:lvlJc w:val="left"/>
      <w:pPr>
        <w:ind w:left="720" w:hanging="360"/>
      </w:pPr>
      <w:rPr>
        <w:rFonts w:ascii="Symbol" w:hAnsi="Symbo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70C9E"/>
    <w:multiLevelType w:val="multilevel"/>
    <w:tmpl w:val="A38A75A8"/>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74271"/>
    <w:multiLevelType w:val="hybridMultilevel"/>
    <w:tmpl w:val="5D6C5EDC"/>
    <w:lvl w:ilvl="0" w:tplc="0807000B">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6" w15:restartNumberingAfterBreak="0">
    <w:nsid w:val="176F315E"/>
    <w:multiLevelType w:val="hybridMultilevel"/>
    <w:tmpl w:val="3D3ECEEA"/>
    <w:lvl w:ilvl="0" w:tplc="0CAA4A64">
      <w:start w:val="1"/>
      <w:numFmt w:val="decimal"/>
      <w:pStyle w:val="Listnumbered"/>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542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674964"/>
    <w:multiLevelType w:val="hybridMultilevel"/>
    <w:tmpl w:val="6EB8E678"/>
    <w:lvl w:ilvl="0" w:tplc="C130E15E">
      <w:start w:val="1"/>
      <w:numFmt w:val="upperLetter"/>
      <w:lvlText w:val="%1."/>
      <w:lvlJc w:val="left"/>
      <w:pPr>
        <w:ind w:left="612" w:hanging="360"/>
      </w:pPr>
      <w:rPr>
        <w:rFonts w:hint="default"/>
      </w:rPr>
    </w:lvl>
    <w:lvl w:ilvl="1" w:tplc="04070019" w:tentative="1">
      <w:start w:val="1"/>
      <w:numFmt w:val="lowerLetter"/>
      <w:lvlText w:val="%2."/>
      <w:lvlJc w:val="left"/>
      <w:pPr>
        <w:ind w:left="1332" w:hanging="360"/>
      </w:pPr>
    </w:lvl>
    <w:lvl w:ilvl="2" w:tplc="0407001B" w:tentative="1">
      <w:start w:val="1"/>
      <w:numFmt w:val="lowerRoman"/>
      <w:lvlText w:val="%3."/>
      <w:lvlJc w:val="right"/>
      <w:pPr>
        <w:ind w:left="2052" w:hanging="180"/>
      </w:pPr>
    </w:lvl>
    <w:lvl w:ilvl="3" w:tplc="0407000F" w:tentative="1">
      <w:start w:val="1"/>
      <w:numFmt w:val="decimal"/>
      <w:lvlText w:val="%4."/>
      <w:lvlJc w:val="left"/>
      <w:pPr>
        <w:ind w:left="2772" w:hanging="360"/>
      </w:pPr>
    </w:lvl>
    <w:lvl w:ilvl="4" w:tplc="04070019" w:tentative="1">
      <w:start w:val="1"/>
      <w:numFmt w:val="lowerLetter"/>
      <w:lvlText w:val="%5."/>
      <w:lvlJc w:val="left"/>
      <w:pPr>
        <w:ind w:left="3492" w:hanging="360"/>
      </w:pPr>
    </w:lvl>
    <w:lvl w:ilvl="5" w:tplc="0407001B" w:tentative="1">
      <w:start w:val="1"/>
      <w:numFmt w:val="lowerRoman"/>
      <w:lvlText w:val="%6."/>
      <w:lvlJc w:val="right"/>
      <w:pPr>
        <w:ind w:left="4212" w:hanging="180"/>
      </w:pPr>
    </w:lvl>
    <w:lvl w:ilvl="6" w:tplc="0407000F" w:tentative="1">
      <w:start w:val="1"/>
      <w:numFmt w:val="decimal"/>
      <w:lvlText w:val="%7."/>
      <w:lvlJc w:val="left"/>
      <w:pPr>
        <w:ind w:left="4932" w:hanging="360"/>
      </w:pPr>
    </w:lvl>
    <w:lvl w:ilvl="7" w:tplc="04070019" w:tentative="1">
      <w:start w:val="1"/>
      <w:numFmt w:val="lowerLetter"/>
      <w:lvlText w:val="%8."/>
      <w:lvlJc w:val="left"/>
      <w:pPr>
        <w:ind w:left="5652" w:hanging="360"/>
      </w:pPr>
    </w:lvl>
    <w:lvl w:ilvl="8" w:tplc="0407001B" w:tentative="1">
      <w:start w:val="1"/>
      <w:numFmt w:val="lowerRoman"/>
      <w:lvlText w:val="%9."/>
      <w:lvlJc w:val="right"/>
      <w:pPr>
        <w:ind w:left="6372" w:hanging="180"/>
      </w:pPr>
    </w:lvl>
  </w:abstractNum>
  <w:abstractNum w:abstractNumId="9" w15:restartNumberingAfterBreak="0">
    <w:nsid w:val="1B89110D"/>
    <w:multiLevelType w:val="hybridMultilevel"/>
    <w:tmpl w:val="4C56D32C"/>
    <w:lvl w:ilvl="0" w:tplc="0809000F">
      <w:start w:val="1"/>
      <w:numFmt w:val="decimal"/>
      <w:lvlText w:val="%1."/>
      <w:lvlJc w:val="left"/>
      <w:pPr>
        <w:ind w:left="720" w:hanging="360"/>
      </w:pPr>
      <w:rPr>
        <w:rFonts w:hint="default"/>
      </w:rPr>
    </w:lvl>
    <w:lvl w:ilvl="1" w:tplc="D99AA5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A0F65"/>
    <w:multiLevelType w:val="multilevel"/>
    <w:tmpl w:val="384C4622"/>
    <w:lvl w:ilvl="0">
      <w:start w:val="1"/>
      <w:numFmt w:val="decimal"/>
      <w:lvlText w:val="%1."/>
      <w:lvlJc w:val="left"/>
      <w:pPr>
        <w:ind w:left="20" w:hanging="380"/>
      </w:pPr>
      <w:rPr>
        <w:rFonts w:ascii="Arial" w:hAnsi="Arial" w:cs="Arial" w:hint="default"/>
        <w:color w:val="000000"/>
        <w:sz w:val="22"/>
      </w:rPr>
    </w:lvl>
    <w:lvl w:ilvl="1">
      <w:start w:val="2"/>
      <w:numFmt w:val="decimal"/>
      <w:isLgl/>
      <w:lvlText w:val="%1.%2"/>
      <w:lvlJc w:val="left"/>
      <w:pPr>
        <w:ind w:left="380" w:hanging="5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1E683E26"/>
    <w:multiLevelType w:val="hybridMultilevel"/>
    <w:tmpl w:val="779AD188"/>
    <w:lvl w:ilvl="0" w:tplc="EB22085E">
      <w:start w:val="1"/>
      <w:numFmt w:val="lowerLetter"/>
      <w:lvlText w:val="%1."/>
      <w:lvlJc w:val="left"/>
      <w:pPr>
        <w:ind w:left="720" w:hanging="360"/>
      </w:pPr>
      <w:rPr>
        <w:rFonts w:hint="default"/>
        <w:color w:val="000000"/>
        <w:sz w:val="16"/>
        <w:szCs w:val="16"/>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3331D9"/>
    <w:multiLevelType w:val="hybridMultilevel"/>
    <w:tmpl w:val="2554523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4F03BD0"/>
    <w:multiLevelType w:val="hybridMultilevel"/>
    <w:tmpl w:val="95D45334"/>
    <w:lvl w:ilvl="0" w:tplc="46A21592">
      <w:start w:val="1"/>
      <w:numFmt w:val="upperLetter"/>
      <w:lvlText w:val="%1."/>
      <w:lvlJc w:val="left"/>
      <w:pPr>
        <w:ind w:left="644" w:hanging="360"/>
      </w:pPr>
      <w:rPr>
        <w:rFonts w:ascii="Arial" w:hAnsi="Arial" w:cs="Arial" w:hint="default"/>
        <w:color w:val="000000"/>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25207EA6"/>
    <w:multiLevelType w:val="hybridMultilevel"/>
    <w:tmpl w:val="526EB61E"/>
    <w:lvl w:ilvl="0" w:tplc="08070001">
      <w:start w:val="1"/>
      <w:numFmt w:val="bullet"/>
      <w:pStyle w:val="smalltabletex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3003C"/>
    <w:multiLevelType w:val="multilevel"/>
    <w:tmpl w:val="2BACC87E"/>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2C0242"/>
    <w:multiLevelType w:val="hybridMultilevel"/>
    <w:tmpl w:val="6F1ABDA8"/>
    <w:lvl w:ilvl="0" w:tplc="62525D1A">
      <w:start w:val="1"/>
      <w:numFmt w:val="bullet"/>
      <w:pStyle w:val="CES3"/>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F1364"/>
    <w:multiLevelType w:val="hybridMultilevel"/>
    <w:tmpl w:val="3790105E"/>
    <w:lvl w:ilvl="0" w:tplc="0807000F">
      <w:start w:val="1"/>
      <w:numFmt w:val="decimal"/>
      <w:lvlText w:val="%1."/>
      <w:lvlJc w:val="left"/>
      <w:pPr>
        <w:ind w:left="720" w:hanging="360"/>
      </w:pPr>
      <w:rPr>
        <w:rFonts w:hint="default"/>
      </w:rPr>
    </w:lvl>
    <w:lvl w:ilvl="1" w:tplc="56403A12">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EBF1D6A"/>
    <w:multiLevelType w:val="hybridMultilevel"/>
    <w:tmpl w:val="2EC237CE"/>
    <w:lvl w:ilvl="0" w:tplc="5EF2E9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E3C90"/>
    <w:multiLevelType w:val="hybridMultilevel"/>
    <w:tmpl w:val="7D7EF18A"/>
    <w:lvl w:ilvl="0" w:tplc="419EBC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A3792"/>
    <w:multiLevelType w:val="hybridMultilevel"/>
    <w:tmpl w:val="DEA632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AB03313"/>
    <w:multiLevelType w:val="hybridMultilevel"/>
    <w:tmpl w:val="5FD04AD0"/>
    <w:lvl w:ilvl="0" w:tplc="A82AD93C">
      <w:start w:val="2"/>
      <w:numFmt w:val="bullet"/>
      <w:lvlText w:val="•"/>
      <w:lvlJc w:val="left"/>
      <w:pPr>
        <w:ind w:left="720" w:hanging="360"/>
      </w:pPr>
      <w:rPr>
        <w:rFonts w:ascii="Helvetica" w:eastAsia="Calibri"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244700B"/>
    <w:multiLevelType w:val="hybridMultilevel"/>
    <w:tmpl w:val="674A0076"/>
    <w:lvl w:ilvl="0" w:tplc="EEA4B966">
      <w:start w:val="1"/>
      <w:numFmt w:val="bullet"/>
      <w:pStyle w:val="ListParagraph"/>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47F7C04"/>
    <w:multiLevelType w:val="hybridMultilevel"/>
    <w:tmpl w:val="B13E295E"/>
    <w:lvl w:ilvl="0" w:tplc="C4F8E8C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43BB2"/>
    <w:multiLevelType w:val="hybridMultilevel"/>
    <w:tmpl w:val="C102E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9353D03"/>
    <w:multiLevelType w:val="hybridMultilevel"/>
    <w:tmpl w:val="3FCC060A"/>
    <w:lvl w:ilvl="0" w:tplc="10B68058">
      <w:start w:val="1"/>
      <w:numFmt w:val="decimal"/>
      <w:lvlText w:val="%1."/>
      <w:lvlJc w:val="left"/>
      <w:pPr>
        <w:ind w:left="720"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73D0C47"/>
    <w:multiLevelType w:val="hybridMultilevel"/>
    <w:tmpl w:val="EFF056CE"/>
    <w:lvl w:ilvl="0" w:tplc="0807000F">
      <w:start w:val="1"/>
      <w:numFmt w:val="decimal"/>
      <w:lvlText w:val="%1."/>
      <w:lvlJc w:val="left"/>
      <w:pPr>
        <w:ind w:left="720" w:hanging="360"/>
      </w:pPr>
      <w:rPr>
        <w:rFonts w:hint="default"/>
      </w:rPr>
    </w:lvl>
    <w:lvl w:ilvl="1" w:tplc="887A321C">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D9F6171"/>
    <w:multiLevelType w:val="hybridMultilevel"/>
    <w:tmpl w:val="6A1C45D4"/>
    <w:lvl w:ilvl="0" w:tplc="8674787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633503"/>
    <w:multiLevelType w:val="multilevel"/>
    <w:tmpl w:val="CB784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1430FF1"/>
    <w:multiLevelType w:val="multilevel"/>
    <w:tmpl w:val="804A3284"/>
    <w:lvl w:ilvl="0">
      <w:start w:val="1"/>
      <w:numFmt w:val="decimal"/>
      <w:lvlText w:val="%1."/>
      <w:lvlJc w:val="left"/>
      <w:pPr>
        <w:ind w:left="-340" w:hanging="380"/>
      </w:pPr>
      <w:rPr>
        <w:rFonts w:ascii="Arial" w:hAnsi="Arial" w:cs="Arial" w:hint="default"/>
        <w:color w:val="000000"/>
        <w:sz w:val="22"/>
      </w:rPr>
    </w:lvl>
    <w:lvl w:ilvl="1">
      <w:start w:val="1"/>
      <w:numFmt w:val="decimal"/>
      <w:isLgl/>
      <w:lvlText w:val="%1.%2"/>
      <w:lvlJc w:val="left"/>
      <w:pPr>
        <w:ind w:left="220" w:hanging="5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6BC23B05"/>
    <w:multiLevelType w:val="multilevel"/>
    <w:tmpl w:val="2D0A1E00"/>
    <w:lvl w:ilvl="0">
      <w:start w:val="1"/>
      <w:numFmt w:val="decimal"/>
      <w:lvlText w:val="%1."/>
      <w:lvlJc w:val="left"/>
      <w:pPr>
        <w:ind w:left="1212" w:hanging="360"/>
      </w:pPr>
      <w:rPr>
        <w:rFonts w:hint="default"/>
        <w:sz w:val="22"/>
        <w:lang w:val="en-GB"/>
      </w:rPr>
    </w:lvl>
    <w:lvl w:ilvl="1">
      <w:start w:val="2"/>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31" w15:restartNumberingAfterBreak="0">
    <w:nsid w:val="6D2567C4"/>
    <w:multiLevelType w:val="multilevel"/>
    <w:tmpl w:val="981296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381791A"/>
    <w:multiLevelType w:val="multilevel"/>
    <w:tmpl w:val="BBC85EE0"/>
    <w:lvl w:ilvl="0">
      <w:start w:val="1"/>
      <w:numFmt w:val="decimal"/>
      <w:pStyle w:val="Heading1"/>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pStyle w:val="Heading6"/>
      <w:lvlText w:val="%1.%2.%3.%4.%5.%6"/>
      <w:lvlJc w:val="left"/>
      <w:pPr>
        <w:ind w:left="1281" w:hanging="431"/>
      </w:pPr>
      <w:rPr>
        <w:rFonts w:cs="Times New Roman" w:hint="default"/>
      </w:rPr>
    </w:lvl>
    <w:lvl w:ilvl="6">
      <w:start w:val="1"/>
      <w:numFmt w:val="decimal"/>
      <w:pStyle w:val="Heading7"/>
      <w:lvlText w:val="%1.%2.%3.%4.%5.%6.%7"/>
      <w:lvlJc w:val="left"/>
      <w:pPr>
        <w:ind w:left="1451" w:hanging="431"/>
      </w:pPr>
      <w:rPr>
        <w:rFonts w:cs="Times New Roman" w:hint="default"/>
      </w:rPr>
    </w:lvl>
    <w:lvl w:ilvl="7">
      <w:start w:val="1"/>
      <w:numFmt w:val="decimal"/>
      <w:pStyle w:val="Heading8"/>
      <w:lvlText w:val="%1.%2.%3.%4.%5.%6.%7.%8"/>
      <w:lvlJc w:val="left"/>
      <w:pPr>
        <w:ind w:left="1621" w:hanging="431"/>
      </w:pPr>
      <w:rPr>
        <w:rFonts w:cs="Times New Roman" w:hint="default"/>
      </w:rPr>
    </w:lvl>
    <w:lvl w:ilvl="8">
      <w:start w:val="1"/>
      <w:numFmt w:val="decimal"/>
      <w:pStyle w:val="Heading9"/>
      <w:lvlText w:val="%1.%2.%3.%4.%5.%6.%7.%8.%9"/>
      <w:lvlJc w:val="left"/>
      <w:pPr>
        <w:ind w:left="1791" w:hanging="431"/>
      </w:pPr>
      <w:rPr>
        <w:rFonts w:cs="Times New Roman" w:hint="default"/>
      </w:rPr>
    </w:lvl>
  </w:abstractNum>
  <w:abstractNum w:abstractNumId="33" w15:restartNumberingAfterBreak="0">
    <w:nsid w:val="73E3153F"/>
    <w:multiLevelType w:val="hybridMultilevel"/>
    <w:tmpl w:val="AABA34A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34" w15:restartNumberingAfterBreak="0">
    <w:nsid w:val="7B3D1810"/>
    <w:multiLevelType w:val="hybridMultilevel"/>
    <w:tmpl w:val="9CAC12CA"/>
    <w:lvl w:ilvl="0" w:tplc="1D5EE062">
      <w:start w:val="1"/>
      <w:numFmt w:val="upperLetter"/>
      <w:pStyle w:val="Listlettered"/>
      <w:lvlText w:val="%1."/>
      <w:lvlJc w:val="left"/>
      <w:pPr>
        <w:tabs>
          <w:tab w:val="num" w:pos="720"/>
        </w:tabs>
        <w:ind w:left="720" w:hanging="720"/>
      </w:pPr>
      <w:rPr>
        <w:rFonts w:ascii="Times New Roman" w:hAnsi="Times New Roman" w:hint="default"/>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74808"/>
    <w:multiLevelType w:val="hybridMultilevel"/>
    <w:tmpl w:val="7178A86A"/>
    <w:lvl w:ilvl="0" w:tplc="574A3632">
      <w:start w:val="1"/>
      <w:numFmt w:val="bullet"/>
      <w:pStyle w:val="tableau"/>
      <w:lvlText w:val=""/>
      <w:lvlJc w:val="left"/>
      <w:pPr>
        <w:tabs>
          <w:tab w:val="num" w:pos="360"/>
        </w:tabs>
        <w:ind w:left="360" w:hanging="360"/>
      </w:pPr>
      <w:rPr>
        <w:rFonts w:ascii="Symbol" w:hAnsi="Symbol" w:hint="default"/>
      </w:rPr>
    </w:lvl>
    <w:lvl w:ilvl="1" w:tplc="93AA731C">
      <w:start w:val="1"/>
      <w:numFmt w:val="bullet"/>
      <w:lvlText w:val="o"/>
      <w:lvlJc w:val="left"/>
      <w:pPr>
        <w:tabs>
          <w:tab w:val="num" w:pos="1440"/>
        </w:tabs>
        <w:ind w:left="1440" w:hanging="360"/>
      </w:pPr>
      <w:rPr>
        <w:rFonts w:ascii="Courier New" w:hAnsi="Courier New" w:hint="default"/>
      </w:rPr>
    </w:lvl>
    <w:lvl w:ilvl="2" w:tplc="70ECAA1E">
      <w:start w:val="1"/>
      <w:numFmt w:val="bullet"/>
      <w:lvlText w:val=""/>
      <w:lvlJc w:val="left"/>
      <w:pPr>
        <w:tabs>
          <w:tab w:val="num" w:pos="2160"/>
        </w:tabs>
        <w:ind w:left="2160" w:hanging="360"/>
      </w:pPr>
      <w:rPr>
        <w:rFonts w:ascii="Wingdings" w:hAnsi="Wingdings" w:hint="default"/>
      </w:rPr>
    </w:lvl>
    <w:lvl w:ilvl="3" w:tplc="CF16208A" w:tentative="1">
      <w:start w:val="1"/>
      <w:numFmt w:val="bullet"/>
      <w:lvlText w:val=""/>
      <w:lvlJc w:val="left"/>
      <w:pPr>
        <w:tabs>
          <w:tab w:val="num" w:pos="2880"/>
        </w:tabs>
        <w:ind w:left="2880" w:hanging="360"/>
      </w:pPr>
      <w:rPr>
        <w:rFonts w:ascii="Symbol" w:hAnsi="Symbol" w:hint="default"/>
      </w:rPr>
    </w:lvl>
    <w:lvl w:ilvl="4" w:tplc="BBBEEAE0" w:tentative="1">
      <w:start w:val="1"/>
      <w:numFmt w:val="bullet"/>
      <w:lvlText w:val="o"/>
      <w:lvlJc w:val="left"/>
      <w:pPr>
        <w:tabs>
          <w:tab w:val="num" w:pos="3600"/>
        </w:tabs>
        <w:ind w:left="3600" w:hanging="360"/>
      </w:pPr>
      <w:rPr>
        <w:rFonts w:ascii="Courier New" w:hAnsi="Courier New" w:hint="default"/>
      </w:rPr>
    </w:lvl>
    <w:lvl w:ilvl="5" w:tplc="418039FA" w:tentative="1">
      <w:start w:val="1"/>
      <w:numFmt w:val="bullet"/>
      <w:lvlText w:val=""/>
      <w:lvlJc w:val="left"/>
      <w:pPr>
        <w:tabs>
          <w:tab w:val="num" w:pos="4320"/>
        </w:tabs>
        <w:ind w:left="4320" w:hanging="360"/>
      </w:pPr>
      <w:rPr>
        <w:rFonts w:ascii="Wingdings" w:hAnsi="Wingdings" w:hint="default"/>
      </w:rPr>
    </w:lvl>
    <w:lvl w:ilvl="6" w:tplc="8898D55E" w:tentative="1">
      <w:start w:val="1"/>
      <w:numFmt w:val="bullet"/>
      <w:lvlText w:val=""/>
      <w:lvlJc w:val="left"/>
      <w:pPr>
        <w:tabs>
          <w:tab w:val="num" w:pos="5040"/>
        </w:tabs>
        <w:ind w:left="5040" w:hanging="360"/>
      </w:pPr>
      <w:rPr>
        <w:rFonts w:ascii="Symbol" w:hAnsi="Symbol" w:hint="default"/>
      </w:rPr>
    </w:lvl>
    <w:lvl w:ilvl="7" w:tplc="236C677C" w:tentative="1">
      <w:start w:val="1"/>
      <w:numFmt w:val="bullet"/>
      <w:lvlText w:val="o"/>
      <w:lvlJc w:val="left"/>
      <w:pPr>
        <w:tabs>
          <w:tab w:val="num" w:pos="5760"/>
        </w:tabs>
        <w:ind w:left="5760" w:hanging="360"/>
      </w:pPr>
      <w:rPr>
        <w:rFonts w:ascii="Courier New" w:hAnsi="Courier New" w:hint="default"/>
      </w:rPr>
    </w:lvl>
    <w:lvl w:ilvl="8" w:tplc="A0F2DC1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35"/>
  </w:num>
  <w:num w:numId="4">
    <w:abstractNumId w:val="0"/>
  </w:num>
  <w:num w:numId="5">
    <w:abstractNumId w:val="32"/>
  </w:num>
  <w:num w:numId="6">
    <w:abstractNumId w:val="9"/>
  </w:num>
  <w:num w:numId="7">
    <w:abstractNumId w:val="22"/>
  </w:num>
  <w:num w:numId="8">
    <w:abstractNumId w:val="5"/>
  </w:num>
  <w:num w:numId="9">
    <w:abstractNumId w:val="20"/>
  </w:num>
  <w:num w:numId="10">
    <w:abstractNumId w:val="25"/>
  </w:num>
  <w:num w:numId="11">
    <w:abstractNumId w:val="17"/>
  </w:num>
  <w:num w:numId="12">
    <w:abstractNumId w:val="26"/>
  </w:num>
  <w:num w:numId="13">
    <w:abstractNumId w:val="12"/>
  </w:num>
  <w:num w:numId="14">
    <w:abstractNumId w:val="24"/>
  </w:num>
  <w:num w:numId="15">
    <w:abstractNumId w:val="27"/>
  </w:num>
  <w:num w:numId="16">
    <w:abstractNumId w:val="30"/>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21"/>
  </w:num>
  <w:num w:numId="29">
    <w:abstractNumId w:val="31"/>
  </w:num>
  <w:num w:numId="30">
    <w:abstractNumId w:val="29"/>
  </w:num>
  <w:num w:numId="31">
    <w:abstractNumId w:val="10"/>
  </w:num>
  <w:num w:numId="32">
    <w:abstractNumId w:val="13"/>
  </w:num>
  <w:num w:numId="33">
    <w:abstractNumId w:val="11"/>
  </w:num>
  <w:num w:numId="34">
    <w:abstractNumId w:val="8"/>
  </w:num>
  <w:num w:numId="35">
    <w:abstractNumId w:val="3"/>
  </w:num>
  <w:num w:numId="36">
    <w:abstractNumId w:val="33"/>
  </w:num>
  <w:num w:numId="37">
    <w:abstractNumId w:val="2"/>
  </w:num>
  <w:num w:numId="38">
    <w:abstractNumId w:val="1"/>
  </w:num>
  <w:num w:numId="39">
    <w:abstractNumId w:val="7"/>
  </w:num>
  <w:num w:numId="40">
    <w:abstractNumId w:val="18"/>
  </w:num>
  <w:num w:numId="41">
    <w:abstractNumId w:val="34"/>
  </w:num>
  <w:num w:numId="42">
    <w:abstractNumId w:val="4"/>
  </w:num>
  <w:num w:numId="43">
    <w:abstractNumId w:val="15"/>
  </w:num>
  <w:num w:numId="44">
    <w:abstractNumId w:val="6"/>
  </w:num>
  <w:num w:numId="45">
    <w:abstractNumId w:val="3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Numbered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9vwz9fovx5v1eze2nvrpaaesr9955f29v2&quot;&gt;Step-by-step guide&lt;record-ids&gt;&lt;item&gt;4&lt;/item&gt;&lt;item&gt;5&lt;/item&gt;&lt;item&gt;11&lt;/item&gt;&lt;item&gt;27&lt;/item&gt;&lt;/record-ids&gt;&lt;/item&gt;&lt;/Libraries&gt;"/>
  </w:docVars>
  <w:rsids>
    <w:rsidRoot w:val="00913572"/>
    <w:rsid w:val="00000462"/>
    <w:rsid w:val="00000745"/>
    <w:rsid w:val="00000CB9"/>
    <w:rsid w:val="00001C73"/>
    <w:rsid w:val="000021F0"/>
    <w:rsid w:val="00002B6B"/>
    <w:rsid w:val="00002D31"/>
    <w:rsid w:val="00003491"/>
    <w:rsid w:val="00003F32"/>
    <w:rsid w:val="00003F74"/>
    <w:rsid w:val="00004194"/>
    <w:rsid w:val="000046E0"/>
    <w:rsid w:val="00005B93"/>
    <w:rsid w:val="00006034"/>
    <w:rsid w:val="000069CF"/>
    <w:rsid w:val="00006C29"/>
    <w:rsid w:val="00006D8C"/>
    <w:rsid w:val="00006DAD"/>
    <w:rsid w:val="00007496"/>
    <w:rsid w:val="000075CD"/>
    <w:rsid w:val="0000764F"/>
    <w:rsid w:val="000078BB"/>
    <w:rsid w:val="00007E1F"/>
    <w:rsid w:val="00010AB4"/>
    <w:rsid w:val="00010B61"/>
    <w:rsid w:val="00011260"/>
    <w:rsid w:val="00011400"/>
    <w:rsid w:val="0001157E"/>
    <w:rsid w:val="00011E4F"/>
    <w:rsid w:val="00012656"/>
    <w:rsid w:val="00013B80"/>
    <w:rsid w:val="0001403F"/>
    <w:rsid w:val="00014137"/>
    <w:rsid w:val="0001463C"/>
    <w:rsid w:val="0001469D"/>
    <w:rsid w:val="00014941"/>
    <w:rsid w:val="000154A6"/>
    <w:rsid w:val="000163FD"/>
    <w:rsid w:val="00016A84"/>
    <w:rsid w:val="0001712C"/>
    <w:rsid w:val="00017B93"/>
    <w:rsid w:val="00020194"/>
    <w:rsid w:val="00020926"/>
    <w:rsid w:val="00020EDD"/>
    <w:rsid w:val="00021E12"/>
    <w:rsid w:val="00022509"/>
    <w:rsid w:val="000231CE"/>
    <w:rsid w:val="00023230"/>
    <w:rsid w:val="000233E1"/>
    <w:rsid w:val="0002381E"/>
    <w:rsid w:val="0002472D"/>
    <w:rsid w:val="00024873"/>
    <w:rsid w:val="0002493E"/>
    <w:rsid w:val="0002519A"/>
    <w:rsid w:val="000252C1"/>
    <w:rsid w:val="000256A1"/>
    <w:rsid w:val="0002666D"/>
    <w:rsid w:val="00026842"/>
    <w:rsid w:val="00027653"/>
    <w:rsid w:val="00030359"/>
    <w:rsid w:val="0003140E"/>
    <w:rsid w:val="00031D8B"/>
    <w:rsid w:val="000332A5"/>
    <w:rsid w:val="000344F3"/>
    <w:rsid w:val="000346E4"/>
    <w:rsid w:val="000347D9"/>
    <w:rsid w:val="00035A2D"/>
    <w:rsid w:val="00035A4A"/>
    <w:rsid w:val="00035AEF"/>
    <w:rsid w:val="00035D6D"/>
    <w:rsid w:val="00036E81"/>
    <w:rsid w:val="000373FB"/>
    <w:rsid w:val="000402FA"/>
    <w:rsid w:val="00040D49"/>
    <w:rsid w:val="00041049"/>
    <w:rsid w:val="00041541"/>
    <w:rsid w:val="00041834"/>
    <w:rsid w:val="00041B1D"/>
    <w:rsid w:val="000428A2"/>
    <w:rsid w:val="000430CD"/>
    <w:rsid w:val="00043CF2"/>
    <w:rsid w:val="00043DDF"/>
    <w:rsid w:val="00044794"/>
    <w:rsid w:val="00044EBC"/>
    <w:rsid w:val="00046637"/>
    <w:rsid w:val="00046729"/>
    <w:rsid w:val="000478A8"/>
    <w:rsid w:val="00047C15"/>
    <w:rsid w:val="000500F3"/>
    <w:rsid w:val="00050ADD"/>
    <w:rsid w:val="000514A5"/>
    <w:rsid w:val="00051C1A"/>
    <w:rsid w:val="000522BD"/>
    <w:rsid w:val="00052378"/>
    <w:rsid w:val="000525B6"/>
    <w:rsid w:val="00052894"/>
    <w:rsid w:val="000529AD"/>
    <w:rsid w:val="00052CA2"/>
    <w:rsid w:val="00052F58"/>
    <w:rsid w:val="000533F0"/>
    <w:rsid w:val="00054876"/>
    <w:rsid w:val="00056F00"/>
    <w:rsid w:val="00057675"/>
    <w:rsid w:val="000603DE"/>
    <w:rsid w:val="00060754"/>
    <w:rsid w:val="00060D60"/>
    <w:rsid w:val="00061BB1"/>
    <w:rsid w:val="00063D95"/>
    <w:rsid w:val="00063E06"/>
    <w:rsid w:val="0006475C"/>
    <w:rsid w:val="00065853"/>
    <w:rsid w:val="00065A89"/>
    <w:rsid w:val="00065C56"/>
    <w:rsid w:val="00065CB1"/>
    <w:rsid w:val="00065CEB"/>
    <w:rsid w:val="00066442"/>
    <w:rsid w:val="00066E36"/>
    <w:rsid w:val="000672B1"/>
    <w:rsid w:val="00071288"/>
    <w:rsid w:val="00071932"/>
    <w:rsid w:val="0007211C"/>
    <w:rsid w:val="000721F9"/>
    <w:rsid w:val="000724E4"/>
    <w:rsid w:val="000726C7"/>
    <w:rsid w:val="000726CE"/>
    <w:rsid w:val="00072C51"/>
    <w:rsid w:val="000733C1"/>
    <w:rsid w:val="0007372D"/>
    <w:rsid w:val="00073873"/>
    <w:rsid w:val="00073B2F"/>
    <w:rsid w:val="00074422"/>
    <w:rsid w:val="00074C17"/>
    <w:rsid w:val="000752CC"/>
    <w:rsid w:val="000757A8"/>
    <w:rsid w:val="00075D93"/>
    <w:rsid w:val="00076824"/>
    <w:rsid w:val="00077D5B"/>
    <w:rsid w:val="00081BAE"/>
    <w:rsid w:val="0008230C"/>
    <w:rsid w:val="00082347"/>
    <w:rsid w:val="000823B1"/>
    <w:rsid w:val="00082C1E"/>
    <w:rsid w:val="00082CEF"/>
    <w:rsid w:val="00083264"/>
    <w:rsid w:val="0008349D"/>
    <w:rsid w:val="00083A99"/>
    <w:rsid w:val="00083D44"/>
    <w:rsid w:val="00083EA8"/>
    <w:rsid w:val="000844AF"/>
    <w:rsid w:val="00084771"/>
    <w:rsid w:val="000852CC"/>
    <w:rsid w:val="0008531C"/>
    <w:rsid w:val="00085565"/>
    <w:rsid w:val="000857F8"/>
    <w:rsid w:val="000858DB"/>
    <w:rsid w:val="00086118"/>
    <w:rsid w:val="00086155"/>
    <w:rsid w:val="0008618C"/>
    <w:rsid w:val="00087B7B"/>
    <w:rsid w:val="00087DCB"/>
    <w:rsid w:val="00091506"/>
    <w:rsid w:val="000921F2"/>
    <w:rsid w:val="00092EDA"/>
    <w:rsid w:val="0009305B"/>
    <w:rsid w:val="0009376B"/>
    <w:rsid w:val="00093D46"/>
    <w:rsid w:val="000964BA"/>
    <w:rsid w:val="00096B72"/>
    <w:rsid w:val="00096F8C"/>
    <w:rsid w:val="00097FFE"/>
    <w:rsid w:val="000A00B4"/>
    <w:rsid w:val="000A0483"/>
    <w:rsid w:val="000A0A13"/>
    <w:rsid w:val="000A0E16"/>
    <w:rsid w:val="000A16F2"/>
    <w:rsid w:val="000A1B55"/>
    <w:rsid w:val="000A1E03"/>
    <w:rsid w:val="000A2887"/>
    <w:rsid w:val="000A3294"/>
    <w:rsid w:val="000A39E4"/>
    <w:rsid w:val="000A3ACA"/>
    <w:rsid w:val="000A5088"/>
    <w:rsid w:val="000A5996"/>
    <w:rsid w:val="000A62F3"/>
    <w:rsid w:val="000A6312"/>
    <w:rsid w:val="000A6DCC"/>
    <w:rsid w:val="000A7FF2"/>
    <w:rsid w:val="000B04F2"/>
    <w:rsid w:val="000B054B"/>
    <w:rsid w:val="000B0996"/>
    <w:rsid w:val="000B0EE0"/>
    <w:rsid w:val="000B1049"/>
    <w:rsid w:val="000B1A33"/>
    <w:rsid w:val="000B282C"/>
    <w:rsid w:val="000B2DA9"/>
    <w:rsid w:val="000B3518"/>
    <w:rsid w:val="000B3925"/>
    <w:rsid w:val="000B3A95"/>
    <w:rsid w:val="000B3D1B"/>
    <w:rsid w:val="000B3F53"/>
    <w:rsid w:val="000B4195"/>
    <w:rsid w:val="000B5639"/>
    <w:rsid w:val="000B56A3"/>
    <w:rsid w:val="000B61A7"/>
    <w:rsid w:val="000B73A9"/>
    <w:rsid w:val="000C0127"/>
    <w:rsid w:val="000C036B"/>
    <w:rsid w:val="000C03F1"/>
    <w:rsid w:val="000C04BE"/>
    <w:rsid w:val="000C08B7"/>
    <w:rsid w:val="000C0B42"/>
    <w:rsid w:val="000C18AF"/>
    <w:rsid w:val="000C2D59"/>
    <w:rsid w:val="000C38B7"/>
    <w:rsid w:val="000C39E2"/>
    <w:rsid w:val="000C3BDC"/>
    <w:rsid w:val="000C4339"/>
    <w:rsid w:val="000C4726"/>
    <w:rsid w:val="000C47A3"/>
    <w:rsid w:val="000C569C"/>
    <w:rsid w:val="000C5862"/>
    <w:rsid w:val="000C5E67"/>
    <w:rsid w:val="000C676D"/>
    <w:rsid w:val="000C693D"/>
    <w:rsid w:val="000D0590"/>
    <w:rsid w:val="000D07ED"/>
    <w:rsid w:val="000D0C5D"/>
    <w:rsid w:val="000D0E0B"/>
    <w:rsid w:val="000D1B3B"/>
    <w:rsid w:val="000D317B"/>
    <w:rsid w:val="000D32B6"/>
    <w:rsid w:val="000D3F3A"/>
    <w:rsid w:val="000D440D"/>
    <w:rsid w:val="000D4F40"/>
    <w:rsid w:val="000D5CFC"/>
    <w:rsid w:val="000D6920"/>
    <w:rsid w:val="000D6B15"/>
    <w:rsid w:val="000D7693"/>
    <w:rsid w:val="000E0178"/>
    <w:rsid w:val="000E0669"/>
    <w:rsid w:val="000E084B"/>
    <w:rsid w:val="000E0887"/>
    <w:rsid w:val="000E0EDB"/>
    <w:rsid w:val="000E130C"/>
    <w:rsid w:val="000E15A0"/>
    <w:rsid w:val="000E295E"/>
    <w:rsid w:val="000E3EE5"/>
    <w:rsid w:val="000E3F58"/>
    <w:rsid w:val="000E3FC8"/>
    <w:rsid w:val="000E412E"/>
    <w:rsid w:val="000E4E1B"/>
    <w:rsid w:val="000E5492"/>
    <w:rsid w:val="000E5958"/>
    <w:rsid w:val="000E5F3B"/>
    <w:rsid w:val="000E618E"/>
    <w:rsid w:val="000E747F"/>
    <w:rsid w:val="000F0B4C"/>
    <w:rsid w:val="000F0C94"/>
    <w:rsid w:val="000F10DE"/>
    <w:rsid w:val="000F1441"/>
    <w:rsid w:val="000F2BA8"/>
    <w:rsid w:val="000F2FBB"/>
    <w:rsid w:val="000F37AC"/>
    <w:rsid w:val="000F3B5D"/>
    <w:rsid w:val="000F54C8"/>
    <w:rsid w:val="000F560B"/>
    <w:rsid w:val="000F616B"/>
    <w:rsid w:val="000F668B"/>
    <w:rsid w:val="000F6F3F"/>
    <w:rsid w:val="000F795E"/>
    <w:rsid w:val="0010036D"/>
    <w:rsid w:val="00101306"/>
    <w:rsid w:val="00101728"/>
    <w:rsid w:val="001019A0"/>
    <w:rsid w:val="00102973"/>
    <w:rsid w:val="00103009"/>
    <w:rsid w:val="0010303D"/>
    <w:rsid w:val="0010370D"/>
    <w:rsid w:val="00103CCD"/>
    <w:rsid w:val="0010407E"/>
    <w:rsid w:val="001053B1"/>
    <w:rsid w:val="001055E1"/>
    <w:rsid w:val="00105E70"/>
    <w:rsid w:val="001065CD"/>
    <w:rsid w:val="0010675A"/>
    <w:rsid w:val="00106C98"/>
    <w:rsid w:val="001112AE"/>
    <w:rsid w:val="001122EF"/>
    <w:rsid w:val="001125AA"/>
    <w:rsid w:val="001132E1"/>
    <w:rsid w:val="00113AB5"/>
    <w:rsid w:val="00114A47"/>
    <w:rsid w:val="00117511"/>
    <w:rsid w:val="0011757C"/>
    <w:rsid w:val="00117D4E"/>
    <w:rsid w:val="001200BE"/>
    <w:rsid w:val="001214C3"/>
    <w:rsid w:val="001223D9"/>
    <w:rsid w:val="00123334"/>
    <w:rsid w:val="001237B1"/>
    <w:rsid w:val="00123FD5"/>
    <w:rsid w:val="001257BD"/>
    <w:rsid w:val="001257F1"/>
    <w:rsid w:val="00126005"/>
    <w:rsid w:val="00126A56"/>
    <w:rsid w:val="00130AB5"/>
    <w:rsid w:val="001320C5"/>
    <w:rsid w:val="00133099"/>
    <w:rsid w:val="0013319D"/>
    <w:rsid w:val="001345AA"/>
    <w:rsid w:val="0013543A"/>
    <w:rsid w:val="00135E2C"/>
    <w:rsid w:val="0013655D"/>
    <w:rsid w:val="0013697B"/>
    <w:rsid w:val="00136BDD"/>
    <w:rsid w:val="001407DD"/>
    <w:rsid w:val="00140B8F"/>
    <w:rsid w:val="00140D28"/>
    <w:rsid w:val="00141431"/>
    <w:rsid w:val="00141770"/>
    <w:rsid w:val="001419EF"/>
    <w:rsid w:val="00143226"/>
    <w:rsid w:val="001434DC"/>
    <w:rsid w:val="001439E4"/>
    <w:rsid w:val="0014473A"/>
    <w:rsid w:val="00144AFD"/>
    <w:rsid w:val="001450BB"/>
    <w:rsid w:val="0014670B"/>
    <w:rsid w:val="001469FA"/>
    <w:rsid w:val="00146E65"/>
    <w:rsid w:val="00147295"/>
    <w:rsid w:val="00151084"/>
    <w:rsid w:val="00152178"/>
    <w:rsid w:val="00152198"/>
    <w:rsid w:val="00152ACF"/>
    <w:rsid w:val="00153952"/>
    <w:rsid w:val="001539E3"/>
    <w:rsid w:val="001553FC"/>
    <w:rsid w:val="0015565A"/>
    <w:rsid w:val="00155B47"/>
    <w:rsid w:val="0015605D"/>
    <w:rsid w:val="00156BBC"/>
    <w:rsid w:val="001578AB"/>
    <w:rsid w:val="0016029E"/>
    <w:rsid w:val="0016062C"/>
    <w:rsid w:val="00160972"/>
    <w:rsid w:val="00160D82"/>
    <w:rsid w:val="00161004"/>
    <w:rsid w:val="0016149C"/>
    <w:rsid w:val="001614A5"/>
    <w:rsid w:val="00161B82"/>
    <w:rsid w:val="00161C27"/>
    <w:rsid w:val="00163033"/>
    <w:rsid w:val="0016328F"/>
    <w:rsid w:val="0016362B"/>
    <w:rsid w:val="00163C52"/>
    <w:rsid w:val="00163EC9"/>
    <w:rsid w:val="00163F84"/>
    <w:rsid w:val="00165D2C"/>
    <w:rsid w:val="00165EAE"/>
    <w:rsid w:val="00166287"/>
    <w:rsid w:val="0016655D"/>
    <w:rsid w:val="0016668E"/>
    <w:rsid w:val="00166AAA"/>
    <w:rsid w:val="00167019"/>
    <w:rsid w:val="00167726"/>
    <w:rsid w:val="00167B98"/>
    <w:rsid w:val="0017195B"/>
    <w:rsid w:val="0017213F"/>
    <w:rsid w:val="00172199"/>
    <w:rsid w:val="001726AD"/>
    <w:rsid w:val="00172D0E"/>
    <w:rsid w:val="00172DD3"/>
    <w:rsid w:val="00172EED"/>
    <w:rsid w:val="00173558"/>
    <w:rsid w:val="001743F9"/>
    <w:rsid w:val="0017471F"/>
    <w:rsid w:val="00175B25"/>
    <w:rsid w:val="001760B5"/>
    <w:rsid w:val="0017612F"/>
    <w:rsid w:val="00180051"/>
    <w:rsid w:val="00180764"/>
    <w:rsid w:val="00180AA3"/>
    <w:rsid w:val="00180ACF"/>
    <w:rsid w:val="00180B33"/>
    <w:rsid w:val="00180C25"/>
    <w:rsid w:val="00180E9C"/>
    <w:rsid w:val="00181140"/>
    <w:rsid w:val="001818FB"/>
    <w:rsid w:val="00182492"/>
    <w:rsid w:val="0018345C"/>
    <w:rsid w:val="00183641"/>
    <w:rsid w:val="001837A8"/>
    <w:rsid w:val="0018385F"/>
    <w:rsid w:val="00183A59"/>
    <w:rsid w:val="00183AA7"/>
    <w:rsid w:val="00183C2C"/>
    <w:rsid w:val="001858CB"/>
    <w:rsid w:val="00186190"/>
    <w:rsid w:val="00186627"/>
    <w:rsid w:val="0018679C"/>
    <w:rsid w:val="00190B89"/>
    <w:rsid w:val="00191CD4"/>
    <w:rsid w:val="00191FDC"/>
    <w:rsid w:val="00193023"/>
    <w:rsid w:val="001933B6"/>
    <w:rsid w:val="00193DA7"/>
    <w:rsid w:val="00194189"/>
    <w:rsid w:val="00194322"/>
    <w:rsid w:val="0019510F"/>
    <w:rsid w:val="0019525F"/>
    <w:rsid w:val="00195921"/>
    <w:rsid w:val="00195B23"/>
    <w:rsid w:val="00197982"/>
    <w:rsid w:val="00197C88"/>
    <w:rsid w:val="001A0DF3"/>
    <w:rsid w:val="001A1222"/>
    <w:rsid w:val="001A12AD"/>
    <w:rsid w:val="001A148B"/>
    <w:rsid w:val="001A1647"/>
    <w:rsid w:val="001A17C5"/>
    <w:rsid w:val="001A1DA7"/>
    <w:rsid w:val="001A236F"/>
    <w:rsid w:val="001A238F"/>
    <w:rsid w:val="001A2679"/>
    <w:rsid w:val="001A2C5A"/>
    <w:rsid w:val="001A2DC0"/>
    <w:rsid w:val="001A3384"/>
    <w:rsid w:val="001A3C0D"/>
    <w:rsid w:val="001A3F94"/>
    <w:rsid w:val="001A4C06"/>
    <w:rsid w:val="001A4F28"/>
    <w:rsid w:val="001A57E7"/>
    <w:rsid w:val="001A597D"/>
    <w:rsid w:val="001A5B0D"/>
    <w:rsid w:val="001A5EAC"/>
    <w:rsid w:val="001A5EEF"/>
    <w:rsid w:val="001A61F4"/>
    <w:rsid w:val="001A6AF0"/>
    <w:rsid w:val="001A6C8C"/>
    <w:rsid w:val="001A7459"/>
    <w:rsid w:val="001A7565"/>
    <w:rsid w:val="001A77D4"/>
    <w:rsid w:val="001A7C83"/>
    <w:rsid w:val="001A7EB8"/>
    <w:rsid w:val="001B0212"/>
    <w:rsid w:val="001B03CC"/>
    <w:rsid w:val="001B0484"/>
    <w:rsid w:val="001B04E5"/>
    <w:rsid w:val="001B0777"/>
    <w:rsid w:val="001B1E7B"/>
    <w:rsid w:val="001B38EA"/>
    <w:rsid w:val="001B4513"/>
    <w:rsid w:val="001B49C0"/>
    <w:rsid w:val="001B4F26"/>
    <w:rsid w:val="001B5330"/>
    <w:rsid w:val="001B5681"/>
    <w:rsid w:val="001B5BFC"/>
    <w:rsid w:val="001B65F2"/>
    <w:rsid w:val="001B67B7"/>
    <w:rsid w:val="001B6A31"/>
    <w:rsid w:val="001B740C"/>
    <w:rsid w:val="001B7E21"/>
    <w:rsid w:val="001C036D"/>
    <w:rsid w:val="001C0475"/>
    <w:rsid w:val="001C0BD4"/>
    <w:rsid w:val="001C0C70"/>
    <w:rsid w:val="001C1984"/>
    <w:rsid w:val="001C1F8E"/>
    <w:rsid w:val="001C1FC8"/>
    <w:rsid w:val="001C2582"/>
    <w:rsid w:val="001C25A5"/>
    <w:rsid w:val="001C3454"/>
    <w:rsid w:val="001C3601"/>
    <w:rsid w:val="001C3F1D"/>
    <w:rsid w:val="001C421B"/>
    <w:rsid w:val="001C4E5D"/>
    <w:rsid w:val="001C5480"/>
    <w:rsid w:val="001C5503"/>
    <w:rsid w:val="001C5533"/>
    <w:rsid w:val="001C5B6F"/>
    <w:rsid w:val="001C6696"/>
    <w:rsid w:val="001C6B9B"/>
    <w:rsid w:val="001C71B8"/>
    <w:rsid w:val="001C723E"/>
    <w:rsid w:val="001C72E4"/>
    <w:rsid w:val="001C79BF"/>
    <w:rsid w:val="001C7FFB"/>
    <w:rsid w:val="001D0468"/>
    <w:rsid w:val="001D084F"/>
    <w:rsid w:val="001D1ADC"/>
    <w:rsid w:val="001D1CEA"/>
    <w:rsid w:val="001D2639"/>
    <w:rsid w:val="001D2A85"/>
    <w:rsid w:val="001D3D94"/>
    <w:rsid w:val="001D3FCF"/>
    <w:rsid w:val="001D466C"/>
    <w:rsid w:val="001D4B0B"/>
    <w:rsid w:val="001D5585"/>
    <w:rsid w:val="001D5ACC"/>
    <w:rsid w:val="001D61D7"/>
    <w:rsid w:val="001D6470"/>
    <w:rsid w:val="001D7CAC"/>
    <w:rsid w:val="001E0409"/>
    <w:rsid w:val="001E1535"/>
    <w:rsid w:val="001E17BD"/>
    <w:rsid w:val="001E1F6A"/>
    <w:rsid w:val="001E27FC"/>
    <w:rsid w:val="001E2C16"/>
    <w:rsid w:val="001E3C83"/>
    <w:rsid w:val="001E3D83"/>
    <w:rsid w:val="001E4075"/>
    <w:rsid w:val="001E5240"/>
    <w:rsid w:val="001E5DD6"/>
    <w:rsid w:val="001E6EAC"/>
    <w:rsid w:val="001E7063"/>
    <w:rsid w:val="001E72E1"/>
    <w:rsid w:val="001E7560"/>
    <w:rsid w:val="001F01FE"/>
    <w:rsid w:val="001F0CAD"/>
    <w:rsid w:val="001F1775"/>
    <w:rsid w:val="001F26F0"/>
    <w:rsid w:val="001F2E51"/>
    <w:rsid w:val="001F447E"/>
    <w:rsid w:val="001F4828"/>
    <w:rsid w:val="001F4C68"/>
    <w:rsid w:val="001F554C"/>
    <w:rsid w:val="001F5F36"/>
    <w:rsid w:val="001F6BCB"/>
    <w:rsid w:val="001F7323"/>
    <w:rsid w:val="001F7546"/>
    <w:rsid w:val="001F7987"/>
    <w:rsid w:val="001F7A77"/>
    <w:rsid w:val="00200630"/>
    <w:rsid w:val="0020124C"/>
    <w:rsid w:val="002019E8"/>
    <w:rsid w:val="00202536"/>
    <w:rsid w:val="00202E6F"/>
    <w:rsid w:val="00203BF1"/>
    <w:rsid w:val="00204096"/>
    <w:rsid w:val="002043BB"/>
    <w:rsid w:val="00204826"/>
    <w:rsid w:val="0020495F"/>
    <w:rsid w:val="0020513E"/>
    <w:rsid w:val="002058B3"/>
    <w:rsid w:val="00205DBD"/>
    <w:rsid w:val="00205E62"/>
    <w:rsid w:val="00205EB9"/>
    <w:rsid w:val="00206F54"/>
    <w:rsid w:val="002104A0"/>
    <w:rsid w:val="00210BF3"/>
    <w:rsid w:val="00210EF9"/>
    <w:rsid w:val="00210F53"/>
    <w:rsid w:val="0021123B"/>
    <w:rsid w:val="00211949"/>
    <w:rsid w:val="00212990"/>
    <w:rsid w:val="002149B7"/>
    <w:rsid w:val="00214B5D"/>
    <w:rsid w:val="00214BEB"/>
    <w:rsid w:val="0021690D"/>
    <w:rsid w:val="00216E87"/>
    <w:rsid w:val="0021703A"/>
    <w:rsid w:val="002175D0"/>
    <w:rsid w:val="00217963"/>
    <w:rsid w:val="00220324"/>
    <w:rsid w:val="002209D7"/>
    <w:rsid w:val="00220D12"/>
    <w:rsid w:val="00220D80"/>
    <w:rsid w:val="00221A85"/>
    <w:rsid w:val="002221AE"/>
    <w:rsid w:val="00222AA6"/>
    <w:rsid w:val="00223891"/>
    <w:rsid w:val="0022428F"/>
    <w:rsid w:val="00224337"/>
    <w:rsid w:val="00224598"/>
    <w:rsid w:val="00224E50"/>
    <w:rsid w:val="002252C8"/>
    <w:rsid w:val="0022556E"/>
    <w:rsid w:val="00225B00"/>
    <w:rsid w:val="00225B6F"/>
    <w:rsid w:val="00225C98"/>
    <w:rsid w:val="00225FB5"/>
    <w:rsid w:val="00226192"/>
    <w:rsid w:val="0022665B"/>
    <w:rsid w:val="00226985"/>
    <w:rsid w:val="0023048F"/>
    <w:rsid w:val="00230657"/>
    <w:rsid w:val="00230FD3"/>
    <w:rsid w:val="00231E86"/>
    <w:rsid w:val="00232DA9"/>
    <w:rsid w:val="00232F24"/>
    <w:rsid w:val="002336AE"/>
    <w:rsid w:val="002339DB"/>
    <w:rsid w:val="00233D9A"/>
    <w:rsid w:val="00234328"/>
    <w:rsid w:val="0023435E"/>
    <w:rsid w:val="0023516E"/>
    <w:rsid w:val="00235197"/>
    <w:rsid w:val="002359A6"/>
    <w:rsid w:val="00235E6D"/>
    <w:rsid w:val="002363C2"/>
    <w:rsid w:val="002364F5"/>
    <w:rsid w:val="0023656E"/>
    <w:rsid w:val="00236A47"/>
    <w:rsid w:val="00237414"/>
    <w:rsid w:val="00240134"/>
    <w:rsid w:val="002407B4"/>
    <w:rsid w:val="0024115F"/>
    <w:rsid w:val="00241C03"/>
    <w:rsid w:val="002426FC"/>
    <w:rsid w:val="00242ADD"/>
    <w:rsid w:val="00242FF4"/>
    <w:rsid w:val="0024341C"/>
    <w:rsid w:val="00243A21"/>
    <w:rsid w:val="0024440B"/>
    <w:rsid w:val="0024525A"/>
    <w:rsid w:val="0024547F"/>
    <w:rsid w:val="002457A0"/>
    <w:rsid w:val="002457F4"/>
    <w:rsid w:val="00246C6B"/>
    <w:rsid w:val="00247F14"/>
    <w:rsid w:val="00247F4A"/>
    <w:rsid w:val="00250556"/>
    <w:rsid w:val="00250C10"/>
    <w:rsid w:val="00250EF4"/>
    <w:rsid w:val="00251DF7"/>
    <w:rsid w:val="00251F7E"/>
    <w:rsid w:val="00252146"/>
    <w:rsid w:val="0025216B"/>
    <w:rsid w:val="002531B6"/>
    <w:rsid w:val="00254383"/>
    <w:rsid w:val="00254808"/>
    <w:rsid w:val="00254EC5"/>
    <w:rsid w:val="0025566F"/>
    <w:rsid w:val="0025599D"/>
    <w:rsid w:val="00255AE7"/>
    <w:rsid w:val="00255D93"/>
    <w:rsid w:val="00255EC3"/>
    <w:rsid w:val="00255F8D"/>
    <w:rsid w:val="002561C9"/>
    <w:rsid w:val="002565C4"/>
    <w:rsid w:val="00260E62"/>
    <w:rsid w:val="002613EE"/>
    <w:rsid w:val="0026162A"/>
    <w:rsid w:val="00261677"/>
    <w:rsid w:val="00261916"/>
    <w:rsid w:val="00261E0A"/>
    <w:rsid w:val="0026255A"/>
    <w:rsid w:val="0026320A"/>
    <w:rsid w:val="0026353D"/>
    <w:rsid w:val="00263967"/>
    <w:rsid w:val="00263E5C"/>
    <w:rsid w:val="00264429"/>
    <w:rsid w:val="00266AF7"/>
    <w:rsid w:val="002670CE"/>
    <w:rsid w:val="002671F0"/>
    <w:rsid w:val="00267DA2"/>
    <w:rsid w:val="00270A1A"/>
    <w:rsid w:val="00271499"/>
    <w:rsid w:val="002727CD"/>
    <w:rsid w:val="0027353C"/>
    <w:rsid w:val="00273776"/>
    <w:rsid w:val="0027395A"/>
    <w:rsid w:val="00275210"/>
    <w:rsid w:val="002754D2"/>
    <w:rsid w:val="00275EAB"/>
    <w:rsid w:val="0027649F"/>
    <w:rsid w:val="00276768"/>
    <w:rsid w:val="0027773D"/>
    <w:rsid w:val="00277FA3"/>
    <w:rsid w:val="00277FAA"/>
    <w:rsid w:val="002805F5"/>
    <w:rsid w:val="002810C1"/>
    <w:rsid w:val="0028156F"/>
    <w:rsid w:val="002816D6"/>
    <w:rsid w:val="00282392"/>
    <w:rsid w:val="00282A53"/>
    <w:rsid w:val="00282ED0"/>
    <w:rsid w:val="002834FE"/>
    <w:rsid w:val="00283EAF"/>
    <w:rsid w:val="002848D3"/>
    <w:rsid w:val="00284CA0"/>
    <w:rsid w:val="00284E36"/>
    <w:rsid w:val="0028514D"/>
    <w:rsid w:val="002868FF"/>
    <w:rsid w:val="00286986"/>
    <w:rsid w:val="00286BE7"/>
    <w:rsid w:val="00287957"/>
    <w:rsid w:val="00290187"/>
    <w:rsid w:val="002901E7"/>
    <w:rsid w:val="00290321"/>
    <w:rsid w:val="002908A9"/>
    <w:rsid w:val="00290968"/>
    <w:rsid w:val="002918D5"/>
    <w:rsid w:val="0029208A"/>
    <w:rsid w:val="002921DB"/>
    <w:rsid w:val="002927C3"/>
    <w:rsid w:val="00292C6A"/>
    <w:rsid w:val="00293ABF"/>
    <w:rsid w:val="00294A62"/>
    <w:rsid w:val="0029509A"/>
    <w:rsid w:val="002953CC"/>
    <w:rsid w:val="00295B75"/>
    <w:rsid w:val="00295D13"/>
    <w:rsid w:val="00295F23"/>
    <w:rsid w:val="00296681"/>
    <w:rsid w:val="002966A2"/>
    <w:rsid w:val="00297B84"/>
    <w:rsid w:val="002A0182"/>
    <w:rsid w:val="002A042D"/>
    <w:rsid w:val="002A0CCC"/>
    <w:rsid w:val="002A1E96"/>
    <w:rsid w:val="002A263F"/>
    <w:rsid w:val="002A2A59"/>
    <w:rsid w:val="002A364A"/>
    <w:rsid w:val="002A38C4"/>
    <w:rsid w:val="002A4A87"/>
    <w:rsid w:val="002A62BD"/>
    <w:rsid w:val="002A6AA8"/>
    <w:rsid w:val="002A6F43"/>
    <w:rsid w:val="002A71FD"/>
    <w:rsid w:val="002A7359"/>
    <w:rsid w:val="002A7834"/>
    <w:rsid w:val="002A7F77"/>
    <w:rsid w:val="002B03A4"/>
    <w:rsid w:val="002B080E"/>
    <w:rsid w:val="002B086F"/>
    <w:rsid w:val="002B0915"/>
    <w:rsid w:val="002B0B64"/>
    <w:rsid w:val="002B0C52"/>
    <w:rsid w:val="002B17A1"/>
    <w:rsid w:val="002B1DA0"/>
    <w:rsid w:val="002B1EE6"/>
    <w:rsid w:val="002B2325"/>
    <w:rsid w:val="002B306D"/>
    <w:rsid w:val="002B3DC1"/>
    <w:rsid w:val="002B58DD"/>
    <w:rsid w:val="002B649C"/>
    <w:rsid w:val="002B6BCD"/>
    <w:rsid w:val="002C0C53"/>
    <w:rsid w:val="002C10D7"/>
    <w:rsid w:val="002C155D"/>
    <w:rsid w:val="002C161E"/>
    <w:rsid w:val="002C208A"/>
    <w:rsid w:val="002C2F02"/>
    <w:rsid w:val="002C3FA0"/>
    <w:rsid w:val="002C47B3"/>
    <w:rsid w:val="002C4811"/>
    <w:rsid w:val="002C4E5D"/>
    <w:rsid w:val="002C505B"/>
    <w:rsid w:val="002C5C9F"/>
    <w:rsid w:val="002C62CE"/>
    <w:rsid w:val="002C64ED"/>
    <w:rsid w:val="002C6C8E"/>
    <w:rsid w:val="002C6D9D"/>
    <w:rsid w:val="002C6EAC"/>
    <w:rsid w:val="002C7B12"/>
    <w:rsid w:val="002D0ECA"/>
    <w:rsid w:val="002D2216"/>
    <w:rsid w:val="002D34E9"/>
    <w:rsid w:val="002D350C"/>
    <w:rsid w:val="002D3570"/>
    <w:rsid w:val="002D3EB1"/>
    <w:rsid w:val="002D4A3D"/>
    <w:rsid w:val="002D5FD6"/>
    <w:rsid w:val="002D68F9"/>
    <w:rsid w:val="002D6DB2"/>
    <w:rsid w:val="002E0EB4"/>
    <w:rsid w:val="002E117D"/>
    <w:rsid w:val="002E163A"/>
    <w:rsid w:val="002E1E1E"/>
    <w:rsid w:val="002E204D"/>
    <w:rsid w:val="002E249F"/>
    <w:rsid w:val="002E2CC2"/>
    <w:rsid w:val="002E2CEA"/>
    <w:rsid w:val="002E3271"/>
    <w:rsid w:val="002E3F4B"/>
    <w:rsid w:val="002E3F9E"/>
    <w:rsid w:val="002E3FB6"/>
    <w:rsid w:val="002E44F9"/>
    <w:rsid w:val="002E50BF"/>
    <w:rsid w:val="002E6085"/>
    <w:rsid w:val="002E6E88"/>
    <w:rsid w:val="002F071E"/>
    <w:rsid w:val="002F0A5C"/>
    <w:rsid w:val="002F0FD2"/>
    <w:rsid w:val="002F1247"/>
    <w:rsid w:val="002F14DB"/>
    <w:rsid w:val="002F1782"/>
    <w:rsid w:val="002F1C1F"/>
    <w:rsid w:val="002F2604"/>
    <w:rsid w:val="002F2DF5"/>
    <w:rsid w:val="002F2ED9"/>
    <w:rsid w:val="002F399C"/>
    <w:rsid w:val="002F419F"/>
    <w:rsid w:val="002F4A21"/>
    <w:rsid w:val="002F4A33"/>
    <w:rsid w:val="002F4CF8"/>
    <w:rsid w:val="002F5794"/>
    <w:rsid w:val="002F6687"/>
    <w:rsid w:val="00300FEB"/>
    <w:rsid w:val="00303297"/>
    <w:rsid w:val="00303F2C"/>
    <w:rsid w:val="003040BA"/>
    <w:rsid w:val="003042EA"/>
    <w:rsid w:val="0030536C"/>
    <w:rsid w:val="00305509"/>
    <w:rsid w:val="00305C1D"/>
    <w:rsid w:val="00306856"/>
    <w:rsid w:val="00306AE6"/>
    <w:rsid w:val="003074EE"/>
    <w:rsid w:val="00307FF2"/>
    <w:rsid w:val="003112D7"/>
    <w:rsid w:val="00311E72"/>
    <w:rsid w:val="00312103"/>
    <w:rsid w:val="003125B3"/>
    <w:rsid w:val="00313C96"/>
    <w:rsid w:val="00313D8C"/>
    <w:rsid w:val="003143B5"/>
    <w:rsid w:val="00314AC8"/>
    <w:rsid w:val="00314F4C"/>
    <w:rsid w:val="00315116"/>
    <w:rsid w:val="003155C4"/>
    <w:rsid w:val="003158F6"/>
    <w:rsid w:val="00315DDB"/>
    <w:rsid w:val="00316570"/>
    <w:rsid w:val="0031708F"/>
    <w:rsid w:val="0031710F"/>
    <w:rsid w:val="00317ACF"/>
    <w:rsid w:val="00317F75"/>
    <w:rsid w:val="00317FE6"/>
    <w:rsid w:val="003208CF"/>
    <w:rsid w:val="00320EDD"/>
    <w:rsid w:val="00323A0C"/>
    <w:rsid w:val="003249EA"/>
    <w:rsid w:val="00325EF7"/>
    <w:rsid w:val="00326F44"/>
    <w:rsid w:val="0032700C"/>
    <w:rsid w:val="00327409"/>
    <w:rsid w:val="003274A1"/>
    <w:rsid w:val="003307FA"/>
    <w:rsid w:val="00331700"/>
    <w:rsid w:val="00331B58"/>
    <w:rsid w:val="00331FE2"/>
    <w:rsid w:val="0033234C"/>
    <w:rsid w:val="003334B1"/>
    <w:rsid w:val="00333C11"/>
    <w:rsid w:val="00333C1C"/>
    <w:rsid w:val="00335968"/>
    <w:rsid w:val="00335E93"/>
    <w:rsid w:val="00336A47"/>
    <w:rsid w:val="00336DE1"/>
    <w:rsid w:val="003378BE"/>
    <w:rsid w:val="00340183"/>
    <w:rsid w:val="003406AC"/>
    <w:rsid w:val="00341493"/>
    <w:rsid w:val="00341A61"/>
    <w:rsid w:val="0034276A"/>
    <w:rsid w:val="00342913"/>
    <w:rsid w:val="00342AE9"/>
    <w:rsid w:val="00343310"/>
    <w:rsid w:val="00343AB4"/>
    <w:rsid w:val="00343B2C"/>
    <w:rsid w:val="00343DFF"/>
    <w:rsid w:val="00344131"/>
    <w:rsid w:val="0034460B"/>
    <w:rsid w:val="003448CE"/>
    <w:rsid w:val="003457F2"/>
    <w:rsid w:val="003459D9"/>
    <w:rsid w:val="00345CC1"/>
    <w:rsid w:val="00345D0A"/>
    <w:rsid w:val="00346A5B"/>
    <w:rsid w:val="00347672"/>
    <w:rsid w:val="00347848"/>
    <w:rsid w:val="003479EF"/>
    <w:rsid w:val="00347B94"/>
    <w:rsid w:val="0035004D"/>
    <w:rsid w:val="0035034E"/>
    <w:rsid w:val="00350586"/>
    <w:rsid w:val="003510CD"/>
    <w:rsid w:val="0035125B"/>
    <w:rsid w:val="003512C5"/>
    <w:rsid w:val="00352CDA"/>
    <w:rsid w:val="003533E1"/>
    <w:rsid w:val="003534E3"/>
    <w:rsid w:val="00353568"/>
    <w:rsid w:val="003536AC"/>
    <w:rsid w:val="003538AD"/>
    <w:rsid w:val="00353CAE"/>
    <w:rsid w:val="0035401F"/>
    <w:rsid w:val="003541BB"/>
    <w:rsid w:val="00355069"/>
    <w:rsid w:val="00355251"/>
    <w:rsid w:val="003562FC"/>
    <w:rsid w:val="00356872"/>
    <w:rsid w:val="00356DFE"/>
    <w:rsid w:val="00357378"/>
    <w:rsid w:val="0035749E"/>
    <w:rsid w:val="00357FDB"/>
    <w:rsid w:val="0036019B"/>
    <w:rsid w:val="00360F3A"/>
    <w:rsid w:val="00361153"/>
    <w:rsid w:val="00361648"/>
    <w:rsid w:val="00361CFD"/>
    <w:rsid w:val="00361F8B"/>
    <w:rsid w:val="003625BB"/>
    <w:rsid w:val="00362965"/>
    <w:rsid w:val="003634D2"/>
    <w:rsid w:val="003644D1"/>
    <w:rsid w:val="0036457F"/>
    <w:rsid w:val="00365324"/>
    <w:rsid w:val="00365452"/>
    <w:rsid w:val="0036578F"/>
    <w:rsid w:val="00365D02"/>
    <w:rsid w:val="00365D9B"/>
    <w:rsid w:val="003660CF"/>
    <w:rsid w:val="003706FF"/>
    <w:rsid w:val="00370CBC"/>
    <w:rsid w:val="00372176"/>
    <w:rsid w:val="003741BC"/>
    <w:rsid w:val="003758C9"/>
    <w:rsid w:val="00376E0C"/>
    <w:rsid w:val="003771D8"/>
    <w:rsid w:val="003777FC"/>
    <w:rsid w:val="00377E26"/>
    <w:rsid w:val="00377FCC"/>
    <w:rsid w:val="003807C5"/>
    <w:rsid w:val="00381295"/>
    <w:rsid w:val="00381A33"/>
    <w:rsid w:val="00382612"/>
    <w:rsid w:val="00382D14"/>
    <w:rsid w:val="00382F7F"/>
    <w:rsid w:val="00382F8A"/>
    <w:rsid w:val="00384B0C"/>
    <w:rsid w:val="00384FF1"/>
    <w:rsid w:val="00385865"/>
    <w:rsid w:val="00385ADA"/>
    <w:rsid w:val="00385E80"/>
    <w:rsid w:val="003860C3"/>
    <w:rsid w:val="00386B82"/>
    <w:rsid w:val="00386BE3"/>
    <w:rsid w:val="0038714E"/>
    <w:rsid w:val="00387767"/>
    <w:rsid w:val="00390A6B"/>
    <w:rsid w:val="00390C1D"/>
    <w:rsid w:val="00390F50"/>
    <w:rsid w:val="00391063"/>
    <w:rsid w:val="0039255A"/>
    <w:rsid w:val="0039292E"/>
    <w:rsid w:val="00392BC3"/>
    <w:rsid w:val="003931B9"/>
    <w:rsid w:val="003938A7"/>
    <w:rsid w:val="00394202"/>
    <w:rsid w:val="003947AA"/>
    <w:rsid w:val="00396A98"/>
    <w:rsid w:val="00396AE2"/>
    <w:rsid w:val="00396E0B"/>
    <w:rsid w:val="003A014A"/>
    <w:rsid w:val="003A01E4"/>
    <w:rsid w:val="003A0490"/>
    <w:rsid w:val="003A0F79"/>
    <w:rsid w:val="003A1C31"/>
    <w:rsid w:val="003A2E2B"/>
    <w:rsid w:val="003A2F37"/>
    <w:rsid w:val="003A3C73"/>
    <w:rsid w:val="003A45E6"/>
    <w:rsid w:val="003A4C12"/>
    <w:rsid w:val="003A4F65"/>
    <w:rsid w:val="003A5851"/>
    <w:rsid w:val="003A5B7A"/>
    <w:rsid w:val="003A6345"/>
    <w:rsid w:val="003A6724"/>
    <w:rsid w:val="003A6DC4"/>
    <w:rsid w:val="003A75C8"/>
    <w:rsid w:val="003A7682"/>
    <w:rsid w:val="003B0161"/>
    <w:rsid w:val="003B050E"/>
    <w:rsid w:val="003B05BB"/>
    <w:rsid w:val="003B072E"/>
    <w:rsid w:val="003B09B3"/>
    <w:rsid w:val="003B0A7C"/>
    <w:rsid w:val="003B16F4"/>
    <w:rsid w:val="003B1AB1"/>
    <w:rsid w:val="003B1F3F"/>
    <w:rsid w:val="003B3B55"/>
    <w:rsid w:val="003B4402"/>
    <w:rsid w:val="003B4839"/>
    <w:rsid w:val="003B53EE"/>
    <w:rsid w:val="003B64E5"/>
    <w:rsid w:val="003B6A4C"/>
    <w:rsid w:val="003B6AE4"/>
    <w:rsid w:val="003B6F53"/>
    <w:rsid w:val="003C01FE"/>
    <w:rsid w:val="003C0905"/>
    <w:rsid w:val="003C1A1B"/>
    <w:rsid w:val="003C476C"/>
    <w:rsid w:val="003C6070"/>
    <w:rsid w:val="003C6418"/>
    <w:rsid w:val="003C6FA4"/>
    <w:rsid w:val="003C701F"/>
    <w:rsid w:val="003C75CA"/>
    <w:rsid w:val="003C797D"/>
    <w:rsid w:val="003C7E65"/>
    <w:rsid w:val="003D1343"/>
    <w:rsid w:val="003D1464"/>
    <w:rsid w:val="003D174D"/>
    <w:rsid w:val="003D176B"/>
    <w:rsid w:val="003D25F8"/>
    <w:rsid w:val="003D3854"/>
    <w:rsid w:val="003D4756"/>
    <w:rsid w:val="003D4871"/>
    <w:rsid w:val="003D48F4"/>
    <w:rsid w:val="003D4EED"/>
    <w:rsid w:val="003D50B9"/>
    <w:rsid w:val="003D552F"/>
    <w:rsid w:val="003D5627"/>
    <w:rsid w:val="003D6869"/>
    <w:rsid w:val="003D7791"/>
    <w:rsid w:val="003D7B50"/>
    <w:rsid w:val="003E0246"/>
    <w:rsid w:val="003E158F"/>
    <w:rsid w:val="003E20B9"/>
    <w:rsid w:val="003E284D"/>
    <w:rsid w:val="003E4DC5"/>
    <w:rsid w:val="003E5287"/>
    <w:rsid w:val="003E59EB"/>
    <w:rsid w:val="003E6187"/>
    <w:rsid w:val="003E6C51"/>
    <w:rsid w:val="003E7D5B"/>
    <w:rsid w:val="003F0258"/>
    <w:rsid w:val="003F11B0"/>
    <w:rsid w:val="003F167E"/>
    <w:rsid w:val="003F1E91"/>
    <w:rsid w:val="003F20EC"/>
    <w:rsid w:val="003F300B"/>
    <w:rsid w:val="003F397A"/>
    <w:rsid w:val="003F3DA4"/>
    <w:rsid w:val="003F4166"/>
    <w:rsid w:val="003F4477"/>
    <w:rsid w:val="003F5041"/>
    <w:rsid w:val="003F56B7"/>
    <w:rsid w:val="003F5751"/>
    <w:rsid w:val="003F5F07"/>
    <w:rsid w:val="003F649C"/>
    <w:rsid w:val="003F6E11"/>
    <w:rsid w:val="003F7614"/>
    <w:rsid w:val="0040018B"/>
    <w:rsid w:val="00400425"/>
    <w:rsid w:val="004009CA"/>
    <w:rsid w:val="004016DD"/>
    <w:rsid w:val="004019EB"/>
    <w:rsid w:val="00401EF8"/>
    <w:rsid w:val="00401F24"/>
    <w:rsid w:val="00401F62"/>
    <w:rsid w:val="004020DE"/>
    <w:rsid w:val="004033FF"/>
    <w:rsid w:val="00403CCF"/>
    <w:rsid w:val="004045AF"/>
    <w:rsid w:val="0040565D"/>
    <w:rsid w:val="00405673"/>
    <w:rsid w:val="00405743"/>
    <w:rsid w:val="004078B5"/>
    <w:rsid w:val="00407C1A"/>
    <w:rsid w:val="004100EC"/>
    <w:rsid w:val="004107A7"/>
    <w:rsid w:val="00410984"/>
    <w:rsid w:val="00410C19"/>
    <w:rsid w:val="0041127C"/>
    <w:rsid w:val="004112A1"/>
    <w:rsid w:val="00411EC9"/>
    <w:rsid w:val="00412399"/>
    <w:rsid w:val="00412D73"/>
    <w:rsid w:val="00412E57"/>
    <w:rsid w:val="00413748"/>
    <w:rsid w:val="00414187"/>
    <w:rsid w:val="00414C47"/>
    <w:rsid w:val="00416AAB"/>
    <w:rsid w:val="0041704A"/>
    <w:rsid w:val="004172C9"/>
    <w:rsid w:val="004200DA"/>
    <w:rsid w:val="00421408"/>
    <w:rsid w:val="00421BDF"/>
    <w:rsid w:val="00421C7B"/>
    <w:rsid w:val="00422149"/>
    <w:rsid w:val="00422470"/>
    <w:rsid w:val="0042275B"/>
    <w:rsid w:val="0042275C"/>
    <w:rsid w:val="00423646"/>
    <w:rsid w:val="004249AF"/>
    <w:rsid w:val="004254FF"/>
    <w:rsid w:val="00426D03"/>
    <w:rsid w:val="00426F4E"/>
    <w:rsid w:val="00426F8D"/>
    <w:rsid w:val="0043098F"/>
    <w:rsid w:val="00430A34"/>
    <w:rsid w:val="00430AC7"/>
    <w:rsid w:val="00430C09"/>
    <w:rsid w:val="004316F8"/>
    <w:rsid w:val="00431C17"/>
    <w:rsid w:val="004324EB"/>
    <w:rsid w:val="00432FC5"/>
    <w:rsid w:val="004337CD"/>
    <w:rsid w:val="00433E77"/>
    <w:rsid w:val="00434378"/>
    <w:rsid w:val="004353D8"/>
    <w:rsid w:val="004355DD"/>
    <w:rsid w:val="00436010"/>
    <w:rsid w:val="004360C3"/>
    <w:rsid w:val="00436287"/>
    <w:rsid w:val="0043694E"/>
    <w:rsid w:val="00436DC8"/>
    <w:rsid w:val="00437DA2"/>
    <w:rsid w:val="004401A1"/>
    <w:rsid w:val="00440AB6"/>
    <w:rsid w:val="00440BAE"/>
    <w:rsid w:val="00440C9E"/>
    <w:rsid w:val="00441D70"/>
    <w:rsid w:val="00441DBD"/>
    <w:rsid w:val="0044252E"/>
    <w:rsid w:val="00442A0E"/>
    <w:rsid w:val="00442FAC"/>
    <w:rsid w:val="00443340"/>
    <w:rsid w:val="0044335B"/>
    <w:rsid w:val="0044343C"/>
    <w:rsid w:val="00443E10"/>
    <w:rsid w:val="004443C2"/>
    <w:rsid w:val="00444DBA"/>
    <w:rsid w:val="00444E85"/>
    <w:rsid w:val="00445BBC"/>
    <w:rsid w:val="00445DC3"/>
    <w:rsid w:val="004464C3"/>
    <w:rsid w:val="00447254"/>
    <w:rsid w:val="0044750A"/>
    <w:rsid w:val="004475A3"/>
    <w:rsid w:val="00450387"/>
    <w:rsid w:val="00451461"/>
    <w:rsid w:val="00451B5B"/>
    <w:rsid w:val="00451C53"/>
    <w:rsid w:val="00451F01"/>
    <w:rsid w:val="0045204C"/>
    <w:rsid w:val="00452B59"/>
    <w:rsid w:val="004537BF"/>
    <w:rsid w:val="00454F13"/>
    <w:rsid w:val="00455D05"/>
    <w:rsid w:val="00456256"/>
    <w:rsid w:val="00456A05"/>
    <w:rsid w:val="0045715A"/>
    <w:rsid w:val="00457346"/>
    <w:rsid w:val="004601BF"/>
    <w:rsid w:val="0046035D"/>
    <w:rsid w:val="004606DE"/>
    <w:rsid w:val="0046073F"/>
    <w:rsid w:val="0046097B"/>
    <w:rsid w:val="00461006"/>
    <w:rsid w:val="00461604"/>
    <w:rsid w:val="00461EC2"/>
    <w:rsid w:val="0046241F"/>
    <w:rsid w:val="004630A8"/>
    <w:rsid w:val="00463900"/>
    <w:rsid w:val="0046417C"/>
    <w:rsid w:val="00464680"/>
    <w:rsid w:val="00464812"/>
    <w:rsid w:val="00464ABF"/>
    <w:rsid w:val="0046532A"/>
    <w:rsid w:val="00465757"/>
    <w:rsid w:val="00466458"/>
    <w:rsid w:val="004670D1"/>
    <w:rsid w:val="00467B05"/>
    <w:rsid w:val="00467D94"/>
    <w:rsid w:val="0047309E"/>
    <w:rsid w:val="0047323A"/>
    <w:rsid w:val="004732D6"/>
    <w:rsid w:val="00473DBD"/>
    <w:rsid w:val="00473E30"/>
    <w:rsid w:val="0047417C"/>
    <w:rsid w:val="00474E53"/>
    <w:rsid w:val="004773C8"/>
    <w:rsid w:val="00480247"/>
    <w:rsid w:val="004809F5"/>
    <w:rsid w:val="00480BA5"/>
    <w:rsid w:val="00480EFA"/>
    <w:rsid w:val="00481CEA"/>
    <w:rsid w:val="00482D45"/>
    <w:rsid w:val="00482DAC"/>
    <w:rsid w:val="004833E1"/>
    <w:rsid w:val="004834BC"/>
    <w:rsid w:val="004845BA"/>
    <w:rsid w:val="00485F3E"/>
    <w:rsid w:val="00486699"/>
    <w:rsid w:val="00486F5E"/>
    <w:rsid w:val="00487749"/>
    <w:rsid w:val="00487C13"/>
    <w:rsid w:val="004907B8"/>
    <w:rsid w:val="0049143B"/>
    <w:rsid w:val="00491893"/>
    <w:rsid w:val="004918D1"/>
    <w:rsid w:val="00491AA0"/>
    <w:rsid w:val="00491B45"/>
    <w:rsid w:val="00491DE5"/>
    <w:rsid w:val="00491FBF"/>
    <w:rsid w:val="0049241F"/>
    <w:rsid w:val="00492F76"/>
    <w:rsid w:val="00493F0F"/>
    <w:rsid w:val="00494335"/>
    <w:rsid w:val="00494B7A"/>
    <w:rsid w:val="00495031"/>
    <w:rsid w:val="004953E3"/>
    <w:rsid w:val="00495A90"/>
    <w:rsid w:val="00495CCD"/>
    <w:rsid w:val="00495EC2"/>
    <w:rsid w:val="00496150"/>
    <w:rsid w:val="00496C89"/>
    <w:rsid w:val="00496E40"/>
    <w:rsid w:val="00496EB6"/>
    <w:rsid w:val="004976CA"/>
    <w:rsid w:val="004A0C92"/>
    <w:rsid w:val="004A2C90"/>
    <w:rsid w:val="004A4853"/>
    <w:rsid w:val="004A4876"/>
    <w:rsid w:val="004A5424"/>
    <w:rsid w:val="004A576F"/>
    <w:rsid w:val="004A5A3E"/>
    <w:rsid w:val="004A6386"/>
    <w:rsid w:val="004A6612"/>
    <w:rsid w:val="004A6844"/>
    <w:rsid w:val="004A68CD"/>
    <w:rsid w:val="004A6C93"/>
    <w:rsid w:val="004A6CC7"/>
    <w:rsid w:val="004A6F9B"/>
    <w:rsid w:val="004A712D"/>
    <w:rsid w:val="004A749D"/>
    <w:rsid w:val="004A7762"/>
    <w:rsid w:val="004A7907"/>
    <w:rsid w:val="004A7CF9"/>
    <w:rsid w:val="004B20FD"/>
    <w:rsid w:val="004B217A"/>
    <w:rsid w:val="004B3047"/>
    <w:rsid w:val="004B377C"/>
    <w:rsid w:val="004B3E07"/>
    <w:rsid w:val="004B3FE5"/>
    <w:rsid w:val="004B43B4"/>
    <w:rsid w:val="004B55D4"/>
    <w:rsid w:val="004B5ADA"/>
    <w:rsid w:val="004B6D4D"/>
    <w:rsid w:val="004B7833"/>
    <w:rsid w:val="004C0400"/>
    <w:rsid w:val="004C044E"/>
    <w:rsid w:val="004C0552"/>
    <w:rsid w:val="004C0CF6"/>
    <w:rsid w:val="004C0E81"/>
    <w:rsid w:val="004C121A"/>
    <w:rsid w:val="004C253E"/>
    <w:rsid w:val="004C43B1"/>
    <w:rsid w:val="004C44F8"/>
    <w:rsid w:val="004C4C03"/>
    <w:rsid w:val="004C4C46"/>
    <w:rsid w:val="004C605A"/>
    <w:rsid w:val="004C66ED"/>
    <w:rsid w:val="004C6BE8"/>
    <w:rsid w:val="004C6EE9"/>
    <w:rsid w:val="004C7688"/>
    <w:rsid w:val="004C788F"/>
    <w:rsid w:val="004D16E4"/>
    <w:rsid w:val="004D1935"/>
    <w:rsid w:val="004D1D34"/>
    <w:rsid w:val="004D42FA"/>
    <w:rsid w:val="004D4378"/>
    <w:rsid w:val="004D46AD"/>
    <w:rsid w:val="004D4CC2"/>
    <w:rsid w:val="004D6756"/>
    <w:rsid w:val="004D6770"/>
    <w:rsid w:val="004D7906"/>
    <w:rsid w:val="004D7AF1"/>
    <w:rsid w:val="004E038C"/>
    <w:rsid w:val="004E0F64"/>
    <w:rsid w:val="004E35C9"/>
    <w:rsid w:val="004E3BF0"/>
    <w:rsid w:val="004E3F11"/>
    <w:rsid w:val="004E4182"/>
    <w:rsid w:val="004E5FD5"/>
    <w:rsid w:val="004E70E1"/>
    <w:rsid w:val="004E7EBD"/>
    <w:rsid w:val="004E7F51"/>
    <w:rsid w:val="004F1E88"/>
    <w:rsid w:val="004F256D"/>
    <w:rsid w:val="004F2615"/>
    <w:rsid w:val="004F3E60"/>
    <w:rsid w:val="004F4D35"/>
    <w:rsid w:val="004F4DF6"/>
    <w:rsid w:val="004F4E22"/>
    <w:rsid w:val="004F4E6C"/>
    <w:rsid w:val="004F5622"/>
    <w:rsid w:val="004F62A0"/>
    <w:rsid w:val="004F62DA"/>
    <w:rsid w:val="004F6CD7"/>
    <w:rsid w:val="004F6F3C"/>
    <w:rsid w:val="004F71CD"/>
    <w:rsid w:val="00500172"/>
    <w:rsid w:val="00500588"/>
    <w:rsid w:val="005007B5"/>
    <w:rsid w:val="005014EE"/>
    <w:rsid w:val="00502800"/>
    <w:rsid w:val="00502A3A"/>
    <w:rsid w:val="00502D96"/>
    <w:rsid w:val="005034D5"/>
    <w:rsid w:val="005040B6"/>
    <w:rsid w:val="00504D2E"/>
    <w:rsid w:val="00505A55"/>
    <w:rsid w:val="00505EE6"/>
    <w:rsid w:val="0050617B"/>
    <w:rsid w:val="0050637C"/>
    <w:rsid w:val="00510654"/>
    <w:rsid w:val="00510CF2"/>
    <w:rsid w:val="00512256"/>
    <w:rsid w:val="00512521"/>
    <w:rsid w:val="00512DA1"/>
    <w:rsid w:val="005131CE"/>
    <w:rsid w:val="0051360A"/>
    <w:rsid w:val="00513880"/>
    <w:rsid w:val="0051447C"/>
    <w:rsid w:val="0051471F"/>
    <w:rsid w:val="00515112"/>
    <w:rsid w:val="0051560D"/>
    <w:rsid w:val="00515EE3"/>
    <w:rsid w:val="00516053"/>
    <w:rsid w:val="00516801"/>
    <w:rsid w:val="00517CFD"/>
    <w:rsid w:val="00520D58"/>
    <w:rsid w:val="00521F72"/>
    <w:rsid w:val="00522106"/>
    <w:rsid w:val="00523C21"/>
    <w:rsid w:val="00524621"/>
    <w:rsid w:val="00525728"/>
    <w:rsid w:val="00525927"/>
    <w:rsid w:val="00525A0E"/>
    <w:rsid w:val="00525CC2"/>
    <w:rsid w:val="00525F17"/>
    <w:rsid w:val="005270EB"/>
    <w:rsid w:val="00527BB0"/>
    <w:rsid w:val="00530426"/>
    <w:rsid w:val="00531436"/>
    <w:rsid w:val="00533F34"/>
    <w:rsid w:val="005354AF"/>
    <w:rsid w:val="00535944"/>
    <w:rsid w:val="00536A12"/>
    <w:rsid w:val="00536AF5"/>
    <w:rsid w:val="00537296"/>
    <w:rsid w:val="0053743B"/>
    <w:rsid w:val="00537AEA"/>
    <w:rsid w:val="00537C1D"/>
    <w:rsid w:val="00540AE9"/>
    <w:rsid w:val="00540F1C"/>
    <w:rsid w:val="00540FBF"/>
    <w:rsid w:val="00541515"/>
    <w:rsid w:val="00541A69"/>
    <w:rsid w:val="0054225B"/>
    <w:rsid w:val="005422A9"/>
    <w:rsid w:val="00542945"/>
    <w:rsid w:val="00543425"/>
    <w:rsid w:val="00543A26"/>
    <w:rsid w:val="00543BF5"/>
    <w:rsid w:val="00543DD8"/>
    <w:rsid w:val="0054406C"/>
    <w:rsid w:val="0054502D"/>
    <w:rsid w:val="00545212"/>
    <w:rsid w:val="00545737"/>
    <w:rsid w:val="00545B07"/>
    <w:rsid w:val="00545E51"/>
    <w:rsid w:val="0054606D"/>
    <w:rsid w:val="00546B64"/>
    <w:rsid w:val="00547E51"/>
    <w:rsid w:val="00547F93"/>
    <w:rsid w:val="00547F98"/>
    <w:rsid w:val="0055020D"/>
    <w:rsid w:val="00550C50"/>
    <w:rsid w:val="00551455"/>
    <w:rsid w:val="005519C8"/>
    <w:rsid w:val="00552C73"/>
    <w:rsid w:val="005553C4"/>
    <w:rsid w:val="00555413"/>
    <w:rsid w:val="005559D2"/>
    <w:rsid w:val="005563F7"/>
    <w:rsid w:val="005569DD"/>
    <w:rsid w:val="00557469"/>
    <w:rsid w:val="005578A7"/>
    <w:rsid w:val="00557EDD"/>
    <w:rsid w:val="0056093D"/>
    <w:rsid w:val="00560FAA"/>
    <w:rsid w:val="00561020"/>
    <w:rsid w:val="00561520"/>
    <w:rsid w:val="00561C80"/>
    <w:rsid w:val="00562A4C"/>
    <w:rsid w:val="00563210"/>
    <w:rsid w:val="005639B1"/>
    <w:rsid w:val="0056400C"/>
    <w:rsid w:val="005641E4"/>
    <w:rsid w:val="005643AE"/>
    <w:rsid w:val="0056478E"/>
    <w:rsid w:val="00564C9E"/>
    <w:rsid w:val="0056507B"/>
    <w:rsid w:val="00565C66"/>
    <w:rsid w:val="005662D2"/>
    <w:rsid w:val="005664B3"/>
    <w:rsid w:val="00566EC4"/>
    <w:rsid w:val="00567165"/>
    <w:rsid w:val="00571051"/>
    <w:rsid w:val="0057105B"/>
    <w:rsid w:val="005710B7"/>
    <w:rsid w:val="00571A67"/>
    <w:rsid w:val="00571F69"/>
    <w:rsid w:val="0057363E"/>
    <w:rsid w:val="00573827"/>
    <w:rsid w:val="005738DE"/>
    <w:rsid w:val="005741AD"/>
    <w:rsid w:val="00574496"/>
    <w:rsid w:val="005749EE"/>
    <w:rsid w:val="0057572D"/>
    <w:rsid w:val="00575F7A"/>
    <w:rsid w:val="00576C49"/>
    <w:rsid w:val="00577FC4"/>
    <w:rsid w:val="0058053B"/>
    <w:rsid w:val="005806A5"/>
    <w:rsid w:val="00580749"/>
    <w:rsid w:val="00580CFA"/>
    <w:rsid w:val="0058108B"/>
    <w:rsid w:val="005826A8"/>
    <w:rsid w:val="005828AD"/>
    <w:rsid w:val="00583064"/>
    <w:rsid w:val="00583870"/>
    <w:rsid w:val="005849FC"/>
    <w:rsid w:val="00584DBD"/>
    <w:rsid w:val="00584EDF"/>
    <w:rsid w:val="00585AE0"/>
    <w:rsid w:val="00585C08"/>
    <w:rsid w:val="00585DE9"/>
    <w:rsid w:val="00586443"/>
    <w:rsid w:val="00586717"/>
    <w:rsid w:val="00586740"/>
    <w:rsid w:val="00586787"/>
    <w:rsid w:val="005872B3"/>
    <w:rsid w:val="005872E5"/>
    <w:rsid w:val="00587A17"/>
    <w:rsid w:val="00587CA1"/>
    <w:rsid w:val="00591007"/>
    <w:rsid w:val="0059117C"/>
    <w:rsid w:val="00591E37"/>
    <w:rsid w:val="005926C2"/>
    <w:rsid w:val="005929B4"/>
    <w:rsid w:val="00593166"/>
    <w:rsid w:val="00593993"/>
    <w:rsid w:val="005939F7"/>
    <w:rsid w:val="00593BFD"/>
    <w:rsid w:val="00593C35"/>
    <w:rsid w:val="00594184"/>
    <w:rsid w:val="00595401"/>
    <w:rsid w:val="00595D7C"/>
    <w:rsid w:val="00595DB7"/>
    <w:rsid w:val="00596963"/>
    <w:rsid w:val="00597AEA"/>
    <w:rsid w:val="00597CBC"/>
    <w:rsid w:val="005A0AB9"/>
    <w:rsid w:val="005A0F74"/>
    <w:rsid w:val="005A13B4"/>
    <w:rsid w:val="005A2774"/>
    <w:rsid w:val="005A2FA9"/>
    <w:rsid w:val="005A2FEA"/>
    <w:rsid w:val="005A311D"/>
    <w:rsid w:val="005A3F7C"/>
    <w:rsid w:val="005A424C"/>
    <w:rsid w:val="005A592E"/>
    <w:rsid w:val="005A6021"/>
    <w:rsid w:val="005A68C1"/>
    <w:rsid w:val="005A7035"/>
    <w:rsid w:val="005A7C6E"/>
    <w:rsid w:val="005B06C1"/>
    <w:rsid w:val="005B13C0"/>
    <w:rsid w:val="005B140D"/>
    <w:rsid w:val="005B2304"/>
    <w:rsid w:val="005B29AF"/>
    <w:rsid w:val="005B3A70"/>
    <w:rsid w:val="005B4062"/>
    <w:rsid w:val="005B46CA"/>
    <w:rsid w:val="005B5BDA"/>
    <w:rsid w:val="005B66FE"/>
    <w:rsid w:val="005B7379"/>
    <w:rsid w:val="005B737D"/>
    <w:rsid w:val="005B79AF"/>
    <w:rsid w:val="005B7DE7"/>
    <w:rsid w:val="005C011B"/>
    <w:rsid w:val="005C0583"/>
    <w:rsid w:val="005C171E"/>
    <w:rsid w:val="005C1A73"/>
    <w:rsid w:val="005C20C4"/>
    <w:rsid w:val="005C2653"/>
    <w:rsid w:val="005C2AB7"/>
    <w:rsid w:val="005C33F8"/>
    <w:rsid w:val="005C3404"/>
    <w:rsid w:val="005C3AED"/>
    <w:rsid w:val="005C4399"/>
    <w:rsid w:val="005C462D"/>
    <w:rsid w:val="005C4DB6"/>
    <w:rsid w:val="005C4E9E"/>
    <w:rsid w:val="005C5F43"/>
    <w:rsid w:val="005C683D"/>
    <w:rsid w:val="005C6EB1"/>
    <w:rsid w:val="005C743E"/>
    <w:rsid w:val="005D01B9"/>
    <w:rsid w:val="005D025B"/>
    <w:rsid w:val="005D0667"/>
    <w:rsid w:val="005D12D9"/>
    <w:rsid w:val="005D178D"/>
    <w:rsid w:val="005D18F3"/>
    <w:rsid w:val="005D2146"/>
    <w:rsid w:val="005D2FFF"/>
    <w:rsid w:val="005D3821"/>
    <w:rsid w:val="005D42AB"/>
    <w:rsid w:val="005D58B0"/>
    <w:rsid w:val="005D6B6A"/>
    <w:rsid w:val="005D7055"/>
    <w:rsid w:val="005D72F7"/>
    <w:rsid w:val="005D76B5"/>
    <w:rsid w:val="005D7BA5"/>
    <w:rsid w:val="005D7E79"/>
    <w:rsid w:val="005E0708"/>
    <w:rsid w:val="005E1051"/>
    <w:rsid w:val="005E19D9"/>
    <w:rsid w:val="005E1F02"/>
    <w:rsid w:val="005E1F64"/>
    <w:rsid w:val="005E28AC"/>
    <w:rsid w:val="005E327E"/>
    <w:rsid w:val="005E388E"/>
    <w:rsid w:val="005E44FC"/>
    <w:rsid w:val="005E4782"/>
    <w:rsid w:val="005E5488"/>
    <w:rsid w:val="005E595D"/>
    <w:rsid w:val="005E5CC8"/>
    <w:rsid w:val="005E62FC"/>
    <w:rsid w:val="005E6E53"/>
    <w:rsid w:val="005E731C"/>
    <w:rsid w:val="005E7DEB"/>
    <w:rsid w:val="005F0274"/>
    <w:rsid w:val="005F1B71"/>
    <w:rsid w:val="005F20FC"/>
    <w:rsid w:val="005F25EF"/>
    <w:rsid w:val="005F27D2"/>
    <w:rsid w:val="005F29EC"/>
    <w:rsid w:val="005F2A7F"/>
    <w:rsid w:val="005F2C61"/>
    <w:rsid w:val="005F355E"/>
    <w:rsid w:val="005F35CE"/>
    <w:rsid w:val="005F4780"/>
    <w:rsid w:val="005F4A5A"/>
    <w:rsid w:val="005F4D02"/>
    <w:rsid w:val="005F54FE"/>
    <w:rsid w:val="005F58C5"/>
    <w:rsid w:val="005F5DF1"/>
    <w:rsid w:val="005F6852"/>
    <w:rsid w:val="005F7788"/>
    <w:rsid w:val="00600AB2"/>
    <w:rsid w:val="00600AD4"/>
    <w:rsid w:val="006023E8"/>
    <w:rsid w:val="00603106"/>
    <w:rsid w:val="00603DC4"/>
    <w:rsid w:val="006042B0"/>
    <w:rsid w:val="006048A2"/>
    <w:rsid w:val="006051CA"/>
    <w:rsid w:val="00605823"/>
    <w:rsid w:val="0060593C"/>
    <w:rsid w:val="00606493"/>
    <w:rsid w:val="00607734"/>
    <w:rsid w:val="00607F43"/>
    <w:rsid w:val="006107B6"/>
    <w:rsid w:val="0061171F"/>
    <w:rsid w:val="00611CD5"/>
    <w:rsid w:val="00611F0B"/>
    <w:rsid w:val="00612019"/>
    <w:rsid w:val="00613268"/>
    <w:rsid w:val="00613A84"/>
    <w:rsid w:val="00614451"/>
    <w:rsid w:val="006144F0"/>
    <w:rsid w:val="00614A27"/>
    <w:rsid w:val="00614CC1"/>
    <w:rsid w:val="006151E1"/>
    <w:rsid w:val="006159AB"/>
    <w:rsid w:val="00616167"/>
    <w:rsid w:val="0061669C"/>
    <w:rsid w:val="006204EF"/>
    <w:rsid w:val="006206BE"/>
    <w:rsid w:val="00620D02"/>
    <w:rsid w:val="00621012"/>
    <w:rsid w:val="006212DF"/>
    <w:rsid w:val="00621614"/>
    <w:rsid w:val="00621627"/>
    <w:rsid w:val="00622D44"/>
    <w:rsid w:val="00623C69"/>
    <w:rsid w:val="00623E35"/>
    <w:rsid w:val="00624FD7"/>
    <w:rsid w:val="00626716"/>
    <w:rsid w:val="00626A8C"/>
    <w:rsid w:val="006306F3"/>
    <w:rsid w:val="006314F8"/>
    <w:rsid w:val="0063153C"/>
    <w:rsid w:val="00631D1E"/>
    <w:rsid w:val="00631F96"/>
    <w:rsid w:val="0063289B"/>
    <w:rsid w:val="00632CAF"/>
    <w:rsid w:val="00632EA9"/>
    <w:rsid w:val="006336FB"/>
    <w:rsid w:val="00634022"/>
    <w:rsid w:val="00634F9D"/>
    <w:rsid w:val="006350E8"/>
    <w:rsid w:val="00636B49"/>
    <w:rsid w:val="00637827"/>
    <w:rsid w:val="0064092B"/>
    <w:rsid w:val="00640F8C"/>
    <w:rsid w:val="00640FBF"/>
    <w:rsid w:val="0064243F"/>
    <w:rsid w:val="00642D6B"/>
    <w:rsid w:val="00642D8B"/>
    <w:rsid w:val="00643CC3"/>
    <w:rsid w:val="00643E41"/>
    <w:rsid w:val="006442E8"/>
    <w:rsid w:val="00644A23"/>
    <w:rsid w:val="00644D6F"/>
    <w:rsid w:val="00644E0D"/>
    <w:rsid w:val="00644F12"/>
    <w:rsid w:val="006455BD"/>
    <w:rsid w:val="006459FC"/>
    <w:rsid w:val="0064612A"/>
    <w:rsid w:val="006461D2"/>
    <w:rsid w:val="00646AE5"/>
    <w:rsid w:val="00646E13"/>
    <w:rsid w:val="006475FD"/>
    <w:rsid w:val="0065030F"/>
    <w:rsid w:val="00650383"/>
    <w:rsid w:val="00650ED9"/>
    <w:rsid w:val="00652820"/>
    <w:rsid w:val="006529E4"/>
    <w:rsid w:val="00654B16"/>
    <w:rsid w:val="00654C70"/>
    <w:rsid w:val="00654CAD"/>
    <w:rsid w:val="00655266"/>
    <w:rsid w:val="0065553F"/>
    <w:rsid w:val="006560D3"/>
    <w:rsid w:val="00656344"/>
    <w:rsid w:val="00656B14"/>
    <w:rsid w:val="00660A5C"/>
    <w:rsid w:val="00661206"/>
    <w:rsid w:val="00661ACD"/>
    <w:rsid w:val="0066264D"/>
    <w:rsid w:val="00663BF1"/>
    <w:rsid w:val="00663CEC"/>
    <w:rsid w:val="00663D0F"/>
    <w:rsid w:val="0066573F"/>
    <w:rsid w:val="006659D4"/>
    <w:rsid w:val="006664FA"/>
    <w:rsid w:val="00666B99"/>
    <w:rsid w:val="0066793D"/>
    <w:rsid w:val="006707AA"/>
    <w:rsid w:val="006709C0"/>
    <w:rsid w:val="00670E61"/>
    <w:rsid w:val="00671366"/>
    <w:rsid w:val="006713CA"/>
    <w:rsid w:val="0067164F"/>
    <w:rsid w:val="00671DFB"/>
    <w:rsid w:val="00671F9A"/>
    <w:rsid w:val="00671FA0"/>
    <w:rsid w:val="00672612"/>
    <w:rsid w:val="00672940"/>
    <w:rsid w:val="00672E35"/>
    <w:rsid w:val="00673326"/>
    <w:rsid w:val="0067375D"/>
    <w:rsid w:val="00673A53"/>
    <w:rsid w:val="00674E01"/>
    <w:rsid w:val="00676818"/>
    <w:rsid w:val="00677ADC"/>
    <w:rsid w:val="00677F26"/>
    <w:rsid w:val="00680AB3"/>
    <w:rsid w:val="00680B19"/>
    <w:rsid w:val="006819C9"/>
    <w:rsid w:val="00681EB1"/>
    <w:rsid w:val="0068215A"/>
    <w:rsid w:val="00682AF8"/>
    <w:rsid w:val="00682FB8"/>
    <w:rsid w:val="006837FA"/>
    <w:rsid w:val="00683AB7"/>
    <w:rsid w:val="00683CDE"/>
    <w:rsid w:val="00684352"/>
    <w:rsid w:val="00685566"/>
    <w:rsid w:val="00685C5B"/>
    <w:rsid w:val="00685D1A"/>
    <w:rsid w:val="0068643F"/>
    <w:rsid w:val="00686781"/>
    <w:rsid w:val="00687636"/>
    <w:rsid w:val="006877C6"/>
    <w:rsid w:val="00690853"/>
    <w:rsid w:val="00690941"/>
    <w:rsid w:val="00690A68"/>
    <w:rsid w:val="00691464"/>
    <w:rsid w:val="00691C67"/>
    <w:rsid w:val="00692B7F"/>
    <w:rsid w:val="00692C21"/>
    <w:rsid w:val="00693080"/>
    <w:rsid w:val="006933E8"/>
    <w:rsid w:val="00693450"/>
    <w:rsid w:val="00693765"/>
    <w:rsid w:val="00693FA4"/>
    <w:rsid w:val="00694E07"/>
    <w:rsid w:val="0069526B"/>
    <w:rsid w:val="00696821"/>
    <w:rsid w:val="00696A7C"/>
    <w:rsid w:val="006A108B"/>
    <w:rsid w:val="006A19C8"/>
    <w:rsid w:val="006A1B36"/>
    <w:rsid w:val="006A1FDE"/>
    <w:rsid w:val="006A26AB"/>
    <w:rsid w:val="006A32F7"/>
    <w:rsid w:val="006A3975"/>
    <w:rsid w:val="006A4DC0"/>
    <w:rsid w:val="006A5C49"/>
    <w:rsid w:val="006A5CA7"/>
    <w:rsid w:val="006A604B"/>
    <w:rsid w:val="006A638A"/>
    <w:rsid w:val="006A71F3"/>
    <w:rsid w:val="006A7833"/>
    <w:rsid w:val="006A7A8E"/>
    <w:rsid w:val="006B030A"/>
    <w:rsid w:val="006B04E9"/>
    <w:rsid w:val="006B050A"/>
    <w:rsid w:val="006B0988"/>
    <w:rsid w:val="006B1574"/>
    <w:rsid w:val="006B2558"/>
    <w:rsid w:val="006B2571"/>
    <w:rsid w:val="006B25E6"/>
    <w:rsid w:val="006B2955"/>
    <w:rsid w:val="006B2A9F"/>
    <w:rsid w:val="006B33C7"/>
    <w:rsid w:val="006B3E75"/>
    <w:rsid w:val="006B4774"/>
    <w:rsid w:val="006B4BB0"/>
    <w:rsid w:val="006B4E86"/>
    <w:rsid w:val="006B4F88"/>
    <w:rsid w:val="006B5890"/>
    <w:rsid w:val="006B5922"/>
    <w:rsid w:val="006B5C09"/>
    <w:rsid w:val="006B5CC3"/>
    <w:rsid w:val="006B5E82"/>
    <w:rsid w:val="006B6233"/>
    <w:rsid w:val="006B7028"/>
    <w:rsid w:val="006B7169"/>
    <w:rsid w:val="006B79C6"/>
    <w:rsid w:val="006C0279"/>
    <w:rsid w:val="006C0A55"/>
    <w:rsid w:val="006C0ECC"/>
    <w:rsid w:val="006C12FF"/>
    <w:rsid w:val="006C219C"/>
    <w:rsid w:val="006C35B0"/>
    <w:rsid w:val="006C4600"/>
    <w:rsid w:val="006C4DEF"/>
    <w:rsid w:val="006C5B35"/>
    <w:rsid w:val="006C6AF4"/>
    <w:rsid w:val="006C715C"/>
    <w:rsid w:val="006C749C"/>
    <w:rsid w:val="006D0031"/>
    <w:rsid w:val="006D0595"/>
    <w:rsid w:val="006D2100"/>
    <w:rsid w:val="006D261A"/>
    <w:rsid w:val="006D4225"/>
    <w:rsid w:val="006D424F"/>
    <w:rsid w:val="006D536B"/>
    <w:rsid w:val="006D5926"/>
    <w:rsid w:val="006D62B5"/>
    <w:rsid w:val="006D6F32"/>
    <w:rsid w:val="006D718C"/>
    <w:rsid w:val="006D7B9C"/>
    <w:rsid w:val="006E061B"/>
    <w:rsid w:val="006E08CA"/>
    <w:rsid w:val="006E1E35"/>
    <w:rsid w:val="006E22BF"/>
    <w:rsid w:val="006E3212"/>
    <w:rsid w:val="006E3956"/>
    <w:rsid w:val="006E3B1F"/>
    <w:rsid w:val="006E42BA"/>
    <w:rsid w:val="006E4C46"/>
    <w:rsid w:val="006E5210"/>
    <w:rsid w:val="006E60AC"/>
    <w:rsid w:val="006E61A6"/>
    <w:rsid w:val="006E61AA"/>
    <w:rsid w:val="006E7A27"/>
    <w:rsid w:val="006F00A1"/>
    <w:rsid w:val="006F0123"/>
    <w:rsid w:val="006F014C"/>
    <w:rsid w:val="006F0184"/>
    <w:rsid w:val="006F1984"/>
    <w:rsid w:val="006F1DF3"/>
    <w:rsid w:val="006F1F28"/>
    <w:rsid w:val="006F2838"/>
    <w:rsid w:val="006F33FB"/>
    <w:rsid w:val="006F39D4"/>
    <w:rsid w:val="006F5421"/>
    <w:rsid w:val="006F553C"/>
    <w:rsid w:val="006F5988"/>
    <w:rsid w:val="006F619D"/>
    <w:rsid w:val="006F724D"/>
    <w:rsid w:val="006F740D"/>
    <w:rsid w:val="006F7908"/>
    <w:rsid w:val="007006E3"/>
    <w:rsid w:val="00700DC5"/>
    <w:rsid w:val="00701DE9"/>
    <w:rsid w:val="007021C4"/>
    <w:rsid w:val="0070266B"/>
    <w:rsid w:val="00703681"/>
    <w:rsid w:val="00703BAC"/>
    <w:rsid w:val="00703F5F"/>
    <w:rsid w:val="00704681"/>
    <w:rsid w:val="00704FC9"/>
    <w:rsid w:val="007052EB"/>
    <w:rsid w:val="00706687"/>
    <w:rsid w:val="0070763C"/>
    <w:rsid w:val="00707837"/>
    <w:rsid w:val="00707908"/>
    <w:rsid w:val="00707FD0"/>
    <w:rsid w:val="007106C1"/>
    <w:rsid w:val="00710985"/>
    <w:rsid w:val="007112B9"/>
    <w:rsid w:val="00711349"/>
    <w:rsid w:val="007114B1"/>
    <w:rsid w:val="007118E3"/>
    <w:rsid w:val="007126A7"/>
    <w:rsid w:val="007143F7"/>
    <w:rsid w:val="00714E15"/>
    <w:rsid w:val="00716AF2"/>
    <w:rsid w:val="00716C10"/>
    <w:rsid w:val="00717023"/>
    <w:rsid w:val="00717355"/>
    <w:rsid w:val="007178F0"/>
    <w:rsid w:val="007179F0"/>
    <w:rsid w:val="00722144"/>
    <w:rsid w:val="00722D9A"/>
    <w:rsid w:val="0072310A"/>
    <w:rsid w:val="00723E6E"/>
    <w:rsid w:val="00724279"/>
    <w:rsid w:val="007243F5"/>
    <w:rsid w:val="00724412"/>
    <w:rsid w:val="00724A74"/>
    <w:rsid w:val="00724CE3"/>
    <w:rsid w:val="00724D17"/>
    <w:rsid w:val="00725653"/>
    <w:rsid w:val="00727739"/>
    <w:rsid w:val="00727976"/>
    <w:rsid w:val="00727C47"/>
    <w:rsid w:val="00730241"/>
    <w:rsid w:val="00730361"/>
    <w:rsid w:val="00730CEB"/>
    <w:rsid w:val="00730E41"/>
    <w:rsid w:val="00730F68"/>
    <w:rsid w:val="00731512"/>
    <w:rsid w:val="0073222D"/>
    <w:rsid w:val="00732304"/>
    <w:rsid w:val="00732ADC"/>
    <w:rsid w:val="007334CA"/>
    <w:rsid w:val="00733B5C"/>
    <w:rsid w:val="0073417F"/>
    <w:rsid w:val="007347BD"/>
    <w:rsid w:val="00735339"/>
    <w:rsid w:val="007361A1"/>
    <w:rsid w:val="00737417"/>
    <w:rsid w:val="00740136"/>
    <w:rsid w:val="007401A9"/>
    <w:rsid w:val="0074060E"/>
    <w:rsid w:val="00740F6C"/>
    <w:rsid w:val="007411F6"/>
    <w:rsid w:val="0074130C"/>
    <w:rsid w:val="00741947"/>
    <w:rsid w:val="00742624"/>
    <w:rsid w:val="007438FD"/>
    <w:rsid w:val="00744455"/>
    <w:rsid w:val="00745904"/>
    <w:rsid w:val="00746368"/>
    <w:rsid w:val="007468D7"/>
    <w:rsid w:val="00746CBA"/>
    <w:rsid w:val="00747D31"/>
    <w:rsid w:val="00747F79"/>
    <w:rsid w:val="00750206"/>
    <w:rsid w:val="00752C82"/>
    <w:rsid w:val="00753432"/>
    <w:rsid w:val="00753B03"/>
    <w:rsid w:val="007542CE"/>
    <w:rsid w:val="0075449F"/>
    <w:rsid w:val="00754BDC"/>
    <w:rsid w:val="007551B0"/>
    <w:rsid w:val="00755A2F"/>
    <w:rsid w:val="007560C2"/>
    <w:rsid w:val="007564A9"/>
    <w:rsid w:val="00756948"/>
    <w:rsid w:val="00756BE2"/>
    <w:rsid w:val="00756E10"/>
    <w:rsid w:val="00756E7E"/>
    <w:rsid w:val="007572E8"/>
    <w:rsid w:val="00757561"/>
    <w:rsid w:val="0075756B"/>
    <w:rsid w:val="00760A56"/>
    <w:rsid w:val="00761F28"/>
    <w:rsid w:val="007623A4"/>
    <w:rsid w:val="0076276D"/>
    <w:rsid w:val="0076280E"/>
    <w:rsid w:val="007631E2"/>
    <w:rsid w:val="00763EDB"/>
    <w:rsid w:val="0076426B"/>
    <w:rsid w:val="00764A1D"/>
    <w:rsid w:val="00765182"/>
    <w:rsid w:val="00765F4A"/>
    <w:rsid w:val="007674A0"/>
    <w:rsid w:val="00767CA7"/>
    <w:rsid w:val="007701AE"/>
    <w:rsid w:val="00770598"/>
    <w:rsid w:val="00770FB5"/>
    <w:rsid w:val="00771AE2"/>
    <w:rsid w:val="00771F0A"/>
    <w:rsid w:val="007736FA"/>
    <w:rsid w:val="00773887"/>
    <w:rsid w:val="0077418A"/>
    <w:rsid w:val="00774A51"/>
    <w:rsid w:val="00774DAE"/>
    <w:rsid w:val="007755F5"/>
    <w:rsid w:val="0077609A"/>
    <w:rsid w:val="007764A0"/>
    <w:rsid w:val="00776519"/>
    <w:rsid w:val="00777999"/>
    <w:rsid w:val="0078020A"/>
    <w:rsid w:val="0078115B"/>
    <w:rsid w:val="00782BF8"/>
    <w:rsid w:val="00782F23"/>
    <w:rsid w:val="0078325F"/>
    <w:rsid w:val="007837A3"/>
    <w:rsid w:val="00783AFF"/>
    <w:rsid w:val="00784146"/>
    <w:rsid w:val="00785095"/>
    <w:rsid w:val="0078553E"/>
    <w:rsid w:val="00785762"/>
    <w:rsid w:val="00785A75"/>
    <w:rsid w:val="00786105"/>
    <w:rsid w:val="00786510"/>
    <w:rsid w:val="00786640"/>
    <w:rsid w:val="007867F2"/>
    <w:rsid w:val="0078755B"/>
    <w:rsid w:val="0079046C"/>
    <w:rsid w:val="00790498"/>
    <w:rsid w:val="00790790"/>
    <w:rsid w:val="00790A4F"/>
    <w:rsid w:val="00790DBA"/>
    <w:rsid w:val="0079245A"/>
    <w:rsid w:val="00792DC1"/>
    <w:rsid w:val="00792F8F"/>
    <w:rsid w:val="00793E19"/>
    <w:rsid w:val="00794100"/>
    <w:rsid w:val="0079445C"/>
    <w:rsid w:val="00794EFE"/>
    <w:rsid w:val="007953AE"/>
    <w:rsid w:val="00795A68"/>
    <w:rsid w:val="00795DE2"/>
    <w:rsid w:val="00796BAE"/>
    <w:rsid w:val="00796EEE"/>
    <w:rsid w:val="007A038F"/>
    <w:rsid w:val="007A120D"/>
    <w:rsid w:val="007A13CC"/>
    <w:rsid w:val="007A1B83"/>
    <w:rsid w:val="007A1D20"/>
    <w:rsid w:val="007A34CF"/>
    <w:rsid w:val="007A378F"/>
    <w:rsid w:val="007A43AB"/>
    <w:rsid w:val="007A44A9"/>
    <w:rsid w:val="007A47D7"/>
    <w:rsid w:val="007A4D1E"/>
    <w:rsid w:val="007A5A64"/>
    <w:rsid w:val="007A7AD4"/>
    <w:rsid w:val="007B0B75"/>
    <w:rsid w:val="007B14AE"/>
    <w:rsid w:val="007B1BED"/>
    <w:rsid w:val="007B1FEB"/>
    <w:rsid w:val="007B214B"/>
    <w:rsid w:val="007B30A8"/>
    <w:rsid w:val="007B38B7"/>
    <w:rsid w:val="007B482D"/>
    <w:rsid w:val="007B7B62"/>
    <w:rsid w:val="007B7DFE"/>
    <w:rsid w:val="007B7E84"/>
    <w:rsid w:val="007C132B"/>
    <w:rsid w:val="007C1FAA"/>
    <w:rsid w:val="007C238A"/>
    <w:rsid w:val="007C2667"/>
    <w:rsid w:val="007C266F"/>
    <w:rsid w:val="007C2F3D"/>
    <w:rsid w:val="007C4045"/>
    <w:rsid w:val="007C510E"/>
    <w:rsid w:val="007C543C"/>
    <w:rsid w:val="007C558F"/>
    <w:rsid w:val="007C5677"/>
    <w:rsid w:val="007C5AA5"/>
    <w:rsid w:val="007C5AA7"/>
    <w:rsid w:val="007C68AF"/>
    <w:rsid w:val="007C6AED"/>
    <w:rsid w:val="007C6E7A"/>
    <w:rsid w:val="007C7399"/>
    <w:rsid w:val="007C77A9"/>
    <w:rsid w:val="007C77CE"/>
    <w:rsid w:val="007C7D2A"/>
    <w:rsid w:val="007C7F61"/>
    <w:rsid w:val="007D0490"/>
    <w:rsid w:val="007D04C6"/>
    <w:rsid w:val="007D0E4E"/>
    <w:rsid w:val="007D1A5A"/>
    <w:rsid w:val="007D2445"/>
    <w:rsid w:val="007D37CA"/>
    <w:rsid w:val="007D4D0B"/>
    <w:rsid w:val="007D5202"/>
    <w:rsid w:val="007D53B8"/>
    <w:rsid w:val="007D5883"/>
    <w:rsid w:val="007D5993"/>
    <w:rsid w:val="007D5CD1"/>
    <w:rsid w:val="007D6DC4"/>
    <w:rsid w:val="007D6DF9"/>
    <w:rsid w:val="007D7002"/>
    <w:rsid w:val="007D767D"/>
    <w:rsid w:val="007D7C35"/>
    <w:rsid w:val="007D7C50"/>
    <w:rsid w:val="007E08C5"/>
    <w:rsid w:val="007E163C"/>
    <w:rsid w:val="007E197C"/>
    <w:rsid w:val="007E19E1"/>
    <w:rsid w:val="007E1D23"/>
    <w:rsid w:val="007E23FA"/>
    <w:rsid w:val="007E2817"/>
    <w:rsid w:val="007E2EB8"/>
    <w:rsid w:val="007E3033"/>
    <w:rsid w:val="007E463A"/>
    <w:rsid w:val="007E4C2A"/>
    <w:rsid w:val="007E566E"/>
    <w:rsid w:val="007E5F0C"/>
    <w:rsid w:val="007E648D"/>
    <w:rsid w:val="007E6F79"/>
    <w:rsid w:val="007E75D8"/>
    <w:rsid w:val="007E7939"/>
    <w:rsid w:val="007F0538"/>
    <w:rsid w:val="007F0CE7"/>
    <w:rsid w:val="007F1934"/>
    <w:rsid w:val="007F19C4"/>
    <w:rsid w:val="007F2C1B"/>
    <w:rsid w:val="007F2C86"/>
    <w:rsid w:val="007F3385"/>
    <w:rsid w:val="007F5539"/>
    <w:rsid w:val="007F5AC7"/>
    <w:rsid w:val="007F642C"/>
    <w:rsid w:val="007F70D1"/>
    <w:rsid w:val="007F74E0"/>
    <w:rsid w:val="007F7B7F"/>
    <w:rsid w:val="007F7D33"/>
    <w:rsid w:val="0080010C"/>
    <w:rsid w:val="008008F0"/>
    <w:rsid w:val="00800D50"/>
    <w:rsid w:val="008012CB"/>
    <w:rsid w:val="00801AF2"/>
    <w:rsid w:val="008020AB"/>
    <w:rsid w:val="00803D8F"/>
    <w:rsid w:val="00804232"/>
    <w:rsid w:val="00805332"/>
    <w:rsid w:val="00807570"/>
    <w:rsid w:val="00807948"/>
    <w:rsid w:val="00807F82"/>
    <w:rsid w:val="0081035F"/>
    <w:rsid w:val="0081107A"/>
    <w:rsid w:val="008110B3"/>
    <w:rsid w:val="00811142"/>
    <w:rsid w:val="0081189A"/>
    <w:rsid w:val="00811EC0"/>
    <w:rsid w:val="0081223E"/>
    <w:rsid w:val="00812853"/>
    <w:rsid w:val="00812B53"/>
    <w:rsid w:val="008130DF"/>
    <w:rsid w:val="00813FE4"/>
    <w:rsid w:val="00814182"/>
    <w:rsid w:val="008145C6"/>
    <w:rsid w:val="008148F1"/>
    <w:rsid w:val="008153C5"/>
    <w:rsid w:val="008154EC"/>
    <w:rsid w:val="00815744"/>
    <w:rsid w:val="00815962"/>
    <w:rsid w:val="00817A51"/>
    <w:rsid w:val="008208BE"/>
    <w:rsid w:val="00821376"/>
    <w:rsid w:val="00822544"/>
    <w:rsid w:val="008228E9"/>
    <w:rsid w:val="008236DF"/>
    <w:rsid w:val="00823C1A"/>
    <w:rsid w:val="00823CBE"/>
    <w:rsid w:val="008250C7"/>
    <w:rsid w:val="0082539E"/>
    <w:rsid w:val="00825F35"/>
    <w:rsid w:val="00825F50"/>
    <w:rsid w:val="008263C4"/>
    <w:rsid w:val="00826E8C"/>
    <w:rsid w:val="00826FB6"/>
    <w:rsid w:val="00830C97"/>
    <w:rsid w:val="00830D06"/>
    <w:rsid w:val="0083109F"/>
    <w:rsid w:val="008312FD"/>
    <w:rsid w:val="00831A2C"/>
    <w:rsid w:val="0083257D"/>
    <w:rsid w:val="00832A67"/>
    <w:rsid w:val="008330B0"/>
    <w:rsid w:val="00833476"/>
    <w:rsid w:val="008348B6"/>
    <w:rsid w:val="00834ADD"/>
    <w:rsid w:val="00835884"/>
    <w:rsid w:val="00835C9C"/>
    <w:rsid w:val="00836526"/>
    <w:rsid w:val="008378F9"/>
    <w:rsid w:val="008400F8"/>
    <w:rsid w:val="00840AFA"/>
    <w:rsid w:val="00841201"/>
    <w:rsid w:val="008412B6"/>
    <w:rsid w:val="00841C98"/>
    <w:rsid w:val="00842146"/>
    <w:rsid w:val="00844734"/>
    <w:rsid w:val="0084588E"/>
    <w:rsid w:val="00845C3A"/>
    <w:rsid w:val="00845C9C"/>
    <w:rsid w:val="00845D53"/>
    <w:rsid w:val="008463B8"/>
    <w:rsid w:val="00847571"/>
    <w:rsid w:val="0085000A"/>
    <w:rsid w:val="0085096C"/>
    <w:rsid w:val="00851019"/>
    <w:rsid w:val="008516B9"/>
    <w:rsid w:val="00852D6B"/>
    <w:rsid w:val="00852FFD"/>
    <w:rsid w:val="0085315D"/>
    <w:rsid w:val="008531A3"/>
    <w:rsid w:val="008539FF"/>
    <w:rsid w:val="00854EE0"/>
    <w:rsid w:val="00855A9F"/>
    <w:rsid w:val="00856970"/>
    <w:rsid w:val="008569E5"/>
    <w:rsid w:val="00856A4E"/>
    <w:rsid w:val="00857576"/>
    <w:rsid w:val="00857AED"/>
    <w:rsid w:val="008604AB"/>
    <w:rsid w:val="00861493"/>
    <w:rsid w:val="00861E79"/>
    <w:rsid w:val="008622D0"/>
    <w:rsid w:val="0086238E"/>
    <w:rsid w:val="008625B8"/>
    <w:rsid w:val="00862FF8"/>
    <w:rsid w:val="008638AE"/>
    <w:rsid w:val="00864805"/>
    <w:rsid w:val="0086485B"/>
    <w:rsid w:val="00865931"/>
    <w:rsid w:val="00865BF7"/>
    <w:rsid w:val="0086672B"/>
    <w:rsid w:val="00866D88"/>
    <w:rsid w:val="00867B51"/>
    <w:rsid w:val="00867BDE"/>
    <w:rsid w:val="00867DF1"/>
    <w:rsid w:val="0087040C"/>
    <w:rsid w:val="00871A1A"/>
    <w:rsid w:val="00871C68"/>
    <w:rsid w:val="00872149"/>
    <w:rsid w:val="0087255F"/>
    <w:rsid w:val="008731A3"/>
    <w:rsid w:val="00873459"/>
    <w:rsid w:val="00873C93"/>
    <w:rsid w:val="00873D3F"/>
    <w:rsid w:val="00874B58"/>
    <w:rsid w:val="00875202"/>
    <w:rsid w:val="008753AE"/>
    <w:rsid w:val="00875482"/>
    <w:rsid w:val="00875E00"/>
    <w:rsid w:val="00875EA2"/>
    <w:rsid w:val="00876598"/>
    <w:rsid w:val="008765CD"/>
    <w:rsid w:val="0087662E"/>
    <w:rsid w:val="0087753A"/>
    <w:rsid w:val="00880D24"/>
    <w:rsid w:val="0088112E"/>
    <w:rsid w:val="00881305"/>
    <w:rsid w:val="008816AC"/>
    <w:rsid w:val="00881D15"/>
    <w:rsid w:val="00882843"/>
    <w:rsid w:val="00882AB2"/>
    <w:rsid w:val="00882CFB"/>
    <w:rsid w:val="00882F4D"/>
    <w:rsid w:val="0088335A"/>
    <w:rsid w:val="0088367E"/>
    <w:rsid w:val="0088418F"/>
    <w:rsid w:val="00884CA6"/>
    <w:rsid w:val="00885457"/>
    <w:rsid w:val="008863E5"/>
    <w:rsid w:val="00886875"/>
    <w:rsid w:val="00886B9C"/>
    <w:rsid w:val="008874D2"/>
    <w:rsid w:val="00887BF7"/>
    <w:rsid w:val="008901A7"/>
    <w:rsid w:val="00891505"/>
    <w:rsid w:val="0089175A"/>
    <w:rsid w:val="00892673"/>
    <w:rsid w:val="0089298A"/>
    <w:rsid w:val="00894FC0"/>
    <w:rsid w:val="0089567D"/>
    <w:rsid w:val="0089583A"/>
    <w:rsid w:val="00895D06"/>
    <w:rsid w:val="00896E41"/>
    <w:rsid w:val="008977D1"/>
    <w:rsid w:val="00897989"/>
    <w:rsid w:val="008A0373"/>
    <w:rsid w:val="008A063D"/>
    <w:rsid w:val="008A0B15"/>
    <w:rsid w:val="008A20D5"/>
    <w:rsid w:val="008A3A0B"/>
    <w:rsid w:val="008A3CD8"/>
    <w:rsid w:val="008A401C"/>
    <w:rsid w:val="008A5CCB"/>
    <w:rsid w:val="008A6039"/>
    <w:rsid w:val="008A63F2"/>
    <w:rsid w:val="008A7EDB"/>
    <w:rsid w:val="008A7F7D"/>
    <w:rsid w:val="008B003C"/>
    <w:rsid w:val="008B143C"/>
    <w:rsid w:val="008B17FA"/>
    <w:rsid w:val="008B3630"/>
    <w:rsid w:val="008B4097"/>
    <w:rsid w:val="008B49B5"/>
    <w:rsid w:val="008B4B85"/>
    <w:rsid w:val="008B4C8B"/>
    <w:rsid w:val="008B4E73"/>
    <w:rsid w:val="008B51EE"/>
    <w:rsid w:val="008B5894"/>
    <w:rsid w:val="008B5C1F"/>
    <w:rsid w:val="008B6882"/>
    <w:rsid w:val="008B6C4F"/>
    <w:rsid w:val="008B6E75"/>
    <w:rsid w:val="008B6FE6"/>
    <w:rsid w:val="008B70E6"/>
    <w:rsid w:val="008B721D"/>
    <w:rsid w:val="008B722C"/>
    <w:rsid w:val="008B7298"/>
    <w:rsid w:val="008B7636"/>
    <w:rsid w:val="008C07CF"/>
    <w:rsid w:val="008C0F83"/>
    <w:rsid w:val="008C22B0"/>
    <w:rsid w:val="008C2762"/>
    <w:rsid w:val="008C2793"/>
    <w:rsid w:val="008C2F1D"/>
    <w:rsid w:val="008C32E8"/>
    <w:rsid w:val="008C35CA"/>
    <w:rsid w:val="008C3DF8"/>
    <w:rsid w:val="008C4CA7"/>
    <w:rsid w:val="008C58D6"/>
    <w:rsid w:val="008C5CB4"/>
    <w:rsid w:val="008C604E"/>
    <w:rsid w:val="008C7087"/>
    <w:rsid w:val="008C714F"/>
    <w:rsid w:val="008C71A0"/>
    <w:rsid w:val="008C7371"/>
    <w:rsid w:val="008C77F0"/>
    <w:rsid w:val="008D0241"/>
    <w:rsid w:val="008D02BC"/>
    <w:rsid w:val="008D0437"/>
    <w:rsid w:val="008D0619"/>
    <w:rsid w:val="008D10C9"/>
    <w:rsid w:val="008D254E"/>
    <w:rsid w:val="008D28DA"/>
    <w:rsid w:val="008D291F"/>
    <w:rsid w:val="008D29B7"/>
    <w:rsid w:val="008D4980"/>
    <w:rsid w:val="008D5710"/>
    <w:rsid w:val="008D5D14"/>
    <w:rsid w:val="008D5F4A"/>
    <w:rsid w:val="008D71CD"/>
    <w:rsid w:val="008D7297"/>
    <w:rsid w:val="008D7383"/>
    <w:rsid w:val="008D7AA9"/>
    <w:rsid w:val="008E0218"/>
    <w:rsid w:val="008E119D"/>
    <w:rsid w:val="008E20F9"/>
    <w:rsid w:val="008E21FD"/>
    <w:rsid w:val="008E2306"/>
    <w:rsid w:val="008E243B"/>
    <w:rsid w:val="008E33BD"/>
    <w:rsid w:val="008E3BAE"/>
    <w:rsid w:val="008E3E36"/>
    <w:rsid w:val="008E3FB0"/>
    <w:rsid w:val="008E4670"/>
    <w:rsid w:val="008E4CB2"/>
    <w:rsid w:val="008E54AE"/>
    <w:rsid w:val="008E54F3"/>
    <w:rsid w:val="008E5641"/>
    <w:rsid w:val="008E60CA"/>
    <w:rsid w:val="008E6CBF"/>
    <w:rsid w:val="008F0B8F"/>
    <w:rsid w:val="008F0D89"/>
    <w:rsid w:val="008F181B"/>
    <w:rsid w:val="008F1BB6"/>
    <w:rsid w:val="008F30FC"/>
    <w:rsid w:val="008F3F43"/>
    <w:rsid w:val="008F42A0"/>
    <w:rsid w:val="008F46AD"/>
    <w:rsid w:val="008F67DB"/>
    <w:rsid w:val="008F6D57"/>
    <w:rsid w:val="008F7334"/>
    <w:rsid w:val="008F75C0"/>
    <w:rsid w:val="009006B4"/>
    <w:rsid w:val="00900D94"/>
    <w:rsid w:val="00900FE5"/>
    <w:rsid w:val="009018AE"/>
    <w:rsid w:val="00901BD9"/>
    <w:rsid w:val="00901E87"/>
    <w:rsid w:val="0090241D"/>
    <w:rsid w:val="00902754"/>
    <w:rsid w:val="00902769"/>
    <w:rsid w:val="009035EC"/>
    <w:rsid w:val="00904958"/>
    <w:rsid w:val="00905456"/>
    <w:rsid w:val="009061AD"/>
    <w:rsid w:val="0090738C"/>
    <w:rsid w:val="00907568"/>
    <w:rsid w:val="0090788F"/>
    <w:rsid w:val="00907DA7"/>
    <w:rsid w:val="00910AAC"/>
    <w:rsid w:val="009113DD"/>
    <w:rsid w:val="00911A30"/>
    <w:rsid w:val="00911DA1"/>
    <w:rsid w:val="00912761"/>
    <w:rsid w:val="0091279F"/>
    <w:rsid w:val="00912E40"/>
    <w:rsid w:val="00913572"/>
    <w:rsid w:val="00914389"/>
    <w:rsid w:val="00914BD9"/>
    <w:rsid w:val="00915558"/>
    <w:rsid w:val="00916472"/>
    <w:rsid w:val="00920540"/>
    <w:rsid w:val="0092133B"/>
    <w:rsid w:val="00922333"/>
    <w:rsid w:val="009223B1"/>
    <w:rsid w:val="0092366F"/>
    <w:rsid w:val="00923AF2"/>
    <w:rsid w:val="00923E13"/>
    <w:rsid w:val="009254F5"/>
    <w:rsid w:val="00925D41"/>
    <w:rsid w:val="00925E9F"/>
    <w:rsid w:val="00926006"/>
    <w:rsid w:val="009260FA"/>
    <w:rsid w:val="009266F7"/>
    <w:rsid w:val="00927852"/>
    <w:rsid w:val="009304BC"/>
    <w:rsid w:val="009317CC"/>
    <w:rsid w:val="009317D4"/>
    <w:rsid w:val="009319A0"/>
    <w:rsid w:val="0093259B"/>
    <w:rsid w:val="009326ED"/>
    <w:rsid w:val="00932F93"/>
    <w:rsid w:val="009348C0"/>
    <w:rsid w:val="00935704"/>
    <w:rsid w:val="00935863"/>
    <w:rsid w:val="00935E05"/>
    <w:rsid w:val="009361DE"/>
    <w:rsid w:val="009363E4"/>
    <w:rsid w:val="00936E42"/>
    <w:rsid w:val="009379BB"/>
    <w:rsid w:val="00937AD5"/>
    <w:rsid w:val="009407E6"/>
    <w:rsid w:val="00941B3C"/>
    <w:rsid w:val="00941B50"/>
    <w:rsid w:val="00941E43"/>
    <w:rsid w:val="00942C37"/>
    <w:rsid w:val="00943021"/>
    <w:rsid w:val="009433DE"/>
    <w:rsid w:val="00943574"/>
    <w:rsid w:val="009435D1"/>
    <w:rsid w:val="00943963"/>
    <w:rsid w:val="00943F8C"/>
    <w:rsid w:val="00946283"/>
    <w:rsid w:val="0094691A"/>
    <w:rsid w:val="009470C3"/>
    <w:rsid w:val="009476E0"/>
    <w:rsid w:val="00947880"/>
    <w:rsid w:val="00947EFE"/>
    <w:rsid w:val="00947FBB"/>
    <w:rsid w:val="009500E3"/>
    <w:rsid w:val="00950163"/>
    <w:rsid w:val="00950691"/>
    <w:rsid w:val="009509A5"/>
    <w:rsid w:val="00950C05"/>
    <w:rsid w:val="00950CB1"/>
    <w:rsid w:val="009517D3"/>
    <w:rsid w:val="00951969"/>
    <w:rsid w:val="00951A89"/>
    <w:rsid w:val="00951B8F"/>
    <w:rsid w:val="00951D81"/>
    <w:rsid w:val="00952975"/>
    <w:rsid w:val="00953577"/>
    <w:rsid w:val="009538F3"/>
    <w:rsid w:val="00953E80"/>
    <w:rsid w:val="009543FF"/>
    <w:rsid w:val="009546E4"/>
    <w:rsid w:val="0095494F"/>
    <w:rsid w:val="00954DB1"/>
    <w:rsid w:val="009558D3"/>
    <w:rsid w:val="00955C91"/>
    <w:rsid w:val="009560CF"/>
    <w:rsid w:val="009565C0"/>
    <w:rsid w:val="00956FDF"/>
    <w:rsid w:val="00957003"/>
    <w:rsid w:val="0095724F"/>
    <w:rsid w:val="00960023"/>
    <w:rsid w:val="00960C14"/>
    <w:rsid w:val="00961324"/>
    <w:rsid w:val="009614F7"/>
    <w:rsid w:val="0096206F"/>
    <w:rsid w:val="00963155"/>
    <w:rsid w:val="00963156"/>
    <w:rsid w:val="00963213"/>
    <w:rsid w:val="009646D8"/>
    <w:rsid w:val="0096498D"/>
    <w:rsid w:val="0096500E"/>
    <w:rsid w:val="00965FAA"/>
    <w:rsid w:val="00966DAC"/>
    <w:rsid w:val="00967A86"/>
    <w:rsid w:val="009700B3"/>
    <w:rsid w:val="00970438"/>
    <w:rsid w:val="00970558"/>
    <w:rsid w:val="00970A03"/>
    <w:rsid w:val="00970DE9"/>
    <w:rsid w:val="00970F97"/>
    <w:rsid w:val="00971F81"/>
    <w:rsid w:val="00972149"/>
    <w:rsid w:val="009721BA"/>
    <w:rsid w:val="00972CD8"/>
    <w:rsid w:val="00972E7F"/>
    <w:rsid w:val="00972EB8"/>
    <w:rsid w:val="00973231"/>
    <w:rsid w:val="00973911"/>
    <w:rsid w:val="00973B0E"/>
    <w:rsid w:val="00973FAE"/>
    <w:rsid w:val="00974C30"/>
    <w:rsid w:val="00974D47"/>
    <w:rsid w:val="00975F1A"/>
    <w:rsid w:val="00976D59"/>
    <w:rsid w:val="00977C8E"/>
    <w:rsid w:val="0098146E"/>
    <w:rsid w:val="009816B5"/>
    <w:rsid w:val="00981D2F"/>
    <w:rsid w:val="009825DD"/>
    <w:rsid w:val="00982D6B"/>
    <w:rsid w:val="00985613"/>
    <w:rsid w:val="00987892"/>
    <w:rsid w:val="00987D0A"/>
    <w:rsid w:val="0099040B"/>
    <w:rsid w:val="0099098D"/>
    <w:rsid w:val="00990E42"/>
    <w:rsid w:val="00991285"/>
    <w:rsid w:val="00992395"/>
    <w:rsid w:val="0099245C"/>
    <w:rsid w:val="0099256B"/>
    <w:rsid w:val="00992699"/>
    <w:rsid w:val="00992EF0"/>
    <w:rsid w:val="0099325F"/>
    <w:rsid w:val="00993C87"/>
    <w:rsid w:val="00993CAD"/>
    <w:rsid w:val="009956CA"/>
    <w:rsid w:val="00996821"/>
    <w:rsid w:val="00997219"/>
    <w:rsid w:val="0099737B"/>
    <w:rsid w:val="00997C79"/>
    <w:rsid w:val="009A1C0C"/>
    <w:rsid w:val="009A22EE"/>
    <w:rsid w:val="009A3048"/>
    <w:rsid w:val="009A3206"/>
    <w:rsid w:val="009A3418"/>
    <w:rsid w:val="009A3946"/>
    <w:rsid w:val="009A522B"/>
    <w:rsid w:val="009A53BD"/>
    <w:rsid w:val="009A7087"/>
    <w:rsid w:val="009A7226"/>
    <w:rsid w:val="009A76E5"/>
    <w:rsid w:val="009A79F7"/>
    <w:rsid w:val="009A7BD9"/>
    <w:rsid w:val="009B16CD"/>
    <w:rsid w:val="009B1AB2"/>
    <w:rsid w:val="009B1FC6"/>
    <w:rsid w:val="009B2370"/>
    <w:rsid w:val="009B30E3"/>
    <w:rsid w:val="009B3799"/>
    <w:rsid w:val="009B3952"/>
    <w:rsid w:val="009B40D6"/>
    <w:rsid w:val="009B4574"/>
    <w:rsid w:val="009B4AD5"/>
    <w:rsid w:val="009B512B"/>
    <w:rsid w:val="009B5581"/>
    <w:rsid w:val="009B65D0"/>
    <w:rsid w:val="009B6816"/>
    <w:rsid w:val="009B696E"/>
    <w:rsid w:val="009B71E7"/>
    <w:rsid w:val="009B7D39"/>
    <w:rsid w:val="009C00D9"/>
    <w:rsid w:val="009C0657"/>
    <w:rsid w:val="009C1336"/>
    <w:rsid w:val="009C1591"/>
    <w:rsid w:val="009C2515"/>
    <w:rsid w:val="009C3930"/>
    <w:rsid w:val="009C3C21"/>
    <w:rsid w:val="009C3C27"/>
    <w:rsid w:val="009C3ECF"/>
    <w:rsid w:val="009C4121"/>
    <w:rsid w:val="009C4852"/>
    <w:rsid w:val="009C4DE5"/>
    <w:rsid w:val="009C5675"/>
    <w:rsid w:val="009C5D19"/>
    <w:rsid w:val="009C5FFF"/>
    <w:rsid w:val="009C7EEC"/>
    <w:rsid w:val="009D01EE"/>
    <w:rsid w:val="009D0A93"/>
    <w:rsid w:val="009D1AC2"/>
    <w:rsid w:val="009D28EC"/>
    <w:rsid w:val="009D303F"/>
    <w:rsid w:val="009D312E"/>
    <w:rsid w:val="009D31CD"/>
    <w:rsid w:val="009D3310"/>
    <w:rsid w:val="009D381D"/>
    <w:rsid w:val="009D4794"/>
    <w:rsid w:val="009D5097"/>
    <w:rsid w:val="009D54FD"/>
    <w:rsid w:val="009D656B"/>
    <w:rsid w:val="009D6E07"/>
    <w:rsid w:val="009D7EAA"/>
    <w:rsid w:val="009E13AE"/>
    <w:rsid w:val="009E29A5"/>
    <w:rsid w:val="009E3289"/>
    <w:rsid w:val="009E37D5"/>
    <w:rsid w:val="009E3DD6"/>
    <w:rsid w:val="009E40E1"/>
    <w:rsid w:val="009E4360"/>
    <w:rsid w:val="009E4EED"/>
    <w:rsid w:val="009E5664"/>
    <w:rsid w:val="009E5A01"/>
    <w:rsid w:val="009E61C4"/>
    <w:rsid w:val="009E6825"/>
    <w:rsid w:val="009E689A"/>
    <w:rsid w:val="009F0C05"/>
    <w:rsid w:val="009F1A4A"/>
    <w:rsid w:val="009F2014"/>
    <w:rsid w:val="009F2A31"/>
    <w:rsid w:val="009F2B21"/>
    <w:rsid w:val="009F31C5"/>
    <w:rsid w:val="009F3433"/>
    <w:rsid w:val="009F418C"/>
    <w:rsid w:val="009F4294"/>
    <w:rsid w:val="009F497D"/>
    <w:rsid w:val="009F5171"/>
    <w:rsid w:val="009F58EB"/>
    <w:rsid w:val="009F5D78"/>
    <w:rsid w:val="00A01465"/>
    <w:rsid w:val="00A0221C"/>
    <w:rsid w:val="00A027C7"/>
    <w:rsid w:val="00A02C50"/>
    <w:rsid w:val="00A02D03"/>
    <w:rsid w:val="00A02E26"/>
    <w:rsid w:val="00A02EFC"/>
    <w:rsid w:val="00A03468"/>
    <w:rsid w:val="00A03D5D"/>
    <w:rsid w:val="00A03DC2"/>
    <w:rsid w:val="00A055AF"/>
    <w:rsid w:val="00A05604"/>
    <w:rsid w:val="00A05CB1"/>
    <w:rsid w:val="00A06259"/>
    <w:rsid w:val="00A06926"/>
    <w:rsid w:val="00A06944"/>
    <w:rsid w:val="00A06E2A"/>
    <w:rsid w:val="00A072B2"/>
    <w:rsid w:val="00A10713"/>
    <w:rsid w:val="00A10720"/>
    <w:rsid w:val="00A10DDE"/>
    <w:rsid w:val="00A10FC0"/>
    <w:rsid w:val="00A110C9"/>
    <w:rsid w:val="00A112F6"/>
    <w:rsid w:val="00A11A16"/>
    <w:rsid w:val="00A13660"/>
    <w:rsid w:val="00A1418C"/>
    <w:rsid w:val="00A14A2C"/>
    <w:rsid w:val="00A15EED"/>
    <w:rsid w:val="00A16556"/>
    <w:rsid w:val="00A172F0"/>
    <w:rsid w:val="00A20075"/>
    <w:rsid w:val="00A2037F"/>
    <w:rsid w:val="00A209FA"/>
    <w:rsid w:val="00A21DF4"/>
    <w:rsid w:val="00A221E5"/>
    <w:rsid w:val="00A23863"/>
    <w:rsid w:val="00A23D99"/>
    <w:rsid w:val="00A248B3"/>
    <w:rsid w:val="00A257B4"/>
    <w:rsid w:val="00A25839"/>
    <w:rsid w:val="00A25E47"/>
    <w:rsid w:val="00A25EB8"/>
    <w:rsid w:val="00A26330"/>
    <w:rsid w:val="00A26D35"/>
    <w:rsid w:val="00A30369"/>
    <w:rsid w:val="00A3097D"/>
    <w:rsid w:val="00A31628"/>
    <w:rsid w:val="00A31A1C"/>
    <w:rsid w:val="00A32B1F"/>
    <w:rsid w:val="00A33ACA"/>
    <w:rsid w:val="00A33ADD"/>
    <w:rsid w:val="00A33BBD"/>
    <w:rsid w:val="00A33F89"/>
    <w:rsid w:val="00A344CA"/>
    <w:rsid w:val="00A36B8D"/>
    <w:rsid w:val="00A372F9"/>
    <w:rsid w:val="00A37703"/>
    <w:rsid w:val="00A37EAF"/>
    <w:rsid w:val="00A37FAC"/>
    <w:rsid w:val="00A40436"/>
    <w:rsid w:val="00A40574"/>
    <w:rsid w:val="00A40A52"/>
    <w:rsid w:val="00A40EE9"/>
    <w:rsid w:val="00A4116A"/>
    <w:rsid w:val="00A42475"/>
    <w:rsid w:val="00A4276E"/>
    <w:rsid w:val="00A42B7A"/>
    <w:rsid w:val="00A43330"/>
    <w:rsid w:val="00A4376E"/>
    <w:rsid w:val="00A43C92"/>
    <w:rsid w:val="00A43DA8"/>
    <w:rsid w:val="00A43FA8"/>
    <w:rsid w:val="00A44FCA"/>
    <w:rsid w:val="00A456AE"/>
    <w:rsid w:val="00A45765"/>
    <w:rsid w:val="00A4606E"/>
    <w:rsid w:val="00A46122"/>
    <w:rsid w:val="00A46731"/>
    <w:rsid w:val="00A469F3"/>
    <w:rsid w:val="00A46D5F"/>
    <w:rsid w:val="00A4701C"/>
    <w:rsid w:val="00A476CD"/>
    <w:rsid w:val="00A47D45"/>
    <w:rsid w:val="00A50023"/>
    <w:rsid w:val="00A5062F"/>
    <w:rsid w:val="00A51C1C"/>
    <w:rsid w:val="00A51D2D"/>
    <w:rsid w:val="00A5206E"/>
    <w:rsid w:val="00A5274B"/>
    <w:rsid w:val="00A52E01"/>
    <w:rsid w:val="00A5328D"/>
    <w:rsid w:val="00A53CFC"/>
    <w:rsid w:val="00A54712"/>
    <w:rsid w:val="00A55287"/>
    <w:rsid w:val="00A563AA"/>
    <w:rsid w:val="00A57054"/>
    <w:rsid w:val="00A601D3"/>
    <w:rsid w:val="00A6022A"/>
    <w:rsid w:val="00A604A1"/>
    <w:rsid w:val="00A607CB"/>
    <w:rsid w:val="00A609A4"/>
    <w:rsid w:val="00A6159F"/>
    <w:rsid w:val="00A61F49"/>
    <w:rsid w:val="00A621E2"/>
    <w:rsid w:val="00A62394"/>
    <w:rsid w:val="00A62616"/>
    <w:rsid w:val="00A627AF"/>
    <w:rsid w:val="00A62CEB"/>
    <w:rsid w:val="00A63567"/>
    <w:rsid w:val="00A636E0"/>
    <w:rsid w:val="00A6432B"/>
    <w:rsid w:val="00A64425"/>
    <w:rsid w:val="00A6459F"/>
    <w:rsid w:val="00A653ED"/>
    <w:rsid w:val="00A662A5"/>
    <w:rsid w:val="00A66587"/>
    <w:rsid w:val="00A672C2"/>
    <w:rsid w:val="00A677DB"/>
    <w:rsid w:val="00A6784E"/>
    <w:rsid w:val="00A7025C"/>
    <w:rsid w:val="00A715D2"/>
    <w:rsid w:val="00A7164E"/>
    <w:rsid w:val="00A72630"/>
    <w:rsid w:val="00A729ED"/>
    <w:rsid w:val="00A72AA8"/>
    <w:rsid w:val="00A72C82"/>
    <w:rsid w:val="00A73979"/>
    <w:rsid w:val="00A74001"/>
    <w:rsid w:val="00A749B2"/>
    <w:rsid w:val="00A75B96"/>
    <w:rsid w:val="00A75E8F"/>
    <w:rsid w:val="00A763F1"/>
    <w:rsid w:val="00A764DE"/>
    <w:rsid w:val="00A77512"/>
    <w:rsid w:val="00A81512"/>
    <w:rsid w:val="00A81894"/>
    <w:rsid w:val="00A81A40"/>
    <w:rsid w:val="00A82205"/>
    <w:rsid w:val="00A827F7"/>
    <w:rsid w:val="00A83666"/>
    <w:rsid w:val="00A843DA"/>
    <w:rsid w:val="00A84917"/>
    <w:rsid w:val="00A849E4"/>
    <w:rsid w:val="00A84AB5"/>
    <w:rsid w:val="00A84C43"/>
    <w:rsid w:val="00A852B7"/>
    <w:rsid w:val="00A854B4"/>
    <w:rsid w:val="00A858C5"/>
    <w:rsid w:val="00A859BC"/>
    <w:rsid w:val="00A859DA"/>
    <w:rsid w:val="00A85B56"/>
    <w:rsid w:val="00A86218"/>
    <w:rsid w:val="00A8635B"/>
    <w:rsid w:val="00A863BF"/>
    <w:rsid w:val="00A87555"/>
    <w:rsid w:val="00A87C19"/>
    <w:rsid w:val="00A87D47"/>
    <w:rsid w:val="00A900C5"/>
    <w:rsid w:val="00A907A8"/>
    <w:rsid w:val="00A91512"/>
    <w:rsid w:val="00A91CFE"/>
    <w:rsid w:val="00A92C35"/>
    <w:rsid w:val="00A93FD3"/>
    <w:rsid w:val="00A94C83"/>
    <w:rsid w:val="00A94DC5"/>
    <w:rsid w:val="00A9507A"/>
    <w:rsid w:val="00A95418"/>
    <w:rsid w:val="00A959FE"/>
    <w:rsid w:val="00A95BB8"/>
    <w:rsid w:val="00A95D62"/>
    <w:rsid w:val="00A95ECF"/>
    <w:rsid w:val="00A965E5"/>
    <w:rsid w:val="00A974FE"/>
    <w:rsid w:val="00A97FA2"/>
    <w:rsid w:val="00AA05DD"/>
    <w:rsid w:val="00AA104E"/>
    <w:rsid w:val="00AA16EA"/>
    <w:rsid w:val="00AA20F7"/>
    <w:rsid w:val="00AA21E8"/>
    <w:rsid w:val="00AA21EF"/>
    <w:rsid w:val="00AA2CCB"/>
    <w:rsid w:val="00AA2DC2"/>
    <w:rsid w:val="00AA4611"/>
    <w:rsid w:val="00AA4634"/>
    <w:rsid w:val="00AA4F67"/>
    <w:rsid w:val="00AA52C1"/>
    <w:rsid w:val="00AA5503"/>
    <w:rsid w:val="00AA56C6"/>
    <w:rsid w:val="00AA5D00"/>
    <w:rsid w:val="00AA632E"/>
    <w:rsid w:val="00AA6557"/>
    <w:rsid w:val="00AA7A4D"/>
    <w:rsid w:val="00AB0818"/>
    <w:rsid w:val="00AB1342"/>
    <w:rsid w:val="00AB1E43"/>
    <w:rsid w:val="00AB2A28"/>
    <w:rsid w:val="00AB37D6"/>
    <w:rsid w:val="00AB3870"/>
    <w:rsid w:val="00AB3B19"/>
    <w:rsid w:val="00AB5801"/>
    <w:rsid w:val="00AB6018"/>
    <w:rsid w:val="00AB7448"/>
    <w:rsid w:val="00AC0489"/>
    <w:rsid w:val="00AC0555"/>
    <w:rsid w:val="00AC0DA0"/>
    <w:rsid w:val="00AC0DD7"/>
    <w:rsid w:val="00AC1755"/>
    <w:rsid w:val="00AC1DFF"/>
    <w:rsid w:val="00AC229D"/>
    <w:rsid w:val="00AC24DB"/>
    <w:rsid w:val="00AC2F95"/>
    <w:rsid w:val="00AC49A9"/>
    <w:rsid w:val="00AC4D6F"/>
    <w:rsid w:val="00AC5FBC"/>
    <w:rsid w:val="00AC69CF"/>
    <w:rsid w:val="00AD0603"/>
    <w:rsid w:val="00AD0A14"/>
    <w:rsid w:val="00AD0F92"/>
    <w:rsid w:val="00AD117B"/>
    <w:rsid w:val="00AD152D"/>
    <w:rsid w:val="00AD1AEF"/>
    <w:rsid w:val="00AD20D4"/>
    <w:rsid w:val="00AD20F1"/>
    <w:rsid w:val="00AD22E1"/>
    <w:rsid w:val="00AD26D2"/>
    <w:rsid w:val="00AD2BD0"/>
    <w:rsid w:val="00AD2E23"/>
    <w:rsid w:val="00AD325E"/>
    <w:rsid w:val="00AD3717"/>
    <w:rsid w:val="00AD4293"/>
    <w:rsid w:val="00AD4924"/>
    <w:rsid w:val="00AD588F"/>
    <w:rsid w:val="00AD67FB"/>
    <w:rsid w:val="00AE0005"/>
    <w:rsid w:val="00AE01B8"/>
    <w:rsid w:val="00AE0488"/>
    <w:rsid w:val="00AE0BAC"/>
    <w:rsid w:val="00AE0EFC"/>
    <w:rsid w:val="00AE16E3"/>
    <w:rsid w:val="00AE19AD"/>
    <w:rsid w:val="00AE1F7E"/>
    <w:rsid w:val="00AE2185"/>
    <w:rsid w:val="00AE2893"/>
    <w:rsid w:val="00AE3354"/>
    <w:rsid w:val="00AE3532"/>
    <w:rsid w:val="00AE3A80"/>
    <w:rsid w:val="00AE4547"/>
    <w:rsid w:val="00AE4666"/>
    <w:rsid w:val="00AE4776"/>
    <w:rsid w:val="00AE4BB1"/>
    <w:rsid w:val="00AE4EB2"/>
    <w:rsid w:val="00AE5072"/>
    <w:rsid w:val="00AE5471"/>
    <w:rsid w:val="00AE54F3"/>
    <w:rsid w:val="00AE55ED"/>
    <w:rsid w:val="00AE5732"/>
    <w:rsid w:val="00AE5B84"/>
    <w:rsid w:val="00AE5DDF"/>
    <w:rsid w:val="00AE6AB0"/>
    <w:rsid w:val="00AE6C24"/>
    <w:rsid w:val="00AF08A3"/>
    <w:rsid w:val="00AF098E"/>
    <w:rsid w:val="00AF18FA"/>
    <w:rsid w:val="00AF2207"/>
    <w:rsid w:val="00AF27C4"/>
    <w:rsid w:val="00AF3383"/>
    <w:rsid w:val="00AF344D"/>
    <w:rsid w:val="00AF415F"/>
    <w:rsid w:val="00AF5077"/>
    <w:rsid w:val="00AF5840"/>
    <w:rsid w:val="00AF6321"/>
    <w:rsid w:val="00AF6511"/>
    <w:rsid w:val="00AF666A"/>
    <w:rsid w:val="00AF6911"/>
    <w:rsid w:val="00AF6E3B"/>
    <w:rsid w:val="00AF72EF"/>
    <w:rsid w:val="00AF7A90"/>
    <w:rsid w:val="00AF7E22"/>
    <w:rsid w:val="00AF7E27"/>
    <w:rsid w:val="00AF7E43"/>
    <w:rsid w:val="00AF7FA6"/>
    <w:rsid w:val="00B00232"/>
    <w:rsid w:val="00B0052A"/>
    <w:rsid w:val="00B0076F"/>
    <w:rsid w:val="00B00E8A"/>
    <w:rsid w:val="00B00EB2"/>
    <w:rsid w:val="00B01923"/>
    <w:rsid w:val="00B020D9"/>
    <w:rsid w:val="00B02670"/>
    <w:rsid w:val="00B02D72"/>
    <w:rsid w:val="00B03E19"/>
    <w:rsid w:val="00B03EB0"/>
    <w:rsid w:val="00B06042"/>
    <w:rsid w:val="00B075C7"/>
    <w:rsid w:val="00B079F2"/>
    <w:rsid w:val="00B103E2"/>
    <w:rsid w:val="00B10624"/>
    <w:rsid w:val="00B10B25"/>
    <w:rsid w:val="00B10CFE"/>
    <w:rsid w:val="00B11343"/>
    <w:rsid w:val="00B11AFA"/>
    <w:rsid w:val="00B121F9"/>
    <w:rsid w:val="00B12DF9"/>
    <w:rsid w:val="00B12E8F"/>
    <w:rsid w:val="00B12FF1"/>
    <w:rsid w:val="00B1378E"/>
    <w:rsid w:val="00B1400D"/>
    <w:rsid w:val="00B141C1"/>
    <w:rsid w:val="00B144B6"/>
    <w:rsid w:val="00B1574D"/>
    <w:rsid w:val="00B15778"/>
    <w:rsid w:val="00B15E0C"/>
    <w:rsid w:val="00B15FD7"/>
    <w:rsid w:val="00B161ED"/>
    <w:rsid w:val="00B16A1F"/>
    <w:rsid w:val="00B171A3"/>
    <w:rsid w:val="00B177B8"/>
    <w:rsid w:val="00B17BCA"/>
    <w:rsid w:val="00B20482"/>
    <w:rsid w:val="00B20A1D"/>
    <w:rsid w:val="00B20A2E"/>
    <w:rsid w:val="00B20C92"/>
    <w:rsid w:val="00B21445"/>
    <w:rsid w:val="00B21695"/>
    <w:rsid w:val="00B21B36"/>
    <w:rsid w:val="00B22842"/>
    <w:rsid w:val="00B235E6"/>
    <w:rsid w:val="00B23B00"/>
    <w:rsid w:val="00B24030"/>
    <w:rsid w:val="00B24DB6"/>
    <w:rsid w:val="00B259FE"/>
    <w:rsid w:val="00B262F3"/>
    <w:rsid w:val="00B2652E"/>
    <w:rsid w:val="00B303B1"/>
    <w:rsid w:val="00B30E8D"/>
    <w:rsid w:val="00B31AE9"/>
    <w:rsid w:val="00B31B02"/>
    <w:rsid w:val="00B31BBA"/>
    <w:rsid w:val="00B320AE"/>
    <w:rsid w:val="00B3265D"/>
    <w:rsid w:val="00B3282F"/>
    <w:rsid w:val="00B32D47"/>
    <w:rsid w:val="00B32D86"/>
    <w:rsid w:val="00B33273"/>
    <w:rsid w:val="00B3416D"/>
    <w:rsid w:val="00B3417F"/>
    <w:rsid w:val="00B34373"/>
    <w:rsid w:val="00B34D9C"/>
    <w:rsid w:val="00B35AC0"/>
    <w:rsid w:val="00B36EF0"/>
    <w:rsid w:val="00B406C9"/>
    <w:rsid w:val="00B4194B"/>
    <w:rsid w:val="00B41A65"/>
    <w:rsid w:val="00B41F46"/>
    <w:rsid w:val="00B4308C"/>
    <w:rsid w:val="00B4372D"/>
    <w:rsid w:val="00B43FAE"/>
    <w:rsid w:val="00B4403C"/>
    <w:rsid w:val="00B4481E"/>
    <w:rsid w:val="00B44F14"/>
    <w:rsid w:val="00B45101"/>
    <w:rsid w:val="00B4583E"/>
    <w:rsid w:val="00B45D8D"/>
    <w:rsid w:val="00B46B3A"/>
    <w:rsid w:val="00B47656"/>
    <w:rsid w:val="00B47CCD"/>
    <w:rsid w:val="00B507E3"/>
    <w:rsid w:val="00B50F86"/>
    <w:rsid w:val="00B51743"/>
    <w:rsid w:val="00B52A80"/>
    <w:rsid w:val="00B53973"/>
    <w:rsid w:val="00B54907"/>
    <w:rsid w:val="00B5564E"/>
    <w:rsid w:val="00B55665"/>
    <w:rsid w:val="00B557D1"/>
    <w:rsid w:val="00B563B5"/>
    <w:rsid w:val="00B56902"/>
    <w:rsid w:val="00B5784D"/>
    <w:rsid w:val="00B57943"/>
    <w:rsid w:val="00B57A5F"/>
    <w:rsid w:val="00B6027A"/>
    <w:rsid w:val="00B60A69"/>
    <w:rsid w:val="00B611D9"/>
    <w:rsid w:val="00B61746"/>
    <w:rsid w:val="00B61D83"/>
    <w:rsid w:val="00B62714"/>
    <w:rsid w:val="00B62F2E"/>
    <w:rsid w:val="00B639C3"/>
    <w:rsid w:val="00B642B3"/>
    <w:rsid w:val="00B647DA"/>
    <w:rsid w:val="00B650E9"/>
    <w:rsid w:val="00B655FB"/>
    <w:rsid w:val="00B6579F"/>
    <w:rsid w:val="00B65B80"/>
    <w:rsid w:val="00B663E9"/>
    <w:rsid w:val="00B66A6F"/>
    <w:rsid w:val="00B66B3A"/>
    <w:rsid w:val="00B66BCD"/>
    <w:rsid w:val="00B66D2E"/>
    <w:rsid w:val="00B673B5"/>
    <w:rsid w:val="00B67D72"/>
    <w:rsid w:val="00B70C1F"/>
    <w:rsid w:val="00B714E0"/>
    <w:rsid w:val="00B715DC"/>
    <w:rsid w:val="00B717FA"/>
    <w:rsid w:val="00B71EA3"/>
    <w:rsid w:val="00B73CDD"/>
    <w:rsid w:val="00B74271"/>
    <w:rsid w:val="00B74ABC"/>
    <w:rsid w:val="00B74CF8"/>
    <w:rsid w:val="00B752E5"/>
    <w:rsid w:val="00B755ED"/>
    <w:rsid w:val="00B75D59"/>
    <w:rsid w:val="00B7653B"/>
    <w:rsid w:val="00B771C4"/>
    <w:rsid w:val="00B7721A"/>
    <w:rsid w:val="00B804C2"/>
    <w:rsid w:val="00B80BBE"/>
    <w:rsid w:val="00B810D2"/>
    <w:rsid w:val="00B81FE4"/>
    <w:rsid w:val="00B82A60"/>
    <w:rsid w:val="00B833E3"/>
    <w:rsid w:val="00B84CB5"/>
    <w:rsid w:val="00B84E9D"/>
    <w:rsid w:val="00B85067"/>
    <w:rsid w:val="00B859E8"/>
    <w:rsid w:val="00B85B9C"/>
    <w:rsid w:val="00B86608"/>
    <w:rsid w:val="00B86B53"/>
    <w:rsid w:val="00B878C2"/>
    <w:rsid w:val="00B87F1E"/>
    <w:rsid w:val="00B901AC"/>
    <w:rsid w:val="00B9044A"/>
    <w:rsid w:val="00B906C2"/>
    <w:rsid w:val="00B909F6"/>
    <w:rsid w:val="00B916FB"/>
    <w:rsid w:val="00B92196"/>
    <w:rsid w:val="00B921E1"/>
    <w:rsid w:val="00B92388"/>
    <w:rsid w:val="00B93874"/>
    <w:rsid w:val="00B94B3D"/>
    <w:rsid w:val="00B951EA"/>
    <w:rsid w:val="00B95408"/>
    <w:rsid w:val="00B95BBA"/>
    <w:rsid w:val="00B95C15"/>
    <w:rsid w:val="00B963C5"/>
    <w:rsid w:val="00B964B6"/>
    <w:rsid w:val="00B968DC"/>
    <w:rsid w:val="00B9690B"/>
    <w:rsid w:val="00B969CE"/>
    <w:rsid w:val="00B97261"/>
    <w:rsid w:val="00B973D8"/>
    <w:rsid w:val="00BA027D"/>
    <w:rsid w:val="00BA0A9D"/>
    <w:rsid w:val="00BA1152"/>
    <w:rsid w:val="00BA11CD"/>
    <w:rsid w:val="00BA353A"/>
    <w:rsid w:val="00BA3975"/>
    <w:rsid w:val="00BA55DC"/>
    <w:rsid w:val="00BA676B"/>
    <w:rsid w:val="00BA6F39"/>
    <w:rsid w:val="00BB0002"/>
    <w:rsid w:val="00BB00A3"/>
    <w:rsid w:val="00BB1368"/>
    <w:rsid w:val="00BB17F0"/>
    <w:rsid w:val="00BB187E"/>
    <w:rsid w:val="00BB18D7"/>
    <w:rsid w:val="00BB1F81"/>
    <w:rsid w:val="00BB2D99"/>
    <w:rsid w:val="00BB4579"/>
    <w:rsid w:val="00BB4A4A"/>
    <w:rsid w:val="00BB4A5E"/>
    <w:rsid w:val="00BB54F4"/>
    <w:rsid w:val="00BB55AF"/>
    <w:rsid w:val="00BB67CA"/>
    <w:rsid w:val="00BB6A62"/>
    <w:rsid w:val="00BB7C6F"/>
    <w:rsid w:val="00BC0225"/>
    <w:rsid w:val="00BC05A1"/>
    <w:rsid w:val="00BC1646"/>
    <w:rsid w:val="00BC19D3"/>
    <w:rsid w:val="00BC1FF1"/>
    <w:rsid w:val="00BC2505"/>
    <w:rsid w:val="00BC2FEB"/>
    <w:rsid w:val="00BC3654"/>
    <w:rsid w:val="00BC3C12"/>
    <w:rsid w:val="00BC4C26"/>
    <w:rsid w:val="00BC58CD"/>
    <w:rsid w:val="00BC5D85"/>
    <w:rsid w:val="00BC6D32"/>
    <w:rsid w:val="00BC7369"/>
    <w:rsid w:val="00BC76E5"/>
    <w:rsid w:val="00BC77ED"/>
    <w:rsid w:val="00BD0B54"/>
    <w:rsid w:val="00BD0B95"/>
    <w:rsid w:val="00BD1229"/>
    <w:rsid w:val="00BD1AC7"/>
    <w:rsid w:val="00BD2190"/>
    <w:rsid w:val="00BD2C60"/>
    <w:rsid w:val="00BD38C6"/>
    <w:rsid w:val="00BD4070"/>
    <w:rsid w:val="00BD5829"/>
    <w:rsid w:val="00BD5F83"/>
    <w:rsid w:val="00BD67CC"/>
    <w:rsid w:val="00BD6925"/>
    <w:rsid w:val="00BD69DB"/>
    <w:rsid w:val="00BD6ACE"/>
    <w:rsid w:val="00BD7421"/>
    <w:rsid w:val="00BE231F"/>
    <w:rsid w:val="00BE23D5"/>
    <w:rsid w:val="00BE2816"/>
    <w:rsid w:val="00BE28AF"/>
    <w:rsid w:val="00BE2B98"/>
    <w:rsid w:val="00BE3745"/>
    <w:rsid w:val="00BE3B32"/>
    <w:rsid w:val="00BE50EF"/>
    <w:rsid w:val="00BE567E"/>
    <w:rsid w:val="00BE5686"/>
    <w:rsid w:val="00BE583C"/>
    <w:rsid w:val="00BE5D4A"/>
    <w:rsid w:val="00BE626E"/>
    <w:rsid w:val="00BE6497"/>
    <w:rsid w:val="00BE6786"/>
    <w:rsid w:val="00BE7466"/>
    <w:rsid w:val="00BF0578"/>
    <w:rsid w:val="00BF058B"/>
    <w:rsid w:val="00BF0751"/>
    <w:rsid w:val="00BF0C35"/>
    <w:rsid w:val="00BF2048"/>
    <w:rsid w:val="00BF2106"/>
    <w:rsid w:val="00BF3026"/>
    <w:rsid w:val="00BF44CA"/>
    <w:rsid w:val="00BF4A5E"/>
    <w:rsid w:val="00BF4EDA"/>
    <w:rsid w:val="00BF5335"/>
    <w:rsid w:val="00BF5792"/>
    <w:rsid w:val="00BF5831"/>
    <w:rsid w:val="00BF618B"/>
    <w:rsid w:val="00BF6500"/>
    <w:rsid w:val="00BF7180"/>
    <w:rsid w:val="00C00389"/>
    <w:rsid w:val="00C0215D"/>
    <w:rsid w:val="00C0268C"/>
    <w:rsid w:val="00C02FB7"/>
    <w:rsid w:val="00C042FB"/>
    <w:rsid w:val="00C04E75"/>
    <w:rsid w:val="00C05310"/>
    <w:rsid w:val="00C056A5"/>
    <w:rsid w:val="00C0658C"/>
    <w:rsid w:val="00C06DE8"/>
    <w:rsid w:val="00C07FE1"/>
    <w:rsid w:val="00C10226"/>
    <w:rsid w:val="00C106B2"/>
    <w:rsid w:val="00C118D3"/>
    <w:rsid w:val="00C11D46"/>
    <w:rsid w:val="00C11E9B"/>
    <w:rsid w:val="00C122DF"/>
    <w:rsid w:val="00C12882"/>
    <w:rsid w:val="00C129CF"/>
    <w:rsid w:val="00C12A71"/>
    <w:rsid w:val="00C1321D"/>
    <w:rsid w:val="00C1322F"/>
    <w:rsid w:val="00C13987"/>
    <w:rsid w:val="00C149DB"/>
    <w:rsid w:val="00C15196"/>
    <w:rsid w:val="00C17244"/>
    <w:rsid w:val="00C179AC"/>
    <w:rsid w:val="00C2151E"/>
    <w:rsid w:val="00C21BCC"/>
    <w:rsid w:val="00C22C34"/>
    <w:rsid w:val="00C238B2"/>
    <w:rsid w:val="00C23BBA"/>
    <w:rsid w:val="00C242D4"/>
    <w:rsid w:val="00C2440D"/>
    <w:rsid w:val="00C2556C"/>
    <w:rsid w:val="00C25708"/>
    <w:rsid w:val="00C269C8"/>
    <w:rsid w:val="00C2779F"/>
    <w:rsid w:val="00C2786D"/>
    <w:rsid w:val="00C31230"/>
    <w:rsid w:val="00C326A1"/>
    <w:rsid w:val="00C32AB0"/>
    <w:rsid w:val="00C32DCE"/>
    <w:rsid w:val="00C3304B"/>
    <w:rsid w:val="00C333ED"/>
    <w:rsid w:val="00C34B71"/>
    <w:rsid w:val="00C35049"/>
    <w:rsid w:val="00C35BCF"/>
    <w:rsid w:val="00C3631B"/>
    <w:rsid w:val="00C3674B"/>
    <w:rsid w:val="00C3678C"/>
    <w:rsid w:val="00C36F41"/>
    <w:rsid w:val="00C37197"/>
    <w:rsid w:val="00C371AD"/>
    <w:rsid w:val="00C3734D"/>
    <w:rsid w:val="00C401E7"/>
    <w:rsid w:val="00C412D1"/>
    <w:rsid w:val="00C41635"/>
    <w:rsid w:val="00C4194E"/>
    <w:rsid w:val="00C421EC"/>
    <w:rsid w:val="00C4228F"/>
    <w:rsid w:val="00C42473"/>
    <w:rsid w:val="00C433F3"/>
    <w:rsid w:val="00C4345B"/>
    <w:rsid w:val="00C4362C"/>
    <w:rsid w:val="00C43892"/>
    <w:rsid w:val="00C443AA"/>
    <w:rsid w:val="00C45A9D"/>
    <w:rsid w:val="00C46021"/>
    <w:rsid w:val="00C4636E"/>
    <w:rsid w:val="00C4686F"/>
    <w:rsid w:val="00C46A2B"/>
    <w:rsid w:val="00C46EC5"/>
    <w:rsid w:val="00C471E6"/>
    <w:rsid w:val="00C47ACA"/>
    <w:rsid w:val="00C50288"/>
    <w:rsid w:val="00C50421"/>
    <w:rsid w:val="00C5047E"/>
    <w:rsid w:val="00C5076B"/>
    <w:rsid w:val="00C507E6"/>
    <w:rsid w:val="00C517CC"/>
    <w:rsid w:val="00C518F7"/>
    <w:rsid w:val="00C52DA4"/>
    <w:rsid w:val="00C5389A"/>
    <w:rsid w:val="00C53A7B"/>
    <w:rsid w:val="00C5518A"/>
    <w:rsid w:val="00C5547A"/>
    <w:rsid w:val="00C55EA7"/>
    <w:rsid w:val="00C55F9B"/>
    <w:rsid w:val="00C5602E"/>
    <w:rsid w:val="00C601E9"/>
    <w:rsid w:val="00C6084C"/>
    <w:rsid w:val="00C61814"/>
    <w:rsid w:val="00C61BA4"/>
    <w:rsid w:val="00C61DF8"/>
    <w:rsid w:val="00C62559"/>
    <w:rsid w:val="00C629E4"/>
    <w:rsid w:val="00C649D4"/>
    <w:rsid w:val="00C64F6F"/>
    <w:rsid w:val="00C658A1"/>
    <w:rsid w:val="00C6676C"/>
    <w:rsid w:val="00C66879"/>
    <w:rsid w:val="00C672F3"/>
    <w:rsid w:val="00C70671"/>
    <w:rsid w:val="00C7113B"/>
    <w:rsid w:val="00C71361"/>
    <w:rsid w:val="00C71834"/>
    <w:rsid w:val="00C72BDD"/>
    <w:rsid w:val="00C7315C"/>
    <w:rsid w:val="00C73ACF"/>
    <w:rsid w:val="00C73BF8"/>
    <w:rsid w:val="00C74572"/>
    <w:rsid w:val="00C7540F"/>
    <w:rsid w:val="00C75786"/>
    <w:rsid w:val="00C75B3A"/>
    <w:rsid w:val="00C75EB6"/>
    <w:rsid w:val="00C75F1A"/>
    <w:rsid w:val="00C76FEB"/>
    <w:rsid w:val="00C773EE"/>
    <w:rsid w:val="00C807E9"/>
    <w:rsid w:val="00C8083E"/>
    <w:rsid w:val="00C80AE6"/>
    <w:rsid w:val="00C8194D"/>
    <w:rsid w:val="00C822D0"/>
    <w:rsid w:val="00C82570"/>
    <w:rsid w:val="00C82833"/>
    <w:rsid w:val="00C82FD0"/>
    <w:rsid w:val="00C8322D"/>
    <w:rsid w:val="00C83803"/>
    <w:rsid w:val="00C845A6"/>
    <w:rsid w:val="00C85B40"/>
    <w:rsid w:val="00C86E93"/>
    <w:rsid w:val="00C877C4"/>
    <w:rsid w:val="00C87E4D"/>
    <w:rsid w:val="00C90CC6"/>
    <w:rsid w:val="00C90F89"/>
    <w:rsid w:val="00C91919"/>
    <w:rsid w:val="00C9207A"/>
    <w:rsid w:val="00C92255"/>
    <w:rsid w:val="00C931C3"/>
    <w:rsid w:val="00C94AFD"/>
    <w:rsid w:val="00C94EA7"/>
    <w:rsid w:val="00C966A5"/>
    <w:rsid w:val="00C9716B"/>
    <w:rsid w:val="00C973A9"/>
    <w:rsid w:val="00C9770F"/>
    <w:rsid w:val="00C97795"/>
    <w:rsid w:val="00C97AE5"/>
    <w:rsid w:val="00C97C1C"/>
    <w:rsid w:val="00CA0676"/>
    <w:rsid w:val="00CA2208"/>
    <w:rsid w:val="00CA29F0"/>
    <w:rsid w:val="00CA33BC"/>
    <w:rsid w:val="00CA374E"/>
    <w:rsid w:val="00CA39F2"/>
    <w:rsid w:val="00CA4115"/>
    <w:rsid w:val="00CA44FF"/>
    <w:rsid w:val="00CA4828"/>
    <w:rsid w:val="00CA4A5B"/>
    <w:rsid w:val="00CA4C29"/>
    <w:rsid w:val="00CA50BE"/>
    <w:rsid w:val="00CA5668"/>
    <w:rsid w:val="00CA5907"/>
    <w:rsid w:val="00CA60DC"/>
    <w:rsid w:val="00CA6D2F"/>
    <w:rsid w:val="00CA7076"/>
    <w:rsid w:val="00CB08B8"/>
    <w:rsid w:val="00CB0BAB"/>
    <w:rsid w:val="00CB118F"/>
    <w:rsid w:val="00CB25CD"/>
    <w:rsid w:val="00CB2748"/>
    <w:rsid w:val="00CB31A0"/>
    <w:rsid w:val="00CB36BF"/>
    <w:rsid w:val="00CB37D6"/>
    <w:rsid w:val="00CB3B28"/>
    <w:rsid w:val="00CB3D49"/>
    <w:rsid w:val="00CB4BF0"/>
    <w:rsid w:val="00CB5748"/>
    <w:rsid w:val="00CB5CD0"/>
    <w:rsid w:val="00CB7796"/>
    <w:rsid w:val="00CC0893"/>
    <w:rsid w:val="00CC0EC0"/>
    <w:rsid w:val="00CC11AC"/>
    <w:rsid w:val="00CC227E"/>
    <w:rsid w:val="00CC2385"/>
    <w:rsid w:val="00CC3058"/>
    <w:rsid w:val="00CC3E73"/>
    <w:rsid w:val="00CC483F"/>
    <w:rsid w:val="00CC69CB"/>
    <w:rsid w:val="00CC7886"/>
    <w:rsid w:val="00CC7EA5"/>
    <w:rsid w:val="00CC7FAA"/>
    <w:rsid w:val="00CD03BB"/>
    <w:rsid w:val="00CD047E"/>
    <w:rsid w:val="00CD05CC"/>
    <w:rsid w:val="00CD0EB2"/>
    <w:rsid w:val="00CD14BC"/>
    <w:rsid w:val="00CD2751"/>
    <w:rsid w:val="00CD27FA"/>
    <w:rsid w:val="00CD290B"/>
    <w:rsid w:val="00CD30F5"/>
    <w:rsid w:val="00CD35BF"/>
    <w:rsid w:val="00CD3A11"/>
    <w:rsid w:val="00CD3DDC"/>
    <w:rsid w:val="00CD46F4"/>
    <w:rsid w:val="00CD497F"/>
    <w:rsid w:val="00CD4F86"/>
    <w:rsid w:val="00CD50F3"/>
    <w:rsid w:val="00CD5194"/>
    <w:rsid w:val="00CD51A5"/>
    <w:rsid w:val="00CD7006"/>
    <w:rsid w:val="00CD7078"/>
    <w:rsid w:val="00CD760D"/>
    <w:rsid w:val="00CD7615"/>
    <w:rsid w:val="00CD7897"/>
    <w:rsid w:val="00CD7EA8"/>
    <w:rsid w:val="00CE0483"/>
    <w:rsid w:val="00CE0625"/>
    <w:rsid w:val="00CE0731"/>
    <w:rsid w:val="00CE1540"/>
    <w:rsid w:val="00CE1875"/>
    <w:rsid w:val="00CE1C76"/>
    <w:rsid w:val="00CE2327"/>
    <w:rsid w:val="00CE3331"/>
    <w:rsid w:val="00CE366D"/>
    <w:rsid w:val="00CE45BA"/>
    <w:rsid w:val="00CE4A06"/>
    <w:rsid w:val="00CE525A"/>
    <w:rsid w:val="00CE572D"/>
    <w:rsid w:val="00CE5A2F"/>
    <w:rsid w:val="00CE6029"/>
    <w:rsid w:val="00CE6144"/>
    <w:rsid w:val="00CE633C"/>
    <w:rsid w:val="00CE6BF4"/>
    <w:rsid w:val="00CE6D35"/>
    <w:rsid w:val="00CE7A2D"/>
    <w:rsid w:val="00CE7B01"/>
    <w:rsid w:val="00CE7EF4"/>
    <w:rsid w:val="00CF0283"/>
    <w:rsid w:val="00CF03B3"/>
    <w:rsid w:val="00CF062E"/>
    <w:rsid w:val="00CF161E"/>
    <w:rsid w:val="00CF1FB4"/>
    <w:rsid w:val="00CF21CF"/>
    <w:rsid w:val="00CF29DE"/>
    <w:rsid w:val="00CF3B3C"/>
    <w:rsid w:val="00CF448C"/>
    <w:rsid w:val="00CF4542"/>
    <w:rsid w:val="00CF45AE"/>
    <w:rsid w:val="00CF5507"/>
    <w:rsid w:val="00CF5B7F"/>
    <w:rsid w:val="00CF5D1F"/>
    <w:rsid w:val="00CF72ED"/>
    <w:rsid w:val="00CF77B3"/>
    <w:rsid w:val="00CF7A3D"/>
    <w:rsid w:val="00D003F1"/>
    <w:rsid w:val="00D0047B"/>
    <w:rsid w:val="00D009E7"/>
    <w:rsid w:val="00D00AE4"/>
    <w:rsid w:val="00D00B03"/>
    <w:rsid w:val="00D00DD6"/>
    <w:rsid w:val="00D01312"/>
    <w:rsid w:val="00D018AC"/>
    <w:rsid w:val="00D02DA9"/>
    <w:rsid w:val="00D02F4E"/>
    <w:rsid w:val="00D0371E"/>
    <w:rsid w:val="00D03925"/>
    <w:rsid w:val="00D040EB"/>
    <w:rsid w:val="00D05221"/>
    <w:rsid w:val="00D056B2"/>
    <w:rsid w:val="00D05A9D"/>
    <w:rsid w:val="00D05F51"/>
    <w:rsid w:val="00D06DC3"/>
    <w:rsid w:val="00D06ED7"/>
    <w:rsid w:val="00D07327"/>
    <w:rsid w:val="00D0756B"/>
    <w:rsid w:val="00D07608"/>
    <w:rsid w:val="00D0790B"/>
    <w:rsid w:val="00D07CC1"/>
    <w:rsid w:val="00D07D28"/>
    <w:rsid w:val="00D07D84"/>
    <w:rsid w:val="00D10911"/>
    <w:rsid w:val="00D10C0B"/>
    <w:rsid w:val="00D1124B"/>
    <w:rsid w:val="00D11BD8"/>
    <w:rsid w:val="00D11BF2"/>
    <w:rsid w:val="00D123DB"/>
    <w:rsid w:val="00D12881"/>
    <w:rsid w:val="00D12FCF"/>
    <w:rsid w:val="00D132FE"/>
    <w:rsid w:val="00D138B6"/>
    <w:rsid w:val="00D142C1"/>
    <w:rsid w:val="00D15D81"/>
    <w:rsid w:val="00D17821"/>
    <w:rsid w:val="00D17A4F"/>
    <w:rsid w:val="00D17E14"/>
    <w:rsid w:val="00D17E55"/>
    <w:rsid w:val="00D17EDB"/>
    <w:rsid w:val="00D21006"/>
    <w:rsid w:val="00D21D78"/>
    <w:rsid w:val="00D21D8F"/>
    <w:rsid w:val="00D21DF8"/>
    <w:rsid w:val="00D225FB"/>
    <w:rsid w:val="00D22BFA"/>
    <w:rsid w:val="00D22D6E"/>
    <w:rsid w:val="00D237E0"/>
    <w:rsid w:val="00D23A2B"/>
    <w:rsid w:val="00D23B6B"/>
    <w:rsid w:val="00D24A6E"/>
    <w:rsid w:val="00D251D4"/>
    <w:rsid w:val="00D25E4B"/>
    <w:rsid w:val="00D27872"/>
    <w:rsid w:val="00D30450"/>
    <w:rsid w:val="00D30D59"/>
    <w:rsid w:val="00D317AB"/>
    <w:rsid w:val="00D32FDF"/>
    <w:rsid w:val="00D33B2D"/>
    <w:rsid w:val="00D407B6"/>
    <w:rsid w:val="00D41440"/>
    <w:rsid w:val="00D41F00"/>
    <w:rsid w:val="00D42281"/>
    <w:rsid w:val="00D4288D"/>
    <w:rsid w:val="00D431BC"/>
    <w:rsid w:val="00D43665"/>
    <w:rsid w:val="00D441BA"/>
    <w:rsid w:val="00D44ABA"/>
    <w:rsid w:val="00D44E0B"/>
    <w:rsid w:val="00D454F5"/>
    <w:rsid w:val="00D4575D"/>
    <w:rsid w:val="00D458F5"/>
    <w:rsid w:val="00D4613D"/>
    <w:rsid w:val="00D47998"/>
    <w:rsid w:val="00D47A20"/>
    <w:rsid w:val="00D47F63"/>
    <w:rsid w:val="00D50791"/>
    <w:rsid w:val="00D52005"/>
    <w:rsid w:val="00D52A40"/>
    <w:rsid w:val="00D52BFA"/>
    <w:rsid w:val="00D53689"/>
    <w:rsid w:val="00D53C40"/>
    <w:rsid w:val="00D542BA"/>
    <w:rsid w:val="00D548C6"/>
    <w:rsid w:val="00D54D27"/>
    <w:rsid w:val="00D55A8A"/>
    <w:rsid w:val="00D55C74"/>
    <w:rsid w:val="00D55D82"/>
    <w:rsid w:val="00D55EF2"/>
    <w:rsid w:val="00D561EA"/>
    <w:rsid w:val="00D56516"/>
    <w:rsid w:val="00D56595"/>
    <w:rsid w:val="00D6049E"/>
    <w:rsid w:val="00D60E58"/>
    <w:rsid w:val="00D622AC"/>
    <w:rsid w:val="00D62A2C"/>
    <w:rsid w:val="00D633F4"/>
    <w:rsid w:val="00D64735"/>
    <w:rsid w:val="00D64E25"/>
    <w:rsid w:val="00D66AC7"/>
    <w:rsid w:val="00D67CDC"/>
    <w:rsid w:val="00D7107B"/>
    <w:rsid w:val="00D71283"/>
    <w:rsid w:val="00D71928"/>
    <w:rsid w:val="00D71C62"/>
    <w:rsid w:val="00D720B3"/>
    <w:rsid w:val="00D72875"/>
    <w:rsid w:val="00D73BF4"/>
    <w:rsid w:val="00D73EAA"/>
    <w:rsid w:val="00D752C5"/>
    <w:rsid w:val="00D7562C"/>
    <w:rsid w:val="00D7621C"/>
    <w:rsid w:val="00D7778B"/>
    <w:rsid w:val="00D778BF"/>
    <w:rsid w:val="00D77BAA"/>
    <w:rsid w:val="00D77E01"/>
    <w:rsid w:val="00D8048F"/>
    <w:rsid w:val="00D8078C"/>
    <w:rsid w:val="00D81211"/>
    <w:rsid w:val="00D81477"/>
    <w:rsid w:val="00D81C43"/>
    <w:rsid w:val="00D83F57"/>
    <w:rsid w:val="00D8473D"/>
    <w:rsid w:val="00D84E77"/>
    <w:rsid w:val="00D84FC3"/>
    <w:rsid w:val="00D853D0"/>
    <w:rsid w:val="00D863A2"/>
    <w:rsid w:val="00D866DF"/>
    <w:rsid w:val="00D86D53"/>
    <w:rsid w:val="00D86FEB"/>
    <w:rsid w:val="00D90AD1"/>
    <w:rsid w:val="00D90CC3"/>
    <w:rsid w:val="00D9106E"/>
    <w:rsid w:val="00D91390"/>
    <w:rsid w:val="00D91536"/>
    <w:rsid w:val="00D92850"/>
    <w:rsid w:val="00D92869"/>
    <w:rsid w:val="00D9292B"/>
    <w:rsid w:val="00D92CA5"/>
    <w:rsid w:val="00D92E2D"/>
    <w:rsid w:val="00D934C0"/>
    <w:rsid w:val="00D9371F"/>
    <w:rsid w:val="00D95825"/>
    <w:rsid w:val="00D95A10"/>
    <w:rsid w:val="00D95B0B"/>
    <w:rsid w:val="00D96C5D"/>
    <w:rsid w:val="00D97B77"/>
    <w:rsid w:val="00D97E12"/>
    <w:rsid w:val="00DA155E"/>
    <w:rsid w:val="00DA1E80"/>
    <w:rsid w:val="00DA2038"/>
    <w:rsid w:val="00DA2E8E"/>
    <w:rsid w:val="00DA37B9"/>
    <w:rsid w:val="00DA380C"/>
    <w:rsid w:val="00DA387C"/>
    <w:rsid w:val="00DA3ACD"/>
    <w:rsid w:val="00DA3F56"/>
    <w:rsid w:val="00DA4C57"/>
    <w:rsid w:val="00DA510A"/>
    <w:rsid w:val="00DA5737"/>
    <w:rsid w:val="00DA6028"/>
    <w:rsid w:val="00DA6548"/>
    <w:rsid w:val="00DA6771"/>
    <w:rsid w:val="00DA6EF1"/>
    <w:rsid w:val="00DA7373"/>
    <w:rsid w:val="00DA73B9"/>
    <w:rsid w:val="00DA7D93"/>
    <w:rsid w:val="00DA7FDA"/>
    <w:rsid w:val="00DB06D7"/>
    <w:rsid w:val="00DB1530"/>
    <w:rsid w:val="00DB1D4F"/>
    <w:rsid w:val="00DB2389"/>
    <w:rsid w:val="00DB2A0E"/>
    <w:rsid w:val="00DB2D34"/>
    <w:rsid w:val="00DB317C"/>
    <w:rsid w:val="00DB3B89"/>
    <w:rsid w:val="00DB3D2C"/>
    <w:rsid w:val="00DB4097"/>
    <w:rsid w:val="00DB464F"/>
    <w:rsid w:val="00DB4EBF"/>
    <w:rsid w:val="00DB54B6"/>
    <w:rsid w:val="00DB55A5"/>
    <w:rsid w:val="00DB5698"/>
    <w:rsid w:val="00DB5E55"/>
    <w:rsid w:val="00DC000E"/>
    <w:rsid w:val="00DC003B"/>
    <w:rsid w:val="00DC0211"/>
    <w:rsid w:val="00DC036A"/>
    <w:rsid w:val="00DC095E"/>
    <w:rsid w:val="00DC0F21"/>
    <w:rsid w:val="00DC1426"/>
    <w:rsid w:val="00DC3B3F"/>
    <w:rsid w:val="00DC42A9"/>
    <w:rsid w:val="00DC5AD0"/>
    <w:rsid w:val="00DC6897"/>
    <w:rsid w:val="00DC7171"/>
    <w:rsid w:val="00DC7231"/>
    <w:rsid w:val="00DD002A"/>
    <w:rsid w:val="00DD029B"/>
    <w:rsid w:val="00DD08E4"/>
    <w:rsid w:val="00DD10B6"/>
    <w:rsid w:val="00DD12A1"/>
    <w:rsid w:val="00DD180E"/>
    <w:rsid w:val="00DD1858"/>
    <w:rsid w:val="00DD1A07"/>
    <w:rsid w:val="00DD31B9"/>
    <w:rsid w:val="00DD37FD"/>
    <w:rsid w:val="00DD3D7C"/>
    <w:rsid w:val="00DD4BCD"/>
    <w:rsid w:val="00DD5F1A"/>
    <w:rsid w:val="00DD7567"/>
    <w:rsid w:val="00DD78C4"/>
    <w:rsid w:val="00DE08FA"/>
    <w:rsid w:val="00DE1B4E"/>
    <w:rsid w:val="00DE1B92"/>
    <w:rsid w:val="00DE1C02"/>
    <w:rsid w:val="00DE239D"/>
    <w:rsid w:val="00DE2CCD"/>
    <w:rsid w:val="00DE30E9"/>
    <w:rsid w:val="00DE3490"/>
    <w:rsid w:val="00DE37E2"/>
    <w:rsid w:val="00DE3835"/>
    <w:rsid w:val="00DE38D2"/>
    <w:rsid w:val="00DE414D"/>
    <w:rsid w:val="00DE54EA"/>
    <w:rsid w:val="00DE58BE"/>
    <w:rsid w:val="00DE5D17"/>
    <w:rsid w:val="00DE6280"/>
    <w:rsid w:val="00DE6284"/>
    <w:rsid w:val="00DE70DC"/>
    <w:rsid w:val="00DE7985"/>
    <w:rsid w:val="00DE7AB9"/>
    <w:rsid w:val="00DE7EFC"/>
    <w:rsid w:val="00DF0ED4"/>
    <w:rsid w:val="00DF1630"/>
    <w:rsid w:val="00DF1EBA"/>
    <w:rsid w:val="00DF21FE"/>
    <w:rsid w:val="00DF266B"/>
    <w:rsid w:val="00DF2B57"/>
    <w:rsid w:val="00DF2D88"/>
    <w:rsid w:val="00DF36D1"/>
    <w:rsid w:val="00DF42CA"/>
    <w:rsid w:val="00DF63E7"/>
    <w:rsid w:val="00DF64E1"/>
    <w:rsid w:val="00DF7128"/>
    <w:rsid w:val="00DF72B4"/>
    <w:rsid w:val="00DF72E3"/>
    <w:rsid w:val="00DF7CAA"/>
    <w:rsid w:val="00DF7CC6"/>
    <w:rsid w:val="00E005E1"/>
    <w:rsid w:val="00E00988"/>
    <w:rsid w:val="00E01A25"/>
    <w:rsid w:val="00E034DE"/>
    <w:rsid w:val="00E035E1"/>
    <w:rsid w:val="00E03D18"/>
    <w:rsid w:val="00E04853"/>
    <w:rsid w:val="00E04A31"/>
    <w:rsid w:val="00E050CC"/>
    <w:rsid w:val="00E05E09"/>
    <w:rsid w:val="00E05E1B"/>
    <w:rsid w:val="00E061E6"/>
    <w:rsid w:val="00E075CA"/>
    <w:rsid w:val="00E07FB2"/>
    <w:rsid w:val="00E1090D"/>
    <w:rsid w:val="00E11CB2"/>
    <w:rsid w:val="00E11E6C"/>
    <w:rsid w:val="00E122CF"/>
    <w:rsid w:val="00E126CB"/>
    <w:rsid w:val="00E12B98"/>
    <w:rsid w:val="00E14A96"/>
    <w:rsid w:val="00E156BB"/>
    <w:rsid w:val="00E15FA1"/>
    <w:rsid w:val="00E162AC"/>
    <w:rsid w:val="00E164F1"/>
    <w:rsid w:val="00E16B06"/>
    <w:rsid w:val="00E17166"/>
    <w:rsid w:val="00E17177"/>
    <w:rsid w:val="00E1776D"/>
    <w:rsid w:val="00E208BE"/>
    <w:rsid w:val="00E21233"/>
    <w:rsid w:val="00E21336"/>
    <w:rsid w:val="00E213EF"/>
    <w:rsid w:val="00E2147F"/>
    <w:rsid w:val="00E21C39"/>
    <w:rsid w:val="00E22034"/>
    <w:rsid w:val="00E2215D"/>
    <w:rsid w:val="00E23DD9"/>
    <w:rsid w:val="00E24AD8"/>
    <w:rsid w:val="00E24FEB"/>
    <w:rsid w:val="00E2505E"/>
    <w:rsid w:val="00E2564E"/>
    <w:rsid w:val="00E25836"/>
    <w:rsid w:val="00E26737"/>
    <w:rsid w:val="00E26F1F"/>
    <w:rsid w:val="00E27691"/>
    <w:rsid w:val="00E3020B"/>
    <w:rsid w:val="00E31214"/>
    <w:rsid w:val="00E319B9"/>
    <w:rsid w:val="00E32ABB"/>
    <w:rsid w:val="00E32B8C"/>
    <w:rsid w:val="00E32C79"/>
    <w:rsid w:val="00E336CA"/>
    <w:rsid w:val="00E345EF"/>
    <w:rsid w:val="00E34B1C"/>
    <w:rsid w:val="00E35DED"/>
    <w:rsid w:val="00E3631D"/>
    <w:rsid w:val="00E3632B"/>
    <w:rsid w:val="00E36475"/>
    <w:rsid w:val="00E364E7"/>
    <w:rsid w:val="00E36534"/>
    <w:rsid w:val="00E367CA"/>
    <w:rsid w:val="00E3700C"/>
    <w:rsid w:val="00E37206"/>
    <w:rsid w:val="00E40238"/>
    <w:rsid w:val="00E41256"/>
    <w:rsid w:val="00E416ED"/>
    <w:rsid w:val="00E424DC"/>
    <w:rsid w:val="00E425A2"/>
    <w:rsid w:val="00E43219"/>
    <w:rsid w:val="00E442F2"/>
    <w:rsid w:val="00E447DC"/>
    <w:rsid w:val="00E45523"/>
    <w:rsid w:val="00E45CC1"/>
    <w:rsid w:val="00E46054"/>
    <w:rsid w:val="00E46429"/>
    <w:rsid w:val="00E46DC7"/>
    <w:rsid w:val="00E474F1"/>
    <w:rsid w:val="00E50070"/>
    <w:rsid w:val="00E50654"/>
    <w:rsid w:val="00E50A21"/>
    <w:rsid w:val="00E50CC7"/>
    <w:rsid w:val="00E51590"/>
    <w:rsid w:val="00E5273E"/>
    <w:rsid w:val="00E52DF2"/>
    <w:rsid w:val="00E53105"/>
    <w:rsid w:val="00E5326E"/>
    <w:rsid w:val="00E532F3"/>
    <w:rsid w:val="00E5345A"/>
    <w:rsid w:val="00E53A1A"/>
    <w:rsid w:val="00E53B9D"/>
    <w:rsid w:val="00E54744"/>
    <w:rsid w:val="00E54EB7"/>
    <w:rsid w:val="00E5549F"/>
    <w:rsid w:val="00E559EE"/>
    <w:rsid w:val="00E5610E"/>
    <w:rsid w:val="00E5726B"/>
    <w:rsid w:val="00E573B2"/>
    <w:rsid w:val="00E576E2"/>
    <w:rsid w:val="00E60663"/>
    <w:rsid w:val="00E606E4"/>
    <w:rsid w:val="00E60C25"/>
    <w:rsid w:val="00E60C75"/>
    <w:rsid w:val="00E6126E"/>
    <w:rsid w:val="00E62D43"/>
    <w:rsid w:val="00E62E4A"/>
    <w:rsid w:val="00E63604"/>
    <w:rsid w:val="00E63AF2"/>
    <w:rsid w:val="00E63E08"/>
    <w:rsid w:val="00E6436B"/>
    <w:rsid w:val="00E64652"/>
    <w:rsid w:val="00E64FBF"/>
    <w:rsid w:val="00E66219"/>
    <w:rsid w:val="00E668DC"/>
    <w:rsid w:val="00E66EE1"/>
    <w:rsid w:val="00E675C9"/>
    <w:rsid w:val="00E7040A"/>
    <w:rsid w:val="00E70900"/>
    <w:rsid w:val="00E70B2A"/>
    <w:rsid w:val="00E70C89"/>
    <w:rsid w:val="00E71685"/>
    <w:rsid w:val="00E72976"/>
    <w:rsid w:val="00E72FA5"/>
    <w:rsid w:val="00E73C96"/>
    <w:rsid w:val="00E73F7F"/>
    <w:rsid w:val="00E7531A"/>
    <w:rsid w:val="00E75E10"/>
    <w:rsid w:val="00E75FD6"/>
    <w:rsid w:val="00E7649F"/>
    <w:rsid w:val="00E7692D"/>
    <w:rsid w:val="00E76CEC"/>
    <w:rsid w:val="00E76E83"/>
    <w:rsid w:val="00E76FD2"/>
    <w:rsid w:val="00E80351"/>
    <w:rsid w:val="00E808B9"/>
    <w:rsid w:val="00E80B06"/>
    <w:rsid w:val="00E81AE2"/>
    <w:rsid w:val="00E82101"/>
    <w:rsid w:val="00E831C3"/>
    <w:rsid w:val="00E83F86"/>
    <w:rsid w:val="00E840D7"/>
    <w:rsid w:val="00E8467F"/>
    <w:rsid w:val="00E8484F"/>
    <w:rsid w:val="00E84E09"/>
    <w:rsid w:val="00E8632B"/>
    <w:rsid w:val="00E869E9"/>
    <w:rsid w:val="00E878A1"/>
    <w:rsid w:val="00E87921"/>
    <w:rsid w:val="00E9055C"/>
    <w:rsid w:val="00E90F95"/>
    <w:rsid w:val="00E91553"/>
    <w:rsid w:val="00E916B2"/>
    <w:rsid w:val="00E920E0"/>
    <w:rsid w:val="00E94CF1"/>
    <w:rsid w:val="00E94FE2"/>
    <w:rsid w:val="00E96194"/>
    <w:rsid w:val="00EA008B"/>
    <w:rsid w:val="00EA0FD9"/>
    <w:rsid w:val="00EA156B"/>
    <w:rsid w:val="00EA1D7E"/>
    <w:rsid w:val="00EA2F9C"/>
    <w:rsid w:val="00EA3F1B"/>
    <w:rsid w:val="00EA4070"/>
    <w:rsid w:val="00EA4DD0"/>
    <w:rsid w:val="00EA5429"/>
    <w:rsid w:val="00EA54DF"/>
    <w:rsid w:val="00EA6614"/>
    <w:rsid w:val="00EA66FD"/>
    <w:rsid w:val="00EA68D7"/>
    <w:rsid w:val="00EA7CF2"/>
    <w:rsid w:val="00EA7ED5"/>
    <w:rsid w:val="00EB0158"/>
    <w:rsid w:val="00EB0BEB"/>
    <w:rsid w:val="00EB0CE0"/>
    <w:rsid w:val="00EB0D96"/>
    <w:rsid w:val="00EB1145"/>
    <w:rsid w:val="00EB14AC"/>
    <w:rsid w:val="00EB1DD4"/>
    <w:rsid w:val="00EB1E54"/>
    <w:rsid w:val="00EB280C"/>
    <w:rsid w:val="00EB2EC1"/>
    <w:rsid w:val="00EB2F55"/>
    <w:rsid w:val="00EB39C6"/>
    <w:rsid w:val="00EB4C0D"/>
    <w:rsid w:val="00EB4E73"/>
    <w:rsid w:val="00EB5569"/>
    <w:rsid w:val="00EB5F48"/>
    <w:rsid w:val="00EB77F2"/>
    <w:rsid w:val="00EB7DEC"/>
    <w:rsid w:val="00EB7E0D"/>
    <w:rsid w:val="00EC028A"/>
    <w:rsid w:val="00EC109B"/>
    <w:rsid w:val="00EC15A6"/>
    <w:rsid w:val="00EC1A23"/>
    <w:rsid w:val="00EC3173"/>
    <w:rsid w:val="00EC325F"/>
    <w:rsid w:val="00EC3262"/>
    <w:rsid w:val="00EC47D6"/>
    <w:rsid w:val="00EC4AEF"/>
    <w:rsid w:val="00EC4E50"/>
    <w:rsid w:val="00EC55C0"/>
    <w:rsid w:val="00EC58F4"/>
    <w:rsid w:val="00EC5AD7"/>
    <w:rsid w:val="00EC63A6"/>
    <w:rsid w:val="00EC687C"/>
    <w:rsid w:val="00EC68BC"/>
    <w:rsid w:val="00EC6EAC"/>
    <w:rsid w:val="00EC745A"/>
    <w:rsid w:val="00EC74FC"/>
    <w:rsid w:val="00ED0657"/>
    <w:rsid w:val="00ED1CAD"/>
    <w:rsid w:val="00ED2B03"/>
    <w:rsid w:val="00ED2FAE"/>
    <w:rsid w:val="00ED4811"/>
    <w:rsid w:val="00ED4F45"/>
    <w:rsid w:val="00ED4F7B"/>
    <w:rsid w:val="00ED5106"/>
    <w:rsid w:val="00ED5343"/>
    <w:rsid w:val="00ED5EB9"/>
    <w:rsid w:val="00ED5F01"/>
    <w:rsid w:val="00ED65A3"/>
    <w:rsid w:val="00ED6A5A"/>
    <w:rsid w:val="00ED75A8"/>
    <w:rsid w:val="00ED78C5"/>
    <w:rsid w:val="00ED7F80"/>
    <w:rsid w:val="00EE066E"/>
    <w:rsid w:val="00EE0BB4"/>
    <w:rsid w:val="00EE0F0E"/>
    <w:rsid w:val="00EE1551"/>
    <w:rsid w:val="00EE2B16"/>
    <w:rsid w:val="00EE3599"/>
    <w:rsid w:val="00EE3601"/>
    <w:rsid w:val="00EE5FC6"/>
    <w:rsid w:val="00EE61E9"/>
    <w:rsid w:val="00EE6845"/>
    <w:rsid w:val="00EE6C11"/>
    <w:rsid w:val="00EE7A2A"/>
    <w:rsid w:val="00EF01C8"/>
    <w:rsid w:val="00EF0888"/>
    <w:rsid w:val="00EF130F"/>
    <w:rsid w:val="00EF1C59"/>
    <w:rsid w:val="00EF1E33"/>
    <w:rsid w:val="00EF210F"/>
    <w:rsid w:val="00EF2960"/>
    <w:rsid w:val="00EF3027"/>
    <w:rsid w:val="00EF31DF"/>
    <w:rsid w:val="00EF33AC"/>
    <w:rsid w:val="00EF3924"/>
    <w:rsid w:val="00EF3A02"/>
    <w:rsid w:val="00EF3F89"/>
    <w:rsid w:val="00EF4AF1"/>
    <w:rsid w:val="00EF4BD1"/>
    <w:rsid w:val="00EF522C"/>
    <w:rsid w:val="00EF5B2C"/>
    <w:rsid w:val="00EF5D27"/>
    <w:rsid w:val="00EF5D71"/>
    <w:rsid w:val="00EF5D96"/>
    <w:rsid w:val="00EF66C8"/>
    <w:rsid w:val="00EF6780"/>
    <w:rsid w:val="00EF71AD"/>
    <w:rsid w:val="00EF72BE"/>
    <w:rsid w:val="00EF75DA"/>
    <w:rsid w:val="00F006AD"/>
    <w:rsid w:val="00F00B1B"/>
    <w:rsid w:val="00F013CB"/>
    <w:rsid w:val="00F03329"/>
    <w:rsid w:val="00F0359B"/>
    <w:rsid w:val="00F03BDD"/>
    <w:rsid w:val="00F03C38"/>
    <w:rsid w:val="00F03DE2"/>
    <w:rsid w:val="00F05966"/>
    <w:rsid w:val="00F060EB"/>
    <w:rsid w:val="00F10328"/>
    <w:rsid w:val="00F10EB7"/>
    <w:rsid w:val="00F12458"/>
    <w:rsid w:val="00F125A4"/>
    <w:rsid w:val="00F12900"/>
    <w:rsid w:val="00F12C5B"/>
    <w:rsid w:val="00F13896"/>
    <w:rsid w:val="00F145B2"/>
    <w:rsid w:val="00F14A11"/>
    <w:rsid w:val="00F14F9A"/>
    <w:rsid w:val="00F158F4"/>
    <w:rsid w:val="00F15CEE"/>
    <w:rsid w:val="00F16BF5"/>
    <w:rsid w:val="00F16D23"/>
    <w:rsid w:val="00F16E37"/>
    <w:rsid w:val="00F174BE"/>
    <w:rsid w:val="00F179C9"/>
    <w:rsid w:val="00F20596"/>
    <w:rsid w:val="00F205EA"/>
    <w:rsid w:val="00F2131C"/>
    <w:rsid w:val="00F2165A"/>
    <w:rsid w:val="00F21906"/>
    <w:rsid w:val="00F21EDB"/>
    <w:rsid w:val="00F22129"/>
    <w:rsid w:val="00F22366"/>
    <w:rsid w:val="00F22495"/>
    <w:rsid w:val="00F242EA"/>
    <w:rsid w:val="00F253E8"/>
    <w:rsid w:val="00F261D0"/>
    <w:rsid w:val="00F2694D"/>
    <w:rsid w:val="00F2760B"/>
    <w:rsid w:val="00F3103D"/>
    <w:rsid w:val="00F327F2"/>
    <w:rsid w:val="00F33744"/>
    <w:rsid w:val="00F33790"/>
    <w:rsid w:val="00F3379A"/>
    <w:rsid w:val="00F337AD"/>
    <w:rsid w:val="00F34191"/>
    <w:rsid w:val="00F34254"/>
    <w:rsid w:val="00F3447D"/>
    <w:rsid w:val="00F35164"/>
    <w:rsid w:val="00F358C6"/>
    <w:rsid w:val="00F35997"/>
    <w:rsid w:val="00F36026"/>
    <w:rsid w:val="00F366B8"/>
    <w:rsid w:val="00F37A49"/>
    <w:rsid w:val="00F40171"/>
    <w:rsid w:val="00F40ACD"/>
    <w:rsid w:val="00F40CAE"/>
    <w:rsid w:val="00F40DF7"/>
    <w:rsid w:val="00F40FB8"/>
    <w:rsid w:val="00F418AD"/>
    <w:rsid w:val="00F41A47"/>
    <w:rsid w:val="00F425B1"/>
    <w:rsid w:val="00F42744"/>
    <w:rsid w:val="00F427F1"/>
    <w:rsid w:val="00F42D6C"/>
    <w:rsid w:val="00F42E95"/>
    <w:rsid w:val="00F432CF"/>
    <w:rsid w:val="00F4433C"/>
    <w:rsid w:val="00F45806"/>
    <w:rsid w:val="00F45811"/>
    <w:rsid w:val="00F47E61"/>
    <w:rsid w:val="00F50207"/>
    <w:rsid w:val="00F50BC9"/>
    <w:rsid w:val="00F50E1A"/>
    <w:rsid w:val="00F50E26"/>
    <w:rsid w:val="00F51A21"/>
    <w:rsid w:val="00F51A47"/>
    <w:rsid w:val="00F51EC6"/>
    <w:rsid w:val="00F51F91"/>
    <w:rsid w:val="00F5288F"/>
    <w:rsid w:val="00F5297B"/>
    <w:rsid w:val="00F533B5"/>
    <w:rsid w:val="00F54BA1"/>
    <w:rsid w:val="00F557E4"/>
    <w:rsid w:val="00F575BB"/>
    <w:rsid w:val="00F57797"/>
    <w:rsid w:val="00F579AB"/>
    <w:rsid w:val="00F57C0D"/>
    <w:rsid w:val="00F60330"/>
    <w:rsid w:val="00F60B31"/>
    <w:rsid w:val="00F60D68"/>
    <w:rsid w:val="00F61054"/>
    <w:rsid w:val="00F612FB"/>
    <w:rsid w:val="00F615FF"/>
    <w:rsid w:val="00F6169B"/>
    <w:rsid w:val="00F617D1"/>
    <w:rsid w:val="00F619B8"/>
    <w:rsid w:val="00F6259D"/>
    <w:rsid w:val="00F628D5"/>
    <w:rsid w:val="00F62D4C"/>
    <w:rsid w:val="00F6493F"/>
    <w:rsid w:val="00F64E48"/>
    <w:rsid w:val="00F650E1"/>
    <w:rsid w:val="00F65B99"/>
    <w:rsid w:val="00F65F2E"/>
    <w:rsid w:val="00F662A1"/>
    <w:rsid w:val="00F67472"/>
    <w:rsid w:val="00F67DF0"/>
    <w:rsid w:val="00F7077E"/>
    <w:rsid w:val="00F70D55"/>
    <w:rsid w:val="00F71679"/>
    <w:rsid w:val="00F719D8"/>
    <w:rsid w:val="00F71D6A"/>
    <w:rsid w:val="00F72315"/>
    <w:rsid w:val="00F72894"/>
    <w:rsid w:val="00F732D9"/>
    <w:rsid w:val="00F73B81"/>
    <w:rsid w:val="00F73C00"/>
    <w:rsid w:val="00F7435A"/>
    <w:rsid w:val="00F7496C"/>
    <w:rsid w:val="00F763E4"/>
    <w:rsid w:val="00F768B3"/>
    <w:rsid w:val="00F778D4"/>
    <w:rsid w:val="00F778FB"/>
    <w:rsid w:val="00F779BB"/>
    <w:rsid w:val="00F8002A"/>
    <w:rsid w:val="00F8026B"/>
    <w:rsid w:val="00F8030B"/>
    <w:rsid w:val="00F80BB7"/>
    <w:rsid w:val="00F80D90"/>
    <w:rsid w:val="00F819A3"/>
    <w:rsid w:val="00F81C83"/>
    <w:rsid w:val="00F81F5B"/>
    <w:rsid w:val="00F829FB"/>
    <w:rsid w:val="00F82BBC"/>
    <w:rsid w:val="00F82C78"/>
    <w:rsid w:val="00F8360C"/>
    <w:rsid w:val="00F842F3"/>
    <w:rsid w:val="00F84CD6"/>
    <w:rsid w:val="00F85DAD"/>
    <w:rsid w:val="00F85F6A"/>
    <w:rsid w:val="00F86327"/>
    <w:rsid w:val="00F86899"/>
    <w:rsid w:val="00F87B7E"/>
    <w:rsid w:val="00F9002C"/>
    <w:rsid w:val="00F90886"/>
    <w:rsid w:val="00F90C91"/>
    <w:rsid w:val="00F91515"/>
    <w:rsid w:val="00F91C0C"/>
    <w:rsid w:val="00F91CB2"/>
    <w:rsid w:val="00F9200C"/>
    <w:rsid w:val="00F926A1"/>
    <w:rsid w:val="00F92BF8"/>
    <w:rsid w:val="00F92CC3"/>
    <w:rsid w:val="00F932AA"/>
    <w:rsid w:val="00F93B37"/>
    <w:rsid w:val="00F94A4E"/>
    <w:rsid w:val="00F95083"/>
    <w:rsid w:val="00F950FE"/>
    <w:rsid w:val="00F95638"/>
    <w:rsid w:val="00F9588F"/>
    <w:rsid w:val="00F95971"/>
    <w:rsid w:val="00F95D05"/>
    <w:rsid w:val="00F9640D"/>
    <w:rsid w:val="00F96427"/>
    <w:rsid w:val="00F96773"/>
    <w:rsid w:val="00F97A19"/>
    <w:rsid w:val="00F97BA5"/>
    <w:rsid w:val="00F97CC1"/>
    <w:rsid w:val="00FA012B"/>
    <w:rsid w:val="00FA0230"/>
    <w:rsid w:val="00FA05E1"/>
    <w:rsid w:val="00FA0724"/>
    <w:rsid w:val="00FA08E2"/>
    <w:rsid w:val="00FA0947"/>
    <w:rsid w:val="00FA09CB"/>
    <w:rsid w:val="00FA0F6B"/>
    <w:rsid w:val="00FA0FEC"/>
    <w:rsid w:val="00FA1EB2"/>
    <w:rsid w:val="00FA29AC"/>
    <w:rsid w:val="00FA2BD1"/>
    <w:rsid w:val="00FA359C"/>
    <w:rsid w:val="00FA395C"/>
    <w:rsid w:val="00FA3B6D"/>
    <w:rsid w:val="00FA49DE"/>
    <w:rsid w:val="00FA4FEF"/>
    <w:rsid w:val="00FA5362"/>
    <w:rsid w:val="00FA578F"/>
    <w:rsid w:val="00FA6F2A"/>
    <w:rsid w:val="00FA7799"/>
    <w:rsid w:val="00FA7B6A"/>
    <w:rsid w:val="00FB0872"/>
    <w:rsid w:val="00FB0C8D"/>
    <w:rsid w:val="00FB0F6B"/>
    <w:rsid w:val="00FB31A8"/>
    <w:rsid w:val="00FB378D"/>
    <w:rsid w:val="00FB3C2B"/>
    <w:rsid w:val="00FB3DB1"/>
    <w:rsid w:val="00FB3E93"/>
    <w:rsid w:val="00FB3F3B"/>
    <w:rsid w:val="00FB4D12"/>
    <w:rsid w:val="00FB6C74"/>
    <w:rsid w:val="00FB7C24"/>
    <w:rsid w:val="00FC07D9"/>
    <w:rsid w:val="00FC09F3"/>
    <w:rsid w:val="00FC12DD"/>
    <w:rsid w:val="00FC183B"/>
    <w:rsid w:val="00FC22FD"/>
    <w:rsid w:val="00FC29AF"/>
    <w:rsid w:val="00FC29E4"/>
    <w:rsid w:val="00FC2D32"/>
    <w:rsid w:val="00FC3CC5"/>
    <w:rsid w:val="00FC4EB9"/>
    <w:rsid w:val="00FC4F15"/>
    <w:rsid w:val="00FC6312"/>
    <w:rsid w:val="00FC6956"/>
    <w:rsid w:val="00FC6AD3"/>
    <w:rsid w:val="00FC71ED"/>
    <w:rsid w:val="00FC7D56"/>
    <w:rsid w:val="00FD067F"/>
    <w:rsid w:val="00FD0B96"/>
    <w:rsid w:val="00FD0BCD"/>
    <w:rsid w:val="00FD1220"/>
    <w:rsid w:val="00FD29BB"/>
    <w:rsid w:val="00FD2D07"/>
    <w:rsid w:val="00FD4296"/>
    <w:rsid w:val="00FD49DC"/>
    <w:rsid w:val="00FD5391"/>
    <w:rsid w:val="00FD5ACF"/>
    <w:rsid w:val="00FD5B2B"/>
    <w:rsid w:val="00FD5F7E"/>
    <w:rsid w:val="00FD6069"/>
    <w:rsid w:val="00FD60DA"/>
    <w:rsid w:val="00FD7078"/>
    <w:rsid w:val="00FD7BCA"/>
    <w:rsid w:val="00FE0393"/>
    <w:rsid w:val="00FE0636"/>
    <w:rsid w:val="00FE093E"/>
    <w:rsid w:val="00FE0D70"/>
    <w:rsid w:val="00FE141B"/>
    <w:rsid w:val="00FE1FAE"/>
    <w:rsid w:val="00FE2C0A"/>
    <w:rsid w:val="00FE2DE6"/>
    <w:rsid w:val="00FE3447"/>
    <w:rsid w:val="00FE3D23"/>
    <w:rsid w:val="00FE41DC"/>
    <w:rsid w:val="00FE4B96"/>
    <w:rsid w:val="00FE68AF"/>
    <w:rsid w:val="00FE6959"/>
    <w:rsid w:val="00FF016E"/>
    <w:rsid w:val="00FF05E5"/>
    <w:rsid w:val="00FF0F80"/>
    <w:rsid w:val="00FF10B4"/>
    <w:rsid w:val="00FF1120"/>
    <w:rsid w:val="00FF12A0"/>
    <w:rsid w:val="00FF1ABA"/>
    <w:rsid w:val="00FF279A"/>
    <w:rsid w:val="00FF3404"/>
    <w:rsid w:val="00FF3A81"/>
    <w:rsid w:val="00FF3B5F"/>
    <w:rsid w:val="00FF3DE9"/>
    <w:rsid w:val="00FF4695"/>
    <w:rsid w:val="00FF53CD"/>
    <w:rsid w:val="00FF583B"/>
    <w:rsid w:val="00FF58E7"/>
    <w:rsid w:val="00FF79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C3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PT"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qFormat="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35"/>
    <w:pPr>
      <w:spacing w:after="12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203BF1"/>
    <w:pPr>
      <w:keepNext/>
      <w:keepLines/>
      <w:numPr>
        <w:numId w:val="5"/>
      </w:numPr>
      <w:spacing w:before="240"/>
      <w:ind w:left="720" w:hanging="720"/>
      <w:outlineLvl w:val="0"/>
    </w:pPr>
    <w:rPr>
      <w:rFonts w:eastAsia="Times New Roman"/>
      <w:b/>
      <w:bCs/>
      <w:color w:val="800000"/>
      <w:kern w:val="32"/>
      <w:sz w:val="32"/>
      <w:szCs w:val="28"/>
    </w:rPr>
  </w:style>
  <w:style w:type="paragraph" w:styleId="Heading2">
    <w:name w:val="heading 2"/>
    <w:basedOn w:val="Normal"/>
    <w:next w:val="Normal"/>
    <w:link w:val="Heading2Char"/>
    <w:uiPriority w:val="99"/>
    <w:qFormat/>
    <w:rsid w:val="00203BF1"/>
    <w:pPr>
      <w:keepNext/>
      <w:keepLines/>
      <w:spacing w:before="240"/>
      <w:ind w:left="720" w:hanging="720"/>
      <w:outlineLvl w:val="1"/>
    </w:pPr>
    <w:rPr>
      <w:rFonts w:eastAsia="Times New Roman"/>
      <w:b/>
      <w:bCs/>
      <w:iCs/>
      <w:color w:val="0000FF"/>
      <w:sz w:val="28"/>
      <w:szCs w:val="28"/>
    </w:rPr>
  </w:style>
  <w:style w:type="paragraph" w:styleId="Heading3">
    <w:name w:val="heading 3"/>
    <w:basedOn w:val="Normal"/>
    <w:next w:val="Normal"/>
    <w:link w:val="Heading3Char"/>
    <w:uiPriority w:val="9"/>
    <w:qFormat/>
    <w:rsid w:val="00954DB1"/>
    <w:pPr>
      <w:keepNext/>
      <w:keepLines/>
      <w:spacing w:before="240"/>
      <w:outlineLvl w:val="2"/>
    </w:pPr>
    <w:rPr>
      <w:rFonts w:eastAsia="Times New Roman"/>
      <w:b/>
      <w:bCs/>
      <w:i/>
      <w:color w:val="660066"/>
      <w:szCs w:val="24"/>
    </w:rPr>
  </w:style>
  <w:style w:type="paragraph" w:styleId="Heading4">
    <w:name w:val="heading 4"/>
    <w:basedOn w:val="Normal"/>
    <w:next w:val="Normal"/>
    <w:link w:val="Heading4Char"/>
    <w:uiPriority w:val="9"/>
    <w:qFormat/>
    <w:rsid w:val="009A3946"/>
    <w:pPr>
      <w:keepNext/>
      <w:numPr>
        <w:ilvl w:val="3"/>
        <w:numId w:val="5"/>
      </w:numPr>
      <w:outlineLvl w:val="3"/>
    </w:pPr>
    <w:rPr>
      <w:rFonts w:eastAsia="Times New Roman"/>
      <w:bCs/>
      <w:szCs w:val="28"/>
    </w:rPr>
  </w:style>
  <w:style w:type="paragraph" w:styleId="Heading5">
    <w:name w:val="heading 5"/>
    <w:basedOn w:val="Heading1"/>
    <w:next w:val="Normal"/>
    <w:link w:val="Heading5Char"/>
    <w:uiPriority w:val="9"/>
    <w:qFormat/>
    <w:rsid w:val="007F19C4"/>
    <w:pPr>
      <w:numPr>
        <w:numId w:val="0"/>
      </w:numPr>
      <w:ind w:left="431" w:hanging="431"/>
      <w:outlineLvl w:val="4"/>
    </w:pPr>
  </w:style>
  <w:style w:type="paragraph" w:styleId="Heading6">
    <w:name w:val="heading 6"/>
    <w:basedOn w:val="Normal"/>
    <w:next w:val="Normal"/>
    <w:link w:val="Heading6Char"/>
    <w:uiPriority w:val="9"/>
    <w:qFormat/>
    <w:rsid w:val="003A6724"/>
    <w:pPr>
      <w:numPr>
        <w:ilvl w:val="5"/>
        <w:numId w:val="5"/>
      </w:numPr>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rsid w:val="003A6724"/>
    <w:pPr>
      <w:numPr>
        <w:ilvl w:val="6"/>
        <w:numId w:val="5"/>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rsid w:val="003A6724"/>
    <w:pPr>
      <w:numPr>
        <w:ilvl w:val="7"/>
        <w:numId w:val="5"/>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rsid w:val="003A6724"/>
    <w:pPr>
      <w:numPr>
        <w:ilvl w:val="8"/>
        <w:numId w:val="5"/>
      </w:num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03BF1"/>
    <w:rPr>
      <w:rFonts w:ascii="Times New Roman" w:eastAsia="Times New Roman" w:hAnsi="Times New Roman"/>
      <w:b/>
      <w:bCs/>
      <w:color w:val="800000"/>
      <w:kern w:val="32"/>
      <w:sz w:val="32"/>
      <w:szCs w:val="28"/>
    </w:rPr>
  </w:style>
  <w:style w:type="character" w:customStyle="1" w:styleId="Heading2Char">
    <w:name w:val="Heading 2 Char"/>
    <w:link w:val="Heading2"/>
    <w:uiPriority w:val="99"/>
    <w:locked/>
    <w:rsid w:val="00203BF1"/>
    <w:rPr>
      <w:rFonts w:ascii="Times New Roman" w:eastAsia="Times New Roman" w:hAnsi="Times New Roman"/>
      <w:b/>
      <w:bCs/>
      <w:iCs/>
      <w:color w:val="0000FF"/>
      <w:sz w:val="28"/>
      <w:szCs w:val="28"/>
      <w:lang w:val="pt-PT"/>
    </w:rPr>
  </w:style>
  <w:style w:type="character" w:customStyle="1" w:styleId="Heading3Char">
    <w:name w:val="Heading 3 Char"/>
    <w:link w:val="Heading3"/>
    <w:uiPriority w:val="9"/>
    <w:locked/>
    <w:rsid w:val="00954DB1"/>
    <w:rPr>
      <w:rFonts w:ascii="Times New Roman" w:eastAsia="Times New Roman" w:hAnsi="Times New Roman"/>
      <w:b/>
      <w:bCs/>
      <w:i/>
      <w:color w:val="660066"/>
      <w:sz w:val="24"/>
      <w:szCs w:val="24"/>
    </w:rPr>
  </w:style>
  <w:style w:type="character" w:customStyle="1" w:styleId="Heading4Char">
    <w:name w:val="Heading 4 Char"/>
    <w:link w:val="Heading4"/>
    <w:uiPriority w:val="9"/>
    <w:locked/>
    <w:rsid w:val="009A3946"/>
    <w:rPr>
      <w:rFonts w:ascii="Helvetica" w:eastAsia="Times New Roman" w:hAnsi="Helvetica"/>
      <w:bCs/>
      <w:sz w:val="22"/>
      <w:szCs w:val="28"/>
      <w:lang w:val="pt-PT"/>
    </w:rPr>
  </w:style>
  <w:style w:type="character" w:customStyle="1" w:styleId="Heading5Char">
    <w:name w:val="Heading 5 Char"/>
    <w:link w:val="Heading5"/>
    <w:uiPriority w:val="9"/>
    <w:locked/>
    <w:rsid w:val="007F19C4"/>
    <w:rPr>
      <w:rFonts w:ascii="Times New Roman" w:eastAsia="Times New Roman" w:hAnsi="Times New Roman"/>
      <w:b/>
      <w:bCs/>
      <w:kern w:val="32"/>
      <w:sz w:val="28"/>
      <w:szCs w:val="28"/>
      <w:lang w:val="pt-PT" w:eastAsia="en-GB"/>
    </w:rPr>
  </w:style>
  <w:style w:type="character" w:customStyle="1" w:styleId="Heading6Char">
    <w:name w:val="Heading 6 Char"/>
    <w:link w:val="Heading6"/>
    <w:uiPriority w:val="9"/>
    <w:locked/>
    <w:rsid w:val="003A6724"/>
    <w:rPr>
      <w:rFonts w:eastAsia="Times New Roman"/>
      <w:b/>
      <w:bCs/>
      <w:lang w:val="pt-PT"/>
    </w:rPr>
  </w:style>
  <w:style w:type="character" w:customStyle="1" w:styleId="Heading7Char">
    <w:name w:val="Heading 7 Char"/>
    <w:link w:val="Heading7"/>
    <w:uiPriority w:val="9"/>
    <w:locked/>
    <w:rsid w:val="003A6724"/>
    <w:rPr>
      <w:rFonts w:eastAsia="Times New Roman"/>
      <w:sz w:val="22"/>
      <w:szCs w:val="24"/>
      <w:lang w:val="pt-PT"/>
    </w:rPr>
  </w:style>
  <w:style w:type="character" w:customStyle="1" w:styleId="Heading8Char">
    <w:name w:val="Heading 8 Char"/>
    <w:link w:val="Heading8"/>
    <w:uiPriority w:val="9"/>
    <w:locked/>
    <w:rsid w:val="003A6724"/>
    <w:rPr>
      <w:rFonts w:eastAsia="Times New Roman"/>
      <w:i/>
      <w:iCs/>
      <w:sz w:val="22"/>
      <w:szCs w:val="24"/>
      <w:lang w:val="pt-PT"/>
    </w:rPr>
  </w:style>
  <w:style w:type="character" w:customStyle="1" w:styleId="Heading9Char">
    <w:name w:val="Heading 9 Char"/>
    <w:link w:val="Heading9"/>
    <w:uiPriority w:val="9"/>
    <w:locked/>
    <w:rsid w:val="003A6724"/>
    <w:rPr>
      <w:rFonts w:ascii="Cambria" w:eastAsia="Times New Roman" w:hAnsi="Cambria"/>
      <w:lang w:val="pt-PT"/>
    </w:rPr>
  </w:style>
  <w:style w:type="paragraph" w:styleId="Header">
    <w:name w:val="header"/>
    <w:basedOn w:val="Normal"/>
    <w:link w:val="HeaderChar"/>
    <w:uiPriority w:val="99"/>
    <w:rsid w:val="00913572"/>
    <w:pPr>
      <w:tabs>
        <w:tab w:val="center" w:pos="4153"/>
        <w:tab w:val="right" w:pos="8306"/>
      </w:tabs>
    </w:pPr>
    <w:rPr>
      <w:szCs w:val="24"/>
    </w:rPr>
  </w:style>
  <w:style w:type="character" w:customStyle="1" w:styleId="HeaderChar">
    <w:name w:val="Header Char"/>
    <w:link w:val="Header"/>
    <w:uiPriority w:val="99"/>
    <w:locked/>
    <w:rsid w:val="00913572"/>
    <w:rPr>
      <w:rFonts w:ascii="Times New Roman" w:hAnsi="Times New Roman" w:cs="Times New Roman"/>
      <w:sz w:val="24"/>
      <w:szCs w:val="24"/>
      <w:lang w:val="pt-PT" w:eastAsia="en-GB"/>
    </w:rPr>
  </w:style>
  <w:style w:type="paragraph" w:styleId="Footer">
    <w:name w:val="footer"/>
    <w:basedOn w:val="Normal"/>
    <w:link w:val="FooterChar"/>
    <w:uiPriority w:val="99"/>
    <w:rsid w:val="00913572"/>
    <w:pPr>
      <w:tabs>
        <w:tab w:val="center" w:pos="4153"/>
        <w:tab w:val="right" w:pos="8306"/>
      </w:tabs>
    </w:pPr>
    <w:rPr>
      <w:szCs w:val="24"/>
    </w:rPr>
  </w:style>
  <w:style w:type="character" w:customStyle="1" w:styleId="FooterChar">
    <w:name w:val="Footer Char"/>
    <w:link w:val="Footer"/>
    <w:uiPriority w:val="99"/>
    <w:locked/>
    <w:rsid w:val="00913572"/>
    <w:rPr>
      <w:rFonts w:ascii="Times New Roman" w:hAnsi="Times New Roman" w:cs="Times New Roman"/>
      <w:sz w:val="24"/>
      <w:szCs w:val="24"/>
      <w:lang w:val="pt-PT" w:eastAsia="en-GB"/>
    </w:rPr>
  </w:style>
  <w:style w:type="character" w:styleId="Hyperlink">
    <w:name w:val="Hyperlink"/>
    <w:uiPriority w:val="99"/>
    <w:rsid w:val="00073B2F"/>
    <w:rPr>
      <w:noProof/>
      <w:color w:val="0000FF"/>
      <w:u w:val="single"/>
    </w:rPr>
  </w:style>
  <w:style w:type="paragraph" w:styleId="TOC2">
    <w:name w:val="toc 2"/>
    <w:basedOn w:val="Normal"/>
    <w:next w:val="Normal"/>
    <w:autoRedefine/>
    <w:uiPriority w:val="39"/>
    <w:qFormat/>
    <w:rsid w:val="007F19C4"/>
    <w:pPr>
      <w:tabs>
        <w:tab w:val="left" w:pos="993"/>
        <w:tab w:val="right" w:leader="dot" w:pos="9072"/>
      </w:tabs>
      <w:ind w:left="426"/>
    </w:pPr>
    <w:rPr>
      <w:rFonts w:eastAsia="Times New Roman"/>
      <w:noProof/>
      <w:szCs w:val="24"/>
    </w:rPr>
  </w:style>
  <w:style w:type="paragraph" w:customStyle="1" w:styleId="smalltabletext">
    <w:name w:val="small table text"/>
    <w:basedOn w:val="Normal"/>
    <w:link w:val="smalltabletextChar"/>
    <w:uiPriority w:val="99"/>
    <w:rsid w:val="00913572"/>
    <w:pPr>
      <w:keepNext/>
      <w:keepLines/>
      <w:numPr>
        <w:numId w:val="1"/>
      </w:numPr>
      <w:tabs>
        <w:tab w:val="clear" w:pos="360"/>
      </w:tabs>
      <w:ind w:left="0" w:firstLine="0"/>
    </w:pPr>
    <w:rPr>
      <w:rFonts w:eastAsia="Times New Roman"/>
      <w:sz w:val="20"/>
      <w:szCs w:val="24"/>
    </w:rPr>
  </w:style>
  <w:style w:type="character" w:customStyle="1" w:styleId="smalltabletextChar">
    <w:name w:val="small table text Char"/>
    <w:link w:val="smalltabletext"/>
    <w:uiPriority w:val="99"/>
    <w:locked/>
    <w:rsid w:val="00913572"/>
    <w:rPr>
      <w:rFonts w:ascii="Helvetica" w:eastAsia="Times New Roman" w:hAnsi="Helvetica"/>
      <w:szCs w:val="24"/>
      <w:lang w:val="pt-PT"/>
    </w:rPr>
  </w:style>
  <w:style w:type="paragraph" w:styleId="ListBullet">
    <w:name w:val="List Bullet"/>
    <w:basedOn w:val="Normal"/>
    <w:uiPriority w:val="99"/>
    <w:rsid w:val="00913572"/>
    <w:pPr>
      <w:tabs>
        <w:tab w:val="num" w:pos="360"/>
      </w:tabs>
      <w:ind w:left="360" w:hanging="360"/>
    </w:pPr>
    <w:rPr>
      <w:rFonts w:eastAsia="Times New Roman"/>
      <w:szCs w:val="24"/>
    </w:rPr>
  </w:style>
  <w:style w:type="table" w:styleId="TableGrid">
    <w:name w:val="Table Grid"/>
    <w:basedOn w:val="TableNormal"/>
    <w:uiPriority w:val="59"/>
    <w:rsid w:val="00913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qFormat/>
    <w:rsid w:val="0086238E"/>
    <w:pPr>
      <w:keepNext/>
      <w:keepLines/>
      <w:spacing w:before="240"/>
    </w:pPr>
    <w:rPr>
      <w:b/>
      <w:lang w:eastAsia="de-DE"/>
    </w:rPr>
  </w:style>
  <w:style w:type="paragraph" w:customStyle="1" w:styleId="StyleCaptionCentered">
    <w:name w:val="Style Caption + Centered"/>
    <w:basedOn w:val="Normal"/>
    <w:uiPriority w:val="99"/>
    <w:rsid w:val="0010370D"/>
    <w:pPr>
      <w:keepNext/>
      <w:keepLines/>
      <w:spacing w:before="80" w:after="80"/>
    </w:pPr>
    <w:rPr>
      <w:rFonts w:eastAsia="Times New Roman"/>
      <w:b/>
      <w:bCs/>
      <w:sz w:val="20"/>
      <w:szCs w:val="20"/>
    </w:rPr>
  </w:style>
  <w:style w:type="paragraph" w:styleId="ListParagraph">
    <w:name w:val="List Paragraph"/>
    <w:basedOn w:val="Normal"/>
    <w:link w:val="ListParagraphChar"/>
    <w:uiPriority w:val="34"/>
    <w:qFormat/>
    <w:rsid w:val="00545E51"/>
    <w:pPr>
      <w:numPr>
        <w:numId w:val="7"/>
      </w:numPr>
      <w:spacing w:after="0"/>
    </w:pPr>
  </w:style>
  <w:style w:type="paragraph" w:customStyle="1" w:styleId="StyleArial11ptJustifiedLinespacing15lines">
    <w:name w:val="Style Arial 11 pt Justified Line spacing:  1.5 lines"/>
    <w:basedOn w:val="Normal"/>
    <w:rsid w:val="003A6724"/>
    <w:rPr>
      <w:rFonts w:eastAsia="Times New Roman"/>
      <w:szCs w:val="20"/>
    </w:rPr>
  </w:style>
  <w:style w:type="paragraph" w:styleId="Subtitle">
    <w:name w:val="Subtitle"/>
    <w:basedOn w:val="Normal"/>
    <w:next w:val="Normal"/>
    <w:link w:val="SubtitleChar"/>
    <w:uiPriority w:val="99"/>
    <w:rsid w:val="003A6724"/>
    <w:pPr>
      <w:spacing w:after="60"/>
      <w:jc w:val="center"/>
      <w:outlineLvl w:val="1"/>
    </w:pPr>
    <w:rPr>
      <w:rFonts w:ascii="Cambria" w:eastAsia="Times New Roman" w:hAnsi="Cambria"/>
      <w:szCs w:val="24"/>
    </w:rPr>
  </w:style>
  <w:style w:type="character" w:customStyle="1" w:styleId="SubtitleChar">
    <w:name w:val="Subtitle Char"/>
    <w:link w:val="Subtitle"/>
    <w:uiPriority w:val="99"/>
    <w:locked/>
    <w:rsid w:val="003A6724"/>
    <w:rPr>
      <w:rFonts w:ascii="Cambria" w:eastAsia="Times New Roman" w:hAnsi="Cambria" w:cs="Times New Roman"/>
      <w:sz w:val="24"/>
      <w:szCs w:val="24"/>
      <w:lang w:val="pt-PT" w:eastAsia="en-GB"/>
    </w:rPr>
  </w:style>
  <w:style w:type="character" w:styleId="Strong">
    <w:name w:val="Strong"/>
    <w:uiPriority w:val="22"/>
    <w:qFormat/>
    <w:rsid w:val="003A6724"/>
    <w:rPr>
      <w:rFonts w:cs="Times New Roman"/>
      <w:b/>
      <w:bCs/>
    </w:rPr>
  </w:style>
  <w:style w:type="paragraph" w:styleId="TOCHeading">
    <w:name w:val="TOC Heading"/>
    <w:basedOn w:val="Heading1"/>
    <w:next w:val="Normal"/>
    <w:uiPriority w:val="39"/>
    <w:semiHidden/>
    <w:unhideWhenUsed/>
    <w:qFormat/>
    <w:rsid w:val="00913572"/>
    <w:pPr>
      <w:numPr>
        <w:numId w:val="0"/>
      </w:numPr>
      <w:spacing w:after="60"/>
      <w:outlineLvl w:val="9"/>
    </w:pPr>
    <w:rPr>
      <w:rFonts w:ascii="Cambria" w:eastAsia="SimSun" w:hAnsi="Cambria"/>
      <w:lang w:eastAsia="en-US"/>
    </w:rPr>
  </w:style>
  <w:style w:type="paragraph" w:styleId="TOC1">
    <w:name w:val="toc 1"/>
    <w:basedOn w:val="Normal"/>
    <w:next w:val="Normal"/>
    <w:autoRedefine/>
    <w:uiPriority w:val="39"/>
    <w:qFormat/>
    <w:rsid w:val="004C6EE9"/>
    <w:pPr>
      <w:tabs>
        <w:tab w:val="left" w:pos="426"/>
        <w:tab w:val="right" w:leader="dot" w:pos="9072"/>
      </w:tabs>
      <w:spacing w:before="240" w:after="60"/>
      <w:ind w:left="425" w:right="-2" w:hanging="425"/>
    </w:pPr>
    <w:rPr>
      <w:rFonts w:eastAsia="Times New Roman"/>
      <w:b/>
      <w:noProof/>
      <w:szCs w:val="24"/>
    </w:rPr>
  </w:style>
  <w:style w:type="paragraph" w:styleId="TOC3">
    <w:name w:val="toc 3"/>
    <w:basedOn w:val="Normal"/>
    <w:next w:val="Normal"/>
    <w:autoRedefine/>
    <w:uiPriority w:val="39"/>
    <w:qFormat/>
    <w:rsid w:val="000E0EDB"/>
    <w:pPr>
      <w:tabs>
        <w:tab w:val="left" w:pos="2127"/>
        <w:tab w:val="right" w:leader="dot" w:pos="9072"/>
      </w:tabs>
      <w:ind w:left="1701" w:right="565" w:hanging="708"/>
    </w:pPr>
    <w:rPr>
      <w:rFonts w:eastAsia="Times New Roman"/>
      <w:noProof/>
      <w:szCs w:val="24"/>
    </w:rPr>
  </w:style>
  <w:style w:type="character" w:customStyle="1" w:styleId="BalloonTextChar">
    <w:name w:val="Balloon Text Char"/>
    <w:uiPriority w:val="99"/>
    <w:locked/>
    <w:rsid w:val="00913572"/>
    <w:rPr>
      <w:rFonts w:ascii="Tahoma" w:hAnsi="Tahoma"/>
      <w:sz w:val="16"/>
      <w:lang w:val="pt-PT" w:eastAsia="en-GB"/>
    </w:rPr>
  </w:style>
  <w:style w:type="paragraph" w:styleId="BalloonText">
    <w:name w:val="Balloon Text"/>
    <w:basedOn w:val="Normal"/>
    <w:link w:val="BalloonTextChar1"/>
    <w:uiPriority w:val="99"/>
    <w:rsid w:val="008D5710"/>
    <w:rPr>
      <w:szCs w:val="20"/>
      <w:lang w:eastAsia="en-US"/>
    </w:rPr>
  </w:style>
  <w:style w:type="character" w:customStyle="1" w:styleId="BalloonTextChar1">
    <w:name w:val="Balloon Text Char1"/>
    <w:link w:val="BalloonText"/>
    <w:uiPriority w:val="99"/>
    <w:locked/>
    <w:rsid w:val="008D5710"/>
    <w:rPr>
      <w:rFonts w:ascii="Times New Roman" w:hAnsi="Times New Roman"/>
      <w:sz w:val="24"/>
      <w:lang w:eastAsia="en-US"/>
    </w:rPr>
  </w:style>
  <w:style w:type="character" w:customStyle="1" w:styleId="BodyTextIndentChar">
    <w:name w:val="Body Text Indent Char"/>
    <w:uiPriority w:val="99"/>
    <w:locked/>
    <w:rsid w:val="00913572"/>
    <w:rPr>
      <w:rFonts w:ascii="Times New Roman" w:hAnsi="Times New Roman"/>
      <w:sz w:val="24"/>
      <w:lang w:val="pt-PT"/>
    </w:rPr>
  </w:style>
  <w:style w:type="paragraph" w:styleId="BodyTextIndent">
    <w:name w:val="Body Text Indent"/>
    <w:basedOn w:val="Normal"/>
    <w:link w:val="BodyTextIndentChar1"/>
    <w:uiPriority w:val="99"/>
    <w:rsid w:val="00913572"/>
    <w:pPr>
      <w:ind w:left="360"/>
    </w:pPr>
    <w:rPr>
      <w:rFonts w:ascii="Arial" w:hAnsi="Arial"/>
      <w:sz w:val="20"/>
      <w:szCs w:val="20"/>
      <w:lang w:eastAsia="en-US"/>
    </w:rPr>
  </w:style>
  <w:style w:type="character" w:customStyle="1" w:styleId="BodyTextIndentChar1">
    <w:name w:val="Body Text Indent Char1"/>
    <w:link w:val="BodyTextIndent"/>
    <w:uiPriority w:val="99"/>
    <w:locked/>
    <w:rsid w:val="001D084F"/>
    <w:rPr>
      <w:rFonts w:ascii="Arial" w:hAnsi="Arial" w:cs="Times New Roman"/>
      <w:lang w:val="pt-PT" w:eastAsia="en-US"/>
    </w:rPr>
  </w:style>
  <w:style w:type="paragraph" w:styleId="TOC4">
    <w:name w:val="toc 4"/>
    <w:basedOn w:val="TOC3"/>
    <w:next w:val="Normal"/>
    <w:autoRedefine/>
    <w:uiPriority w:val="39"/>
    <w:qFormat/>
    <w:rsid w:val="007F19C4"/>
  </w:style>
  <w:style w:type="paragraph" w:customStyle="1" w:styleId="Tabletext">
    <w:name w:val="Table text"/>
    <w:basedOn w:val="Normal"/>
    <w:qFormat/>
    <w:rsid w:val="0086238E"/>
    <w:pPr>
      <w:spacing w:after="60"/>
    </w:pPr>
    <w:rPr>
      <w:sz w:val="22"/>
      <w:lang w:eastAsia="de-DE"/>
    </w:rPr>
  </w:style>
  <w:style w:type="paragraph" w:styleId="TableofFigures">
    <w:name w:val="table of figures"/>
    <w:basedOn w:val="Normal"/>
    <w:next w:val="Normal"/>
    <w:uiPriority w:val="99"/>
    <w:rsid w:val="00614A27"/>
    <w:pPr>
      <w:tabs>
        <w:tab w:val="right" w:leader="dot" w:pos="9072"/>
      </w:tabs>
      <w:ind w:left="1036" w:right="349" w:hanging="1036"/>
    </w:pPr>
    <w:rPr>
      <w:rFonts w:eastAsia="Times New Roman"/>
      <w:szCs w:val="24"/>
    </w:rPr>
  </w:style>
  <w:style w:type="paragraph" w:styleId="BodyText2">
    <w:name w:val="Body Text 2"/>
    <w:basedOn w:val="Normal"/>
    <w:link w:val="BodyText2Char"/>
    <w:uiPriority w:val="99"/>
    <w:rsid w:val="00913572"/>
    <w:rPr>
      <w:sz w:val="20"/>
      <w:szCs w:val="20"/>
    </w:rPr>
  </w:style>
  <w:style w:type="character" w:customStyle="1" w:styleId="BodyText2Char">
    <w:name w:val="Body Text 2 Char"/>
    <w:link w:val="BodyText2"/>
    <w:uiPriority w:val="99"/>
    <w:locked/>
    <w:rsid w:val="00913572"/>
    <w:rPr>
      <w:rFonts w:ascii="Times New Roman" w:hAnsi="Times New Roman" w:cs="Times New Roman"/>
      <w:sz w:val="20"/>
      <w:szCs w:val="20"/>
      <w:lang w:val="pt-PT"/>
    </w:rPr>
  </w:style>
  <w:style w:type="paragraph" w:styleId="FootnoteText">
    <w:name w:val="footnote text"/>
    <w:basedOn w:val="Normal"/>
    <w:link w:val="FootnoteTextChar"/>
    <w:uiPriority w:val="99"/>
    <w:rsid w:val="00913572"/>
    <w:rPr>
      <w:sz w:val="20"/>
      <w:szCs w:val="20"/>
    </w:rPr>
  </w:style>
  <w:style w:type="character" w:customStyle="1" w:styleId="FootnoteTextChar">
    <w:name w:val="Footnote Text Char"/>
    <w:link w:val="FootnoteText"/>
    <w:uiPriority w:val="99"/>
    <w:locked/>
    <w:rsid w:val="00913572"/>
    <w:rPr>
      <w:rFonts w:ascii="Times New Roman" w:hAnsi="Times New Roman" w:cs="Times New Roman"/>
      <w:sz w:val="20"/>
      <w:szCs w:val="20"/>
      <w:lang w:val="pt-PT" w:eastAsia="en-GB"/>
    </w:rPr>
  </w:style>
  <w:style w:type="paragraph" w:styleId="BodyText">
    <w:name w:val="Body Text"/>
    <w:basedOn w:val="Normal"/>
    <w:link w:val="BodyTextChar"/>
    <w:uiPriority w:val="99"/>
    <w:rsid w:val="00913572"/>
    <w:rPr>
      <w:szCs w:val="24"/>
    </w:rPr>
  </w:style>
  <w:style w:type="character" w:customStyle="1" w:styleId="BodyTextChar">
    <w:name w:val="Body Text Char"/>
    <w:link w:val="BodyText"/>
    <w:uiPriority w:val="99"/>
    <w:locked/>
    <w:rsid w:val="00913572"/>
    <w:rPr>
      <w:rFonts w:ascii="Times New Roman" w:hAnsi="Times New Roman" w:cs="Times New Roman"/>
      <w:sz w:val="24"/>
      <w:szCs w:val="24"/>
      <w:lang w:val="pt-PT"/>
    </w:rPr>
  </w:style>
  <w:style w:type="paragraph" w:customStyle="1" w:styleId="TableText0">
    <w:name w:val="Table Text"/>
    <w:basedOn w:val="Normal"/>
    <w:uiPriority w:val="99"/>
    <w:rsid w:val="00913572"/>
    <w:pPr>
      <w:spacing w:before="40" w:after="40"/>
      <w:contextualSpacing/>
    </w:pPr>
    <w:rPr>
      <w:rFonts w:eastAsia="Times New Roman"/>
      <w:sz w:val="18"/>
      <w:szCs w:val="20"/>
    </w:rPr>
  </w:style>
  <w:style w:type="character" w:styleId="Emphasis">
    <w:name w:val="Emphasis"/>
    <w:uiPriority w:val="20"/>
    <w:rsid w:val="003A6724"/>
    <w:rPr>
      <w:rFonts w:cs="Times New Roman"/>
      <w:b/>
      <w:bCs/>
    </w:rPr>
  </w:style>
  <w:style w:type="character" w:customStyle="1" w:styleId="CommentTextChar">
    <w:name w:val="Comment Text Char"/>
    <w:uiPriority w:val="99"/>
    <w:locked/>
    <w:rsid w:val="00913572"/>
    <w:rPr>
      <w:rFonts w:ascii="Times New Roman" w:hAnsi="Times New Roman"/>
      <w:sz w:val="20"/>
      <w:lang w:val="pt-PT" w:eastAsia="en-GB"/>
    </w:rPr>
  </w:style>
  <w:style w:type="paragraph" w:styleId="CommentText">
    <w:name w:val="annotation text"/>
    <w:basedOn w:val="Normal"/>
    <w:link w:val="CommentTextChar1"/>
    <w:uiPriority w:val="99"/>
    <w:rsid w:val="001F7A77"/>
    <w:rPr>
      <w:sz w:val="20"/>
      <w:szCs w:val="20"/>
      <w:lang w:eastAsia="en-US"/>
    </w:rPr>
  </w:style>
  <w:style w:type="character" w:customStyle="1" w:styleId="CommentTextChar1">
    <w:name w:val="Comment Text Char1"/>
    <w:link w:val="CommentText"/>
    <w:uiPriority w:val="99"/>
    <w:locked/>
    <w:rsid w:val="001F7A77"/>
    <w:rPr>
      <w:rFonts w:ascii="Times New Roman" w:hAnsi="Times New Roman"/>
      <w:lang w:val="pt-PT" w:eastAsia="en-US"/>
    </w:rPr>
  </w:style>
  <w:style w:type="character" w:customStyle="1" w:styleId="CommentSubjectChar">
    <w:name w:val="Comment Subject Char"/>
    <w:uiPriority w:val="99"/>
    <w:semiHidden/>
    <w:locked/>
    <w:rsid w:val="00913572"/>
    <w:rPr>
      <w:rFonts w:ascii="Times New Roman" w:hAnsi="Times New Roman"/>
      <w:b/>
      <w:sz w:val="20"/>
      <w:lang w:val="pt-PT" w:eastAsia="en-GB"/>
    </w:rPr>
  </w:style>
  <w:style w:type="paragraph" w:styleId="CommentSubject">
    <w:name w:val="annotation subject"/>
    <w:basedOn w:val="CommentText"/>
    <w:next w:val="CommentText"/>
    <w:link w:val="CommentSubjectChar1"/>
    <w:uiPriority w:val="99"/>
    <w:semiHidden/>
    <w:rsid w:val="00913572"/>
    <w:rPr>
      <w:b/>
      <w:bCs/>
    </w:rPr>
  </w:style>
  <w:style w:type="character" w:customStyle="1" w:styleId="CommentSubjectChar1">
    <w:name w:val="Comment Subject Char1"/>
    <w:link w:val="CommentSubject"/>
    <w:uiPriority w:val="99"/>
    <w:semiHidden/>
    <w:locked/>
    <w:rsid w:val="001D084F"/>
    <w:rPr>
      <w:rFonts w:ascii="Arial" w:hAnsi="Arial" w:cs="Times New Roman"/>
      <w:b/>
      <w:bCs/>
      <w:sz w:val="20"/>
      <w:szCs w:val="20"/>
      <w:lang w:val="pt-PT" w:eastAsia="en-US"/>
    </w:rPr>
  </w:style>
  <w:style w:type="paragraph" w:styleId="NoSpacing">
    <w:name w:val="No Spacing"/>
    <w:uiPriority w:val="1"/>
    <w:qFormat/>
    <w:rsid w:val="00913572"/>
    <w:pPr>
      <w:jc w:val="both"/>
    </w:pPr>
    <w:rPr>
      <w:rFonts w:ascii="Arial" w:hAnsi="Arial"/>
      <w:sz w:val="22"/>
      <w:szCs w:val="22"/>
      <w:lang w:eastAsia="en-US"/>
    </w:rPr>
  </w:style>
  <w:style w:type="character" w:customStyle="1" w:styleId="mcontent">
    <w:name w:val="mcontent"/>
    <w:uiPriority w:val="99"/>
    <w:rsid w:val="00913572"/>
    <w:rPr>
      <w:rFonts w:cs="Times New Roman"/>
    </w:rPr>
  </w:style>
  <w:style w:type="character" w:customStyle="1" w:styleId="yellowfadeinnerspan">
    <w:name w:val="yellowfadeinnerspan"/>
    <w:uiPriority w:val="99"/>
    <w:rsid w:val="00913572"/>
    <w:rPr>
      <w:rFonts w:cs="Times New Roman"/>
    </w:rPr>
  </w:style>
  <w:style w:type="character" w:customStyle="1" w:styleId="spelle">
    <w:name w:val="spelle"/>
    <w:uiPriority w:val="99"/>
    <w:rsid w:val="00913572"/>
    <w:rPr>
      <w:rFonts w:cs="Times New Roman"/>
    </w:rPr>
  </w:style>
  <w:style w:type="paragraph" w:styleId="NormalWeb">
    <w:name w:val="Normal (Web)"/>
    <w:basedOn w:val="Normal"/>
    <w:uiPriority w:val="99"/>
    <w:rsid w:val="00913572"/>
    <w:pPr>
      <w:spacing w:before="100" w:beforeAutospacing="1" w:after="100" w:afterAutospacing="1"/>
    </w:pPr>
    <w:rPr>
      <w:rFonts w:eastAsia="Times New Roman"/>
      <w:szCs w:val="24"/>
    </w:rPr>
  </w:style>
  <w:style w:type="character" w:styleId="PageNumber">
    <w:name w:val="page number"/>
    <w:uiPriority w:val="99"/>
    <w:rsid w:val="00913572"/>
    <w:rPr>
      <w:rFonts w:cs="Times New Roman"/>
    </w:rPr>
  </w:style>
  <w:style w:type="paragraph" w:styleId="TOC5">
    <w:name w:val="toc 5"/>
    <w:basedOn w:val="TOC2"/>
    <w:next w:val="Normal"/>
    <w:autoRedefine/>
    <w:uiPriority w:val="39"/>
    <w:qFormat/>
    <w:rsid w:val="007F19C4"/>
    <w:pPr>
      <w:tabs>
        <w:tab w:val="clear" w:pos="993"/>
      </w:tabs>
      <w:ind w:left="0"/>
    </w:pPr>
  </w:style>
  <w:style w:type="paragraph" w:styleId="TOC6">
    <w:name w:val="toc 6"/>
    <w:basedOn w:val="Normal"/>
    <w:next w:val="Normal"/>
    <w:autoRedefine/>
    <w:uiPriority w:val="39"/>
    <w:rsid w:val="00276768"/>
    <w:pPr>
      <w:spacing w:after="100"/>
      <w:ind w:left="1100"/>
    </w:pPr>
    <w:rPr>
      <w:rFonts w:ascii="Calibri" w:eastAsia="Times New Roman" w:hAnsi="Calibri"/>
    </w:rPr>
  </w:style>
  <w:style w:type="paragraph" w:styleId="TOC7">
    <w:name w:val="toc 7"/>
    <w:basedOn w:val="Normal"/>
    <w:next w:val="Normal"/>
    <w:autoRedefine/>
    <w:uiPriority w:val="39"/>
    <w:rsid w:val="00276768"/>
    <w:pPr>
      <w:spacing w:after="100"/>
      <w:ind w:left="1320"/>
    </w:pPr>
    <w:rPr>
      <w:rFonts w:ascii="Calibri" w:eastAsia="Times New Roman" w:hAnsi="Calibri"/>
    </w:rPr>
  </w:style>
  <w:style w:type="paragraph" w:styleId="TOC8">
    <w:name w:val="toc 8"/>
    <w:basedOn w:val="Normal"/>
    <w:next w:val="Normal"/>
    <w:autoRedefine/>
    <w:uiPriority w:val="39"/>
    <w:rsid w:val="00276768"/>
    <w:pPr>
      <w:spacing w:after="100"/>
      <w:ind w:left="1540"/>
    </w:pPr>
    <w:rPr>
      <w:rFonts w:ascii="Calibri" w:eastAsia="Times New Roman" w:hAnsi="Calibri"/>
    </w:rPr>
  </w:style>
  <w:style w:type="paragraph" w:styleId="TOC9">
    <w:name w:val="toc 9"/>
    <w:basedOn w:val="Normal"/>
    <w:next w:val="Normal"/>
    <w:autoRedefine/>
    <w:uiPriority w:val="39"/>
    <w:qFormat/>
    <w:rsid w:val="00276768"/>
    <w:pPr>
      <w:spacing w:after="100"/>
      <w:ind w:left="1760"/>
    </w:pPr>
    <w:rPr>
      <w:rFonts w:ascii="Calibri" w:eastAsia="Times New Roman" w:hAnsi="Calibri"/>
    </w:rPr>
  </w:style>
  <w:style w:type="character" w:customStyle="1" w:styleId="eight-content">
    <w:name w:val="eight-content"/>
    <w:uiPriority w:val="99"/>
    <w:rsid w:val="000529AD"/>
    <w:rPr>
      <w:rFonts w:cs="Times New Roman"/>
    </w:rPr>
  </w:style>
  <w:style w:type="character" w:customStyle="1" w:styleId="longtext">
    <w:name w:val="long_text"/>
    <w:rsid w:val="00F97A19"/>
    <w:rPr>
      <w:rFonts w:cs="Times New Roman"/>
    </w:rPr>
  </w:style>
  <w:style w:type="character" w:styleId="FootnoteReference">
    <w:name w:val="footnote reference"/>
    <w:uiPriority w:val="99"/>
    <w:semiHidden/>
    <w:rsid w:val="00F3103D"/>
    <w:rPr>
      <w:rFonts w:cs="Times New Roman"/>
      <w:vertAlign w:val="superscript"/>
    </w:rPr>
  </w:style>
  <w:style w:type="character" w:styleId="CommentReference">
    <w:name w:val="annotation reference"/>
    <w:uiPriority w:val="99"/>
    <w:semiHidden/>
    <w:rsid w:val="00F3103D"/>
    <w:rPr>
      <w:rFonts w:cs="Times New Roman"/>
      <w:sz w:val="16"/>
      <w:szCs w:val="16"/>
    </w:rPr>
  </w:style>
  <w:style w:type="character" w:customStyle="1" w:styleId="authors5">
    <w:name w:val="authors5"/>
    <w:uiPriority w:val="99"/>
    <w:rsid w:val="00EC028A"/>
    <w:rPr>
      <w:rFonts w:cs="Times New Roman"/>
    </w:rPr>
  </w:style>
  <w:style w:type="paragraph" w:customStyle="1" w:styleId="CES3">
    <w:name w:val="CES3"/>
    <w:basedOn w:val="Normal"/>
    <w:autoRedefine/>
    <w:uiPriority w:val="99"/>
    <w:locked/>
    <w:rsid w:val="004019EB"/>
    <w:pPr>
      <w:keepNext/>
      <w:keepLines/>
      <w:numPr>
        <w:numId w:val="2"/>
      </w:numPr>
      <w:tabs>
        <w:tab w:val="left" w:pos="1701"/>
        <w:tab w:val="left" w:pos="2552"/>
        <w:tab w:val="left" w:pos="3402"/>
        <w:tab w:val="left" w:pos="4253"/>
        <w:tab w:val="left" w:pos="4366"/>
        <w:tab w:val="left" w:pos="5103"/>
      </w:tabs>
      <w:outlineLvl w:val="2"/>
    </w:pPr>
    <w:rPr>
      <w:rFonts w:eastAsia="Times New Roman"/>
      <w:b/>
      <w:bCs/>
      <w:i/>
      <w:szCs w:val="24"/>
    </w:rPr>
  </w:style>
  <w:style w:type="paragraph" w:customStyle="1" w:styleId="Body">
    <w:name w:val="Body"/>
    <w:uiPriority w:val="99"/>
    <w:rsid w:val="008412B6"/>
    <w:rPr>
      <w:rFonts w:ascii="Helvetica" w:eastAsia="ヒラギノ角ゴ Pro W3" w:hAnsi="Helvetica"/>
      <w:color w:val="000000"/>
      <w:sz w:val="24"/>
      <w:lang w:eastAsia="en-US"/>
    </w:rPr>
  </w:style>
  <w:style w:type="character" w:customStyle="1" w:styleId="citationbook">
    <w:name w:val="citation book"/>
    <w:uiPriority w:val="99"/>
    <w:rsid w:val="00D07D28"/>
    <w:rPr>
      <w:rFonts w:cs="Times New Roman"/>
    </w:rPr>
  </w:style>
  <w:style w:type="character" w:styleId="FollowedHyperlink">
    <w:name w:val="FollowedHyperlink"/>
    <w:uiPriority w:val="99"/>
    <w:rsid w:val="008B4C8B"/>
    <w:rPr>
      <w:rFonts w:cs="Times New Roman"/>
      <w:color w:val="800080"/>
      <w:u w:val="single"/>
    </w:rPr>
  </w:style>
  <w:style w:type="paragraph" w:customStyle="1" w:styleId="tableau">
    <w:name w:val="tableau"/>
    <w:basedOn w:val="Normal"/>
    <w:uiPriority w:val="99"/>
    <w:rsid w:val="00261916"/>
    <w:pPr>
      <w:numPr>
        <w:numId w:val="3"/>
      </w:numPr>
      <w:tabs>
        <w:tab w:val="clear" w:pos="360"/>
      </w:tabs>
      <w:spacing w:before="20" w:after="20"/>
      <w:ind w:left="0" w:firstLine="0"/>
      <w:jc w:val="center"/>
    </w:pPr>
    <w:rPr>
      <w:rFonts w:ascii="Tahoma" w:eastAsia="Times New Roman" w:hAnsi="Tahoma" w:cs="Tahoma"/>
      <w:sz w:val="16"/>
      <w:szCs w:val="24"/>
      <w:lang w:eastAsia="fr-FR"/>
    </w:rPr>
  </w:style>
  <w:style w:type="character" w:customStyle="1" w:styleId="ipa1">
    <w:name w:val="ipa1"/>
    <w:uiPriority w:val="99"/>
    <w:rsid w:val="00EC68BC"/>
    <w:rPr>
      <w:rFonts w:ascii="Arial Unicode MS" w:eastAsia="Arial Unicode MS" w:hAnsi="Arial Unicode MS" w:cs="Arial Unicode MS"/>
    </w:rPr>
  </w:style>
  <w:style w:type="paragraph" w:customStyle="1" w:styleId="astrid">
    <w:name w:val="astrid"/>
    <w:basedOn w:val="ListParagraph"/>
    <w:link w:val="astridChar"/>
    <w:uiPriority w:val="99"/>
    <w:rsid w:val="005826A8"/>
    <w:pPr>
      <w:numPr>
        <w:numId w:val="4"/>
      </w:numPr>
      <w:contextualSpacing/>
    </w:pPr>
  </w:style>
  <w:style w:type="character" w:customStyle="1" w:styleId="astridChar">
    <w:name w:val="astrid Char"/>
    <w:link w:val="astrid"/>
    <w:uiPriority w:val="99"/>
    <w:locked/>
    <w:rsid w:val="005826A8"/>
    <w:rPr>
      <w:rFonts w:ascii="Helvetica" w:hAnsi="Helvetica"/>
      <w:sz w:val="22"/>
      <w:szCs w:val="22"/>
    </w:rPr>
  </w:style>
  <w:style w:type="character" w:customStyle="1" w:styleId="CharChar">
    <w:name w:val="Char Char"/>
    <w:uiPriority w:val="99"/>
    <w:rsid w:val="00654B16"/>
    <w:rPr>
      <w:rFonts w:cs="Times New Roman"/>
      <w:lang w:val="pt-PT" w:eastAsia="en-GB" w:bidi="ar-SA"/>
    </w:rPr>
  </w:style>
  <w:style w:type="character" w:customStyle="1" w:styleId="CharChar3">
    <w:name w:val="Char Char3"/>
    <w:uiPriority w:val="99"/>
    <w:rsid w:val="0016029E"/>
    <w:rPr>
      <w:rFonts w:ascii="Times New Roman" w:eastAsia="Times New Roman" w:hAnsi="Times New Roman" w:cs="Times New Roman"/>
      <w:sz w:val="20"/>
      <w:szCs w:val="20"/>
      <w:lang w:val="pt-PT" w:eastAsia="en-GB"/>
    </w:rPr>
  </w:style>
  <w:style w:type="paragraph" w:customStyle="1" w:styleId="Inhaltsverzeichnisberschrift1">
    <w:name w:val="Inhaltsverzeichnisüberschrift1"/>
    <w:basedOn w:val="Heading1"/>
    <w:next w:val="Normal"/>
    <w:uiPriority w:val="99"/>
    <w:rsid w:val="003A6724"/>
    <w:pPr>
      <w:numPr>
        <w:numId w:val="0"/>
      </w:numPr>
      <w:spacing w:before="480"/>
      <w:outlineLvl w:val="9"/>
    </w:pPr>
    <w:rPr>
      <w:rFonts w:ascii="Cambria" w:hAnsi="Cambria"/>
      <w:color w:val="365F91"/>
      <w:kern w:val="0"/>
      <w:lang w:eastAsia="en-US"/>
    </w:rPr>
  </w:style>
  <w:style w:type="paragraph" w:customStyle="1" w:styleId="KeinLeerraum1">
    <w:name w:val="Kein Leerraum1"/>
    <w:uiPriority w:val="99"/>
    <w:rsid w:val="003A6724"/>
    <w:rPr>
      <w:sz w:val="22"/>
      <w:szCs w:val="22"/>
      <w:lang w:eastAsia="en-US"/>
    </w:rPr>
  </w:style>
  <w:style w:type="table" w:styleId="ColorfulList-Accent1">
    <w:name w:val="Colorful List Accent 1"/>
    <w:basedOn w:val="TableNormal"/>
    <w:uiPriority w:val="72"/>
    <w:rsid w:val="001E27FC"/>
    <w:rPr>
      <w:rFonts w:eastAsia="SimSu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C06DE8"/>
    <w:rPr>
      <w:rFonts w:ascii="Arial" w:hAnsi="Arial"/>
      <w:sz w:val="22"/>
      <w:szCs w:val="22"/>
      <w:lang w:eastAsia="en-US"/>
    </w:rPr>
  </w:style>
  <w:style w:type="paragraph" w:customStyle="1" w:styleId="Special">
    <w:name w:val="Special"/>
    <w:basedOn w:val="Normal"/>
    <w:link w:val="SpecialChar"/>
    <w:qFormat/>
    <w:rsid w:val="008A0B15"/>
  </w:style>
  <w:style w:type="character" w:customStyle="1" w:styleId="SpecialChar">
    <w:name w:val="Special Char"/>
    <w:basedOn w:val="DefaultParagraphFont"/>
    <w:link w:val="Special"/>
    <w:rsid w:val="008A0B15"/>
    <w:rPr>
      <w:rFonts w:ascii="Times New Roman" w:hAnsi="Times New Roman"/>
      <w:sz w:val="24"/>
      <w:szCs w:val="22"/>
      <w:lang w:eastAsia="en-GB"/>
    </w:rPr>
  </w:style>
  <w:style w:type="paragraph" w:customStyle="1" w:styleId="Normalbold">
    <w:name w:val="Normal + bold"/>
    <w:basedOn w:val="Normal"/>
    <w:next w:val="Normal"/>
    <w:uiPriority w:val="99"/>
    <w:rsid w:val="00EC325F"/>
    <w:pPr>
      <w:overflowPunct w:val="0"/>
      <w:autoSpaceDE w:val="0"/>
      <w:autoSpaceDN w:val="0"/>
      <w:adjustRightInd w:val="0"/>
      <w:spacing w:line="480" w:lineRule="atLeast"/>
      <w:textAlignment w:val="baseline"/>
    </w:pPr>
    <w:rPr>
      <w:rFonts w:eastAsia="Times New Roman"/>
      <w:b/>
      <w:bCs/>
      <w:szCs w:val="24"/>
      <w:lang w:eastAsia="en-US"/>
    </w:rPr>
  </w:style>
  <w:style w:type="paragraph" w:styleId="TOAHeading">
    <w:name w:val="toa heading"/>
    <w:basedOn w:val="Normal"/>
    <w:next w:val="Normal"/>
    <w:uiPriority w:val="99"/>
    <w:semiHidden/>
    <w:locked/>
    <w:rsid w:val="00EC325F"/>
    <w:pPr>
      <w:tabs>
        <w:tab w:val="left" w:pos="-720"/>
        <w:tab w:val="left" w:pos="720"/>
        <w:tab w:val="left" w:pos="1440"/>
        <w:tab w:val="left" w:pos="9000"/>
        <w:tab w:val="right" w:pos="9360"/>
        <w:tab w:val="left" w:pos="10080"/>
      </w:tabs>
      <w:suppressAutoHyphens/>
      <w:spacing w:line="480" w:lineRule="auto"/>
    </w:pPr>
    <w:rPr>
      <w:rFonts w:eastAsia="Times New Roman"/>
      <w:szCs w:val="24"/>
      <w:lang w:eastAsia="en-US"/>
    </w:rPr>
  </w:style>
  <w:style w:type="paragraph" w:customStyle="1" w:styleId="Indent1">
    <w:name w:val="Indent 1"/>
    <w:basedOn w:val="Normal"/>
    <w:next w:val="Normal"/>
    <w:uiPriority w:val="99"/>
    <w:rsid w:val="00EC325F"/>
    <w:pPr>
      <w:overflowPunct w:val="0"/>
      <w:autoSpaceDE w:val="0"/>
      <w:autoSpaceDN w:val="0"/>
      <w:adjustRightInd w:val="0"/>
      <w:spacing w:before="120" w:line="360" w:lineRule="atLeast"/>
      <w:ind w:left="561" w:hanging="561"/>
      <w:textAlignment w:val="baseline"/>
    </w:pPr>
    <w:rPr>
      <w:rFonts w:eastAsia="Times New Roman"/>
      <w:szCs w:val="24"/>
      <w:lang w:eastAsia="en-US"/>
    </w:rPr>
  </w:style>
  <w:style w:type="character" w:styleId="LineNumber">
    <w:name w:val="line number"/>
    <w:basedOn w:val="DefaultParagraphFont"/>
    <w:locked/>
    <w:rsid w:val="00EC325F"/>
  </w:style>
  <w:style w:type="paragraph" w:styleId="HTMLPreformatted">
    <w:name w:val="HTML Preformatted"/>
    <w:basedOn w:val="Normal"/>
    <w:link w:val="HTMLPreformattedChar"/>
    <w:uiPriority w:val="99"/>
    <w:unhideWhenUsed/>
    <w:locked/>
    <w:rsid w:val="0033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5968"/>
    <w:rPr>
      <w:rFonts w:ascii="Courier New" w:eastAsia="Times New Roman" w:hAnsi="Courier New" w:cs="Courier New"/>
      <w:lang w:val="pt-PT" w:eastAsia="en-GB"/>
    </w:rPr>
  </w:style>
  <w:style w:type="character" w:customStyle="1" w:styleId="moz-txt-citetags">
    <w:name w:val="moz-txt-citetags"/>
    <w:basedOn w:val="DefaultParagraphFont"/>
    <w:rsid w:val="00335968"/>
  </w:style>
  <w:style w:type="character" w:customStyle="1" w:styleId="A1">
    <w:name w:val="A1"/>
    <w:uiPriority w:val="99"/>
    <w:rsid w:val="00270A1A"/>
    <w:rPr>
      <w:rFonts w:cs="Myriad Pro Cond"/>
      <w:b/>
      <w:bCs/>
      <w:color w:val="1F358C"/>
      <w:sz w:val="40"/>
      <w:szCs w:val="40"/>
    </w:rPr>
  </w:style>
  <w:style w:type="character" w:customStyle="1" w:styleId="hps">
    <w:name w:val="hps"/>
    <w:basedOn w:val="DefaultParagraphFont"/>
    <w:rsid w:val="00E90F95"/>
  </w:style>
  <w:style w:type="character" w:customStyle="1" w:styleId="rightpanediv1">
    <w:name w:val="rightpanediv1"/>
    <w:basedOn w:val="DefaultParagraphFont"/>
    <w:rsid w:val="00AA5D00"/>
  </w:style>
  <w:style w:type="paragraph" w:customStyle="1" w:styleId="EndNoteBibliographyTitle">
    <w:name w:val="EndNote Bibliography Title"/>
    <w:basedOn w:val="Normal"/>
    <w:link w:val="EndNoteBibliographyTitleZchn"/>
    <w:rsid w:val="00BB0002"/>
    <w:pPr>
      <w:spacing w:line="259" w:lineRule="auto"/>
      <w:jc w:val="center"/>
    </w:pPr>
    <w:rPr>
      <w:rFonts w:ascii="Arial" w:eastAsiaTheme="minorEastAsia" w:hAnsi="Arial" w:cs="Arial"/>
      <w:noProof/>
      <w:sz w:val="22"/>
      <w:lang w:eastAsia="ja-JP"/>
    </w:rPr>
  </w:style>
  <w:style w:type="character" w:customStyle="1" w:styleId="EndNoteBibliographyTitleZchn">
    <w:name w:val="EndNote Bibliography Title Zchn"/>
    <w:basedOn w:val="DefaultParagraphFont"/>
    <w:link w:val="EndNoteBibliographyTitle"/>
    <w:rsid w:val="00BB0002"/>
    <w:rPr>
      <w:rFonts w:ascii="Arial" w:eastAsiaTheme="minorEastAsia" w:hAnsi="Arial" w:cs="Arial"/>
      <w:noProof/>
      <w:sz w:val="22"/>
      <w:szCs w:val="22"/>
      <w:lang w:val="pt-PT" w:eastAsia="ja-JP"/>
    </w:rPr>
  </w:style>
  <w:style w:type="paragraph" w:customStyle="1" w:styleId="EndNoteBibliography">
    <w:name w:val="EndNote Bibliography"/>
    <w:basedOn w:val="Normal"/>
    <w:link w:val="EndNoteBibliographyZchn"/>
    <w:rsid w:val="00BB0002"/>
    <w:pPr>
      <w:spacing w:after="160" w:line="240" w:lineRule="auto"/>
    </w:pPr>
    <w:rPr>
      <w:rFonts w:ascii="Arial" w:eastAsiaTheme="minorEastAsia" w:hAnsi="Arial" w:cs="Arial"/>
      <w:noProof/>
      <w:sz w:val="22"/>
      <w:lang w:eastAsia="ja-JP"/>
    </w:rPr>
  </w:style>
  <w:style w:type="character" w:customStyle="1" w:styleId="EndNoteBibliographyZchn">
    <w:name w:val="EndNote Bibliography Zchn"/>
    <w:basedOn w:val="DefaultParagraphFont"/>
    <w:link w:val="EndNoteBibliography"/>
    <w:rsid w:val="00BB0002"/>
    <w:rPr>
      <w:rFonts w:ascii="Arial" w:eastAsiaTheme="minorEastAsia" w:hAnsi="Arial" w:cs="Arial"/>
      <w:noProof/>
      <w:sz w:val="22"/>
      <w:szCs w:val="22"/>
      <w:lang w:val="pt-PT" w:eastAsia="ja-JP"/>
    </w:rPr>
  </w:style>
  <w:style w:type="paragraph" w:styleId="z-TopofForm">
    <w:name w:val="HTML Top of Form"/>
    <w:basedOn w:val="Normal"/>
    <w:next w:val="Normal"/>
    <w:link w:val="z-TopofFormChar"/>
    <w:hidden/>
    <w:uiPriority w:val="99"/>
    <w:semiHidden/>
    <w:unhideWhenUsed/>
    <w:locked/>
    <w:rsid w:val="00BB000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000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locked/>
    <w:rsid w:val="00BB000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0002"/>
    <w:rPr>
      <w:rFonts w:ascii="Arial" w:eastAsia="Times New Roman" w:hAnsi="Arial" w:cs="Arial"/>
      <w:vanish/>
      <w:sz w:val="16"/>
      <w:szCs w:val="16"/>
    </w:rPr>
  </w:style>
  <w:style w:type="paragraph" w:styleId="Title">
    <w:name w:val="Title"/>
    <w:basedOn w:val="Normal"/>
    <w:next w:val="Normal"/>
    <w:link w:val="TitleChar"/>
    <w:uiPriority w:val="10"/>
    <w:qFormat/>
    <w:rsid w:val="00BF5335"/>
    <w:pPr>
      <w:spacing w:before="240" w:after="240" w:line="480" w:lineRule="auto"/>
      <w:jc w:val="center"/>
    </w:pPr>
    <w:rPr>
      <w:rFonts w:eastAsia="MS Gothic" w:cstheme="minorBidi"/>
      <w:b/>
      <w:spacing w:val="5"/>
      <w:kern w:val="28"/>
      <w:sz w:val="40"/>
      <w:szCs w:val="220"/>
      <w:lang w:eastAsia="ja-JP"/>
    </w:rPr>
  </w:style>
  <w:style w:type="character" w:customStyle="1" w:styleId="TitleChar">
    <w:name w:val="Title Char"/>
    <w:basedOn w:val="DefaultParagraphFont"/>
    <w:link w:val="Title"/>
    <w:uiPriority w:val="10"/>
    <w:rsid w:val="00BF5335"/>
    <w:rPr>
      <w:rFonts w:ascii="Times New Roman" w:eastAsia="MS Gothic" w:hAnsi="Times New Roman" w:cstheme="minorBidi"/>
      <w:b/>
      <w:spacing w:val="5"/>
      <w:kern w:val="28"/>
      <w:sz w:val="40"/>
      <w:szCs w:val="220"/>
      <w:lang w:val="pt-PT" w:eastAsia="ja-JP"/>
    </w:rPr>
  </w:style>
  <w:style w:type="paragraph" w:customStyle="1" w:styleId="instruction">
    <w:name w:val="instruction"/>
    <w:basedOn w:val="Normal"/>
    <w:next w:val="Normal"/>
    <w:autoRedefine/>
    <w:qFormat/>
    <w:rsid w:val="005D72F7"/>
    <w:rPr>
      <w:rFonts w:eastAsiaTheme="minorEastAsia" w:cstheme="minorBidi"/>
      <w:b/>
      <w:bCs/>
      <w:iCs/>
      <w:szCs w:val="24"/>
      <w:lang w:eastAsia="ja-JP"/>
    </w:rPr>
  </w:style>
  <w:style w:type="paragraph" w:customStyle="1" w:styleId="ICHE6">
    <w:name w:val="ICH/E6"/>
    <w:basedOn w:val="Normal"/>
    <w:autoRedefine/>
    <w:qFormat/>
    <w:rsid w:val="009721BA"/>
    <w:rPr>
      <w:rFonts w:eastAsiaTheme="minorEastAsia" w:cstheme="minorBidi"/>
      <w:b/>
      <w:color w:val="800000"/>
      <w:sz w:val="18"/>
      <w:szCs w:val="24"/>
      <w:lang w:eastAsia="ja-JP"/>
    </w:rPr>
  </w:style>
  <w:style w:type="paragraph" w:customStyle="1" w:styleId="Tabletitle">
    <w:name w:val="Table_title"/>
    <w:basedOn w:val="Normal"/>
    <w:qFormat/>
    <w:rsid w:val="00CA5668"/>
    <w:pPr>
      <w:spacing w:before="120"/>
    </w:pPr>
    <w:rPr>
      <w:rFonts w:eastAsiaTheme="minorEastAsia" w:cstheme="minorBidi"/>
      <w:b/>
      <w:sz w:val="20"/>
      <w:szCs w:val="24"/>
      <w:lang w:eastAsia="ja-JP"/>
    </w:rPr>
  </w:style>
  <w:style w:type="paragraph" w:customStyle="1" w:styleId="ProtocolTitel1">
    <w:name w:val="Protocol Titel 1"/>
    <w:basedOn w:val="Heading1"/>
    <w:next w:val="Normal"/>
    <w:link w:val="ProtocolTitel1Zeichen"/>
    <w:autoRedefine/>
    <w:qFormat/>
    <w:rsid w:val="00EF3A02"/>
    <w:pPr>
      <w:spacing w:before="480" w:after="240"/>
      <w:ind w:left="432" w:hanging="432"/>
    </w:pPr>
    <w:rPr>
      <w:rFonts w:eastAsia="MS Gothic" w:cstheme="minorBidi"/>
      <w:caps/>
      <w:kern w:val="0"/>
      <w:sz w:val="24"/>
      <w:szCs w:val="24"/>
      <w:lang w:eastAsia="ja-JP"/>
    </w:rPr>
  </w:style>
  <w:style w:type="character" w:customStyle="1" w:styleId="ProtocolTitel1Zeichen">
    <w:name w:val="Protocol Titel 1 Zeichen"/>
    <w:link w:val="ProtocolTitel1"/>
    <w:rsid w:val="00EF3A02"/>
    <w:rPr>
      <w:rFonts w:ascii="Helvetica" w:eastAsia="MS Gothic" w:hAnsi="Helvetica" w:cstheme="minorBidi"/>
      <w:b/>
      <w:bCs/>
      <w:caps/>
      <w:sz w:val="24"/>
      <w:szCs w:val="24"/>
      <w:lang w:val="pt-PT" w:eastAsia="ja-JP"/>
    </w:rPr>
  </w:style>
  <w:style w:type="paragraph" w:customStyle="1" w:styleId="Headerfooter">
    <w:name w:val="Header_footer"/>
    <w:basedOn w:val="Header"/>
    <w:link w:val="HeaderfooterChar"/>
    <w:qFormat/>
    <w:rsid w:val="00186627"/>
    <w:rPr>
      <w:rFonts w:ascii="Arial" w:hAnsi="Arial" w:cs="Arial"/>
      <w:color w:val="808080" w:themeColor="background1" w:themeShade="80"/>
      <w:sz w:val="18"/>
    </w:rPr>
  </w:style>
  <w:style w:type="paragraph" w:customStyle="1" w:styleId="Pa7">
    <w:name w:val="Pa7"/>
    <w:basedOn w:val="Normal"/>
    <w:next w:val="Normal"/>
    <w:uiPriority w:val="99"/>
    <w:rsid w:val="0010370D"/>
    <w:pPr>
      <w:autoSpaceDE w:val="0"/>
      <w:autoSpaceDN w:val="0"/>
      <w:adjustRightInd w:val="0"/>
      <w:spacing w:after="0" w:line="201" w:lineRule="atLeast"/>
    </w:pPr>
    <w:rPr>
      <w:rFonts w:ascii="Myriad Pro" w:hAnsi="Myriad Pro"/>
      <w:szCs w:val="24"/>
    </w:rPr>
  </w:style>
  <w:style w:type="character" w:customStyle="1" w:styleId="HeaderfooterChar">
    <w:name w:val="Header_footer Char"/>
    <w:basedOn w:val="HeaderChar"/>
    <w:link w:val="Headerfooter"/>
    <w:rsid w:val="00186627"/>
    <w:rPr>
      <w:rFonts w:ascii="Arial" w:hAnsi="Arial" w:cs="Arial"/>
      <w:color w:val="808080" w:themeColor="background1" w:themeShade="80"/>
      <w:sz w:val="18"/>
      <w:szCs w:val="24"/>
      <w:lang w:val="pt-PT" w:eastAsia="en-GB"/>
    </w:rPr>
  </w:style>
  <w:style w:type="paragraph" w:customStyle="1" w:styleId="Normaltable">
    <w:name w:val="Normal_table"/>
    <w:basedOn w:val="Normal"/>
    <w:link w:val="NormaltableChar"/>
    <w:qFormat/>
    <w:rsid w:val="00EB14AC"/>
    <w:pPr>
      <w:spacing w:after="0"/>
    </w:pPr>
    <w:rPr>
      <w:rFonts w:ascii="Arial" w:eastAsia="Times New Roman" w:hAnsi="Arial" w:cs="Arial"/>
      <w:sz w:val="20"/>
      <w:szCs w:val="20"/>
    </w:rPr>
  </w:style>
  <w:style w:type="paragraph" w:customStyle="1" w:styleId="Normalleft">
    <w:name w:val="Normal (left"/>
    <w:aliases w:val="no space after)"/>
    <w:basedOn w:val="Normal"/>
    <w:rsid w:val="00FD7BCA"/>
    <w:pPr>
      <w:spacing w:after="0"/>
    </w:pPr>
    <w:rPr>
      <w:rFonts w:ascii="Arial" w:eastAsia="Times New Roman" w:hAnsi="Arial"/>
      <w:lang w:eastAsia="de-DE"/>
    </w:rPr>
  </w:style>
  <w:style w:type="character" w:customStyle="1" w:styleId="NormaltableChar">
    <w:name w:val="Normal_table Char"/>
    <w:basedOn w:val="DefaultParagraphFont"/>
    <w:link w:val="Normaltable"/>
    <w:rsid w:val="00EB14AC"/>
    <w:rPr>
      <w:rFonts w:ascii="Arial" w:eastAsia="Times New Roman" w:hAnsi="Arial" w:cs="Arial"/>
    </w:rPr>
  </w:style>
  <w:style w:type="character" w:customStyle="1" w:styleId="ListParagraphChar">
    <w:name w:val="List Paragraph Char"/>
    <w:basedOn w:val="DefaultParagraphFont"/>
    <w:link w:val="ListParagraph"/>
    <w:uiPriority w:val="34"/>
    <w:rsid w:val="00545E51"/>
    <w:rPr>
      <w:rFonts w:ascii="Helvetica" w:hAnsi="Helvetica"/>
      <w:sz w:val="22"/>
      <w:szCs w:val="22"/>
    </w:rPr>
  </w:style>
  <w:style w:type="table" w:customStyle="1" w:styleId="TableGrid1">
    <w:name w:val="Table Grid1"/>
    <w:basedOn w:val="TableNormal"/>
    <w:next w:val="TableGrid"/>
    <w:uiPriority w:val="59"/>
    <w:rsid w:val="00867B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0">
    <w:name w:val="Normal_Table"/>
    <w:basedOn w:val="Normal"/>
    <w:link w:val="NormalTableChar0"/>
    <w:qFormat/>
    <w:rsid w:val="00FF12A0"/>
    <w:pPr>
      <w:spacing w:before="120" w:after="60" w:line="300" w:lineRule="auto"/>
    </w:pPr>
    <w:rPr>
      <w:rFonts w:ascii="Arial" w:eastAsiaTheme="minorHAnsi" w:hAnsi="Arial" w:cstheme="minorBidi"/>
      <w:color w:val="000000"/>
      <w:sz w:val="20"/>
      <w:szCs w:val="20"/>
      <w:lang w:eastAsia="en-ZA"/>
    </w:rPr>
  </w:style>
  <w:style w:type="character" w:customStyle="1" w:styleId="NormalTableChar0">
    <w:name w:val="Normal_Table Char"/>
    <w:basedOn w:val="DefaultParagraphFont"/>
    <w:link w:val="NormalTable0"/>
    <w:rsid w:val="00FF12A0"/>
    <w:rPr>
      <w:rFonts w:ascii="Arial" w:eastAsiaTheme="minorHAnsi" w:hAnsi="Arial" w:cstheme="minorBidi"/>
      <w:color w:val="000000"/>
      <w:lang w:val="pt-PT" w:eastAsia="en-ZA"/>
    </w:rPr>
  </w:style>
  <w:style w:type="character" w:customStyle="1" w:styleId="Hyperlink0">
    <w:name w:val="Hyperlink.0"/>
    <w:rsid w:val="00B53973"/>
    <w:rPr>
      <w:rFonts w:cs="Times New Roman"/>
      <w:lang w:val="pt-PT" w:eastAsia="x-none"/>
    </w:rPr>
  </w:style>
  <w:style w:type="paragraph" w:customStyle="1" w:styleId="Pa9">
    <w:name w:val="Pa9"/>
    <w:basedOn w:val="Normal"/>
    <w:next w:val="Normal"/>
    <w:uiPriority w:val="99"/>
    <w:rsid w:val="0010370D"/>
    <w:pPr>
      <w:autoSpaceDE w:val="0"/>
      <w:autoSpaceDN w:val="0"/>
      <w:adjustRightInd w:val="0"/>
      <w:spacing w:after="0" w:line="281" w:lineRule="atLeast"/>
    </w:pPr>
    <w:rPr>
      <w:rFonts w:ascii="Myriad Pro" w:hAnsi="Myriad Pro"/>
      <w:szCs w:val="24"/>
    </w:rPr>
  </w:style>
  <w:style w:type="paragraph" w:customStyle="1" w:styleId="Pa6">
    <w:name w:val="Pa6"/>
    <w:basedOn w:val="Normal"/>
    <w:next w:val="Normal"/>
    <w:uiPriority w:val="99"/>
    <w:rsid w:val="0010370D"/>
    <w:pPr>
      <w:autoSpaceDE w:val="0"/>
      <w:autoSpaceDN w:val="0"/>
      <w:adjustRightInd w:val="0"/>
      <w:spacing w:after="0" w:line="201" w:lineRule="atLeast"/>
    </w:pPr>
    <w:rPr>
      <w:rFonts w:ascii="Myriad Pro" w:hAnsi="Myriad Pro"/>
      <w:szCs w:val="24"/>
    </w:rPr>
  </w:style>
  <w:style w:type="paragraph" w:customStyle="1" w:styleId="Pa22">
    <w:name w:val="Pa22"/>
    <w:basedOn w:val="Normal"/>
    <w:next w:val="Normal"/>
    <w:uiPriority w:val="99"/>
    <w:rsid w:val="0010370D"/>
    <w:pPr>
      <w:autoSpaceDE w:val="0"/>
      <w:autoSpaceDN w:val="0"/>
      <w:adjustRightInd w:val="0"/>
      <w:spacing w:after="0" w:line="241" w:lineRule="atLeast"/>
    </w:pPr>
    <w:rPr>
      <w:rFonts w:ascii="Myriad Pro" w:hAnsi="Myriad Pro"/>
      <w:szCs w:val="24"/>
    </w:rPr>
  </w:style>
  <w:style w:type="paragraph" w:customStyle="1" w:styleId="Pa10">
    <w:name w:val="Pa10"/>
    <w:basedOn w:val="Normal"/>
    <w:next w:val="Normal"/>
    <w:uiPriority w:val="99"/>
    <w:rsid w:val="0010370D"/>
    <w:pPr>
      <w:autoSpaceDE w:val="0"/>
      <w:autoSpaceDN w:val="0"/>
      <w:adjustRightInd w:val="0"/>
      <w:spacing w:after="0" w:line="201" w:lineRule="atLeast"/>
    </w:pPr>
    <w:rPr>
      <w:rFonts w:ascii="Myriad Pro" w:hAnsi="Myriad Pro"/>
      <w:szCs w:val="24"/>
    </w:rPr>
  </w:style>
  <w:style w:type="character" w:customStyle="1" w:styleId="NichtaufgelsteErwhnung1">
    <w:name w:val="Nicht aufgelöste Erwähnung1"/>
    <w:basedOn w:val="DefaultParagraphFont"/>
    <w:uiPriority w:val="99"/>
    <w:semiHidden/>
    <w:unhideWhenUsed/>
    <w:rsid w:val="00277FA3"/>
    <w:rPr>
      <w:color w:val="605E5C"/>
      <w:shd w:val="clear" w:color="auto" w:fill="E1DFDD"/>
    </w:rPr>
  </w:style>
  <w:style w:type="paragraph" w:customStyle="1" w:styleId="Normalboldhead">
    <w:name w:val="Normal bold head"/>
    <w:basedOn w:val="Normal"/>
    <w:qFormat/>
    <w:rsid w:val="00BF5335"/>
    <w:pPr>
      <w:keepNext/>
      <w:keepLines/>
      <w:spacing w:before="240"/>
    </w:pPr>
    <w:rPr>
      <w:rFonts w:eastAsia="Times New Roman"/>
      <w:b/>
      <w:color w:val="000000"/>
    </w:rPr>
  </w:style>
  <w:style w:type="paragraph" w:customStyle="1" w:styleId="Normalitalic">
    <w:name w:val="Normal italic"/>
    <w:basedOn w:val="Normal"/>
    <w:qFormat/>
    <w:rsid w:val="00BF5335"/>
    <w:rPr>
      <w:i/>
    </w:rPr>
  </w:style>
  <w:style w:type="paragraph" w:customStyle="1" w:styleId="Bulletlist">
    <w:name w:val="Bullet list"/>
    <w:basedOn w:val="Normal"/>
    <w:qFormat/>
    <w:rsid w:val="0010370D"/>
    <w:pPr>
      <w:numPr>
        <w:numId w:val="37"/>
      </w:numPr>
    </w:pPr>
  </w:style>
  <w:style w:type="paragraph" w:customStyle="1" w:styleId="Listlettered">
    <w:name w:val="List lettered"/>
    <w:basedOn w:val="Normal"/>
    <w:qFormat/>
    <w:rsid w:val="00491FBF"/>
    <w:pPr>
      <w:numPr>
        <w:numId w:val="41"/>
      </w:numPr>
    </w:pPr>
    <w:rPr>
      <w:lang w:eastAsia="de-DE"/>
    </w:rPr>
  </w:style>
  <w:style w:type="paragraph" w:customStyle="1" w:styleId="Listnumbered">
    <w:name w:val="List numbered"/>
    <w:basedOn w:val="Normal"/>
    <w:qFormat/>
    <w:rsid w:val="00D458F5"/>
    <w:pPr>
      <w:numPr>
        <w:numId w:val="44"/>
      </w:numPr>
    </w:pPr>
    <w:rPr>
      <w:rFonts w:cs="Arial"/>
      <w:lang w:eastAsia="de-DE"/>
    </w:rPr>
  </w:style>
  <w:style w:type="paragraph" w:customStyle="1" w:styleId="Figurehead">
    <w:name w:val="Figure head"/>
    <w:basedOn w:val="Tablehead"/>
    <w:qFormat/>
    <w:rsid w:val="00D458F5"/>
  </w:style>
  <w:style w:type="paragraph" w:customStyle="1" w:styleId="Referencelist">
    <w:name w:val="Reference list"/>
    <w:basedOn w:val="Normal"/>
    <w:qFormat/>
    <w:rsid w:val="004033FF"/>
    <w:pPr>
      <w:ind w:left="720" w:hanging="720"/>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639">
      <w:bodyDiv w:val="1"/>
      <w:marLeft w:val="0"/>
      <w:marRight w:val="0"/>
      <w:marTop w:val="0"/>
      <w:marBottom w:val="0"/>
      <w:divBdr>
        <w:top w:val="none" w:sz="0" w:space="0" w:color="auto"/>
        <w:left w:val="none" w:sz="0" w:space="0" w:color="auto"/>
        <w:bottom w:val="none" w:sz="0" w:space="0" w:color="auto"/>
        <w:right w:val="none" w:sz="0" w:space="0" w:color="auto"/>
      </w:divBdr>
      <w:divsChild>
        <w:div w:id="544029577">
          <w:marLeft w:val="0"/>
          <w:marRight w:val="0"/>
          <w:marTop w:val="0"/>
          <w:marBottom w:val="0"/>
          <w:divBdr>
            <w:top w:val="none" w:sz="0" w:space="0" w:color="auto"/>
            <w:left w:val="none" w:sz="0" w:space="0" w:color="auto"/>
            <w:bottom w:val="none" w:sz="0" w:space="0" w:color="auto"/>
            <w:right w:val="none" w:sz="0" w:space="0" w:color="auto"/>
          </w:divBdr>
          <w:divsChild>
            <w:div w:id="4308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242">
      <w:bodyDiv w:val="1"/>
      <w:marLeft w:val="0"/>
      <w:marRight w:val="0"/>
      <w:marTop w:val="0"/>
      <w:marBottom w:val="0"/>
      <w:divBdr>
        <w:top w:val="none" w:sz="0" w:space="0" w:color="auto"/>
        <w:left w:val="none" w:sz="0" w:space="0" w:color="auto"/>
        <w:bottom w:val="none" w:sz="0" w:space="0" w:color="auto"/>
        <w:right w:val="none" w:sz="0" w:space="0" w:color="auto"/>
      </w:divBdr>
    </w:div>
    <w:div w:id="193662743">
      <w:bodyDiv w:val="1"/>
      <w:marLeft w:val="0"/>
      <w:marRight w:val="0"/>
      <w:marTop w:val="0"/>
      <w:marBottom w:val="0"/>
      <w:divBdr>
        <w:top w:val="none" w:sz="0" w:space="0" w:color="auto"/>
        <w:left w:val="none" w:sz="0" w:space="0" w:color="auto"/>
        <w:bottom w:val="none" w:sz="0" w:space="0" w:color="auto"/>
        <w:right w:val="none" w:sz="0" w:space="0" w:color="auto"/>
      </w:divBdr>
    </w:div>
    <w:div w:id="403067829">
      <w:bodyDiv w:val="1"/>
      <w:marLeft w:val="0"/>
      <w:marRight w:val="0"/>
      <w:marTop w:val="0"/>
      <w:marBottom w:val="0"/>
      <w:divBdr>
        <w:top w:val="none" w:sz="0" w:space="0" w:color="auto"/>
        <w:left w:val="none" w:sz="0" w:space="0" w:color="auto"/>
        <w:bottom w:val="none" w:sz="0" w:space="0" w:color="auto"/>
        <w:right w:val="none" w:sz="0" w:space="0" w:color="auto"/>
      </w:divBdr>
    </w:div>
    <w:div w:id="552040419">
      <w:bodyDiv w:val="1"/>
      <w:marLeft w:val="0"/>
      <w:marRight w:val="0"/>
      <w:marTop w:val="0"/>
      <w:marBottom w:val="0"/>
      <w:divBdr>
        <w:top w:val="none" w:sz="0" w:space="0" w:color="auto"/>
        <w:left w:val="none" w:sz="0" w:space="0" w:color="auto"/>
        <w:bottom w:val="none" w:sz="0" w:space="0" w:color="auto"/>
        <w:right w:val="none" w:sz="0" w:space="0" w:color="auto"/>
      </w:divBdr>
      <w:divsChild>
        <w:div w:id="1105493779">
          <w:marLeft w:val="0"/>
          <w:marRight w:val="0"/>
          <w:marTop w:val="0"/>
          <w:marBottom w:val="0"/>
          <w:divBdr>
            <w:top w:val="none" w:sz="0" w:space="0" w:color="auto"/>
            <w:left w:val="none" w:sz="0" w:space="0" w:color="auto"/>
            <w:bottom w:val="none" w:sz="0" w:space="0" w:color="auto"/>
            <w:right w:val="none" w:sz="0" w:space="0" w:color="auto"/>
          </w:divBdr>
          <w:divsChild>
            <w:div w:id="10194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4270">
      <w:bodyDiv w:val="1"/>
      <w:marLeft w:val="0"/>
      <w:marRight w:val="0"/>
      <w:marTop w:val="0"/>
      <w:marBottom w:val="0"/>
      <w:divBdr>
        <w:top w:val="none" w:sz="0" w:space="0" w:color="auto"/>
        <w:left w:val="none" w:sz="0" w:space="0" w:color="auto"/>
        <w:bottom w:val="none" w:sz="0" w:space="0" w:color="auto"/>
        <w:right w:val="none" w:sz="0" w:space="0" w:color="auto"/>
      </w:divBdr>
    </w:div>
    <w:div w:id="670717928">
      <w:bodyDiv w:val="1"/>
      <w:marLeft w:val="0"/>
      <w:marRight w:val="0"/>
      <w:marTop w:val="0"/>
      <w:marBottom w:val="0"/>
      <w:divBdr>
        <w:top w:val="none" w:sz="0" w:space="0" w:color="auto"/>
        <w:left w:val="none" w:sz="0" w:space="0" w:color="auto"/>
        <w:bottom w:val="none" w:sz="0" w:space="0" w:color="auto"/>
        <w:right w:val="none" w:sz="0" w:space="0" w:color="auto"/>
      </w:divBdr>
    </w:div>
    <w:div w:id="1000616138">
      <w:bodyDiv w:val="1"/>
      <w:marLeft w:val="0"/>
      <w:marRight w:val="0"/>
      <w:marTop w:val="0"/>
      <w:marBottom w:val="0"/>
      <w:divBdr>
        <w:top w:val="none" w:sz="0" w:space="0" w:color="auto"/>
        <w:left w:val="none" w:sz="0" w:space="0" w:color="auto"/>
        <w:bottom w:val="none" w:sz="0" w:space="0" w:color="auto"/>
        <w:right w:val="none" w:sz="0" w:space="0" w:color="auto"/>
      </w:divBdr>
    </w:div>
    <w:div w:id="1105879000">
      <w:bodyDiv w:val="1"/>
      <w:marLeft w:val="0"/>
      <w:marRight w:val="0"/>
      <w:marTop w:val="0"/>
      <w:marBottom w:val="0"/>
      <w:divBdr>
        <w:top w:val="none" w:sz="0" w:space="0" w:color="auto"/>
        <w:left w:val="none" w:sz="0" w:space="0" w:color="auto"/>
        <w:bottom w:val="none" w:sz="0" w:space="0" w:color="auto"/>
        <w:right w:val="none" w:sz="0" w:space="0" w:color="auto"/>
      </w:divBdr>
    </w:div>
    <w:div w:id="1190725350">
      <w:bodyDiv w:val="1"/>
      <w:marLeft w:val="0"/>
      <w:marRight w:val="0"/>
      <w:marTop w:val="0"/>
      <w:marBottom w:val="0"/>
      <w:divBdr>
        <w:top w:val="none" w:sz="0" w:space="0" w:color="auto"/>
        <w:left w:val="none" w:sz="0" w:space="0" w:color="auto"/>
        <w:bottom w:val="none" w:sz="0" w:space="0" w:color="auto"/>
        <w:right w:val="none" w:sz="0" w:space="0" w:color="auto"/>
      </w:divBdr>
      <w:divsChild>
        <w:div w:id="1001391823">
          <w:marLeft w:val="0"/>
          <w:marRight w:val="0"/>
          <w:marTop w:val="0"/>
          <w:marBottom w:val="0"/>
          <w:divBdr>
            <w:top w:val="none" w:sz="0" w:space="0" w:color="auto"/>
            <w:left w:val="none" w:sz="0" w:space="0" w:color="auto"/>
            <w:bottom w:val="none" w:sz="0" w:space="0" w:color="auto"/>
            <w:right w:val="none" w:sz="0" w:space="0" w:color="auto"/>
          </w:divBdr>
        </w:div>
        <w:div w:id="1122187862">
          <w:marLeft w:val="0"/>
          <w:marRight w:val="0"/>
          <w:marTop w:val="0"/>
          <w:marBottom w:val="0"/>
          <w:divBdr>
            <w:top w:val="none" w:sz="0" w:space="0" w:color="auto"/>
            <w:left w:val="none" w:sz="0" w:space="0" w:color="auto"/>
            <w:bottom w:val="none" w:sz="0" w:space="0" w:color="auto"/>
            <w:right w:val="none" w:sz="0" w:space="0" w:color="auto"/>
          </w:divBdr>
        </w:div>
        <w:div w:id="470640061">
          <w:marLeft w:val="0"/>
          <w:marRight w:val="0"/>
          <w:marTop w:val="0"/>
          <w:marBottom w:val="0"/>
          <w:divBdr>
            <w:top w:val="none" w:sz="0" w:space="0" w:color="auto"/>
            <w:left w:val="none" w:sz="0" w:space="0" w:color="auto"/>
            <w:bottom w:val="none" w:sz="0" w:space="0" w:color="auto"/>
            <w:right w:val="none" w:sz="0" w:space="0" w:color="auto"/>
          </w:divBdr>
        </w:div>
        <w:div w:id="765536080">
          <w:marLeft w:val="0"/>
          <w:marRight w:val="0"/>
          <w:marTop w:val="0"/>
          <w:marBottom w:val="0"/>
          <w:divBdr>
            <w:top w:val="none" w:sz="0" w:space="0" w:color="auto"/>
            <w:left w:val="none" w:sz="0" w:space="0" w:color="auto"/>
            <w:bottom w:val="none" w:sz="0" w:space="0" w:color="auto"/>
            <w:right w:val="none" w:sz="0" w:space="0" w:color="auto"/>
          </w:divBdr>
        </w:div>
        <w:div w:id="1088694909">
          <w:marLeft w:val="0"/>
          <w:marRight w:val="0"/>
          <w:marTop w:val="0"/>
          <w:marBottom w:val="0"/>
          <w:divBdr>
            <w:top w:val="none" w:sz="0" w:space="0" w:color="auto"/>
            <w:left w:val="none" w:sz="0" w:space="0" w:color="auto"/>
            <w:bottom w:val="none" w:sz="0" w:space="0" w:color="auto"/>
            <w:right w:val="none" w:sz="0" w:space="0" w:color="auto"/>
          </w:divBdr>
        </w:div>
        <w:div w:id="125393457">
          <w:marLeft w:val="0"/>
          <w:marRight w:val="0"/>
          <w:marTop w:val="0"/>
          <w:marBottom w:val="0"/>
          <w:divBdr>
            <w:top w:val="none" w:sz="0" w:space="0" w:color="auto"/>
            <w:left w:val="none" w:sz="0" w:space="0" w:color="auto"/>
            <w:bottom w:val="none" w:sz="0" w:space="0" w:color="auto"/>
            <w:right w:val="none" w:sz="0" w:space="0" w:color="auto"/>
          </w:divBdr>
        </w:div>
        <w:div w:id="874586780">
          <w:marLeft w:val="0"/>
          <w:marRight w:val="0"/>
          <w:marTop w:val="0"/>
          <w:marBottom w:val="0"/>
          <w:divBdr>
            <w:top w:val="none" w:sz="0" w:space="0" w:color="auto"/>
            <w:left w:val="none" w:sz="0" w:space="0" w:color="auto"/>
            <w:bottom w:val="none" w:sz="0" w:space="0" w:color="auto"/>
            <w:right w:val="none" w:sz="0" w:space="0" w:color="auto"/>
          </w:divBdr>
        </w:div>
        <w:div w:id="1447774560">
          <w:marLeft w:val="0"/>
          <w:marRight w:val="0"/>
          <w:marTop w:val="0"/>
          <w:marBottom w:val="0"/>
          <w:divBdr>
            <w:top w:val="none" w:sz="0" w:space="0" w:color="auto"/>
            <w:left w:val="none" w:sz="0" w:space="0" w:color="auto"/>
            <w:bottom w:val="none" w:sz="0" w:space="0" w:color="auto"/>
            <w:right w:val="none" w:sz="0" w:space="0" w:color="auto"/>
          </w:divBdr>
        </w:div>
        <w:div w:id="93792717">
          <w:marLeft w:val="0"/>
          <w:marRight w:val="0"/>
          <w:marTop w:val="0"/>
          <w:marBottom w:val="0"/>
          <w:divBdr>
            <w:top w:val="none" w:sz="0" w:space="0" w:color="auto"/>
            <w:left w:val="none" w:sz="0" w:space="0" w:color="auto"/>
            <w:bottom w:val="none" w:sz="0" w:space="0" w:color="auto"/>
            <w:right w:val="none" w:sz="0" w:space="0" w:color="auto"/>
          </w:divBdr>
        </w:div>
        <w:div w:id="744960129">
          <w:marLeft w:val="0"/>
          <w:marRight w:val="0"/>
          <w:marTop w:val="0"/>
          <w:marBottom w:val="0"/>
          <w:divBdr>
            <w:top w:val="none" w:sz="0" w:space="0" w:color="auto"/>
            <w:left w:val="none" w:sz="0" w:space="0" w:color="auto"/>
            <w:bottom w:val="none" w:sz="0" w:space="0" w:color="auto"/>
            <w:right w:val="none" w:sz="0" w:space="0" w:color="auto"/>
          </w:divBdr>
        </w:div>
        <w:div w:id="1438677940">
          <w:marLeft w:val="0"/>
          <w:marRight w:val="0"/>
          <w:marTop w:val="0"/>
          <w:marBottom w:val="0"/>
          <w:divBdr>
            <w:top w:val="none" w:sz="0" w:space="0" w:color="auto"/>
            <w:left w:val="none" w:sz="0" w:space="0" w:color="auto"/>
            <w:bottom w:val="none" w:sz="0" w:space="0" w:color="auto"/>
            <w:right w:val="none" w:sz="0" w:space="0" w:color="auto"/>
          </w:divBdr>
        </w:div>
        <w:div w:id="1162115238">
          <w:marLeft w:val="0"/>
          <w:marRight w:val="0"/>
          <w:marTop w:val="0"/>
          <w:marBottom w:val="0"/>
          <w:divBdr>
            <w:top w:val="none" w:sz="0" w:space="0" w:color="auto"/>
            <w:left w:val="none" w:sz="0" w:space="0" w:color="auto"/>
            <w:bottom w:val="none" w:sz="0" w:space="0" w:color="auto"/>
            <w:right w:val="none" w:sz="0" w:space="0" w:color="auto"/>
          </w:divBdr>
        </w:div>
        <w:div w:id="368722609">
          <w:marLeft w:val="0"/>
          <w:marRight w:val="0"/>
          <w:marTop w:val="0"/>
          <w:marBottom w:val="0"/>
          <w:divBdr>
            <w:top w:val="none" w:sz="0" w:space="0" w:color="auto"/>
            <w:left w:val="none" w:sz="0" w:space="0" w:color="auto"/>
            <w:bottom w:val="none" w:sz="0" w:space="0" w:color="auto"/>
            <w:right w:val="none" w:sz="0" w:space="0" w:color="auto"/>
          </w:divBdr>
        </w:div>
        <w:div w:id="222839608">
          <w:marLeft w:val="0"/>
          <w:marRight w:val="0"/>
          <w:marTop w:val="0"/>
          <w:marBottom w:val="0"/>
          <w:divBdr>
            <w:top w:val="none" w:sz="0" w:space="0" w:color="auto"/>
            <w:left w:val="none" w:sz="0" w:space="0" w:color="auto"/>
            <w:bottom w:val="none" w:sz="0" w:space="0" w:color="auto"/>
            <w:right w:val="none" w:sz="0" w:space="0" w:color="auto"/>
          </w:divBdr>
        </w:div>
        <w:div w:id="1197042617">
          <w:marLeft w:val="0"/>
          <w:marRight w:val="0"/>
          <w:marTop w:val="0"/>
          <w:marBottom w:val="0"/>
          <w:divBdr>
            <w:top w:val="none" w:sz="0" w:space="0" w:color="auto"/>
            <w:left w:val="none" w:sz="0" w:space="0" w:color="auto"/>
            <w:bottom w:val="none" w:sz="0" w:space="0" w:color="auto"/>
            <w:right w:val="none" w:sz="0" w:space="0" w:color="auto"/>
          </w:divBdr>
        </w:div>
        <w:div w:id="1112167962">
          <w:marLeft w:val="0"/>
          <w:marRight w:val="0"/>
          <w:marTop w:val="0"/>
          <w:marBottom w:val="0"/>
          <w:divBdr>
            <w:top w:val="none" w:sz="0" w:space="0" w:color="auto"/>
            <w:left w:val="none" w:sz="0" w:space="0" w:color="auto"/>
            <w:bottom w:val="none" w:sz="0" w:space="0" w:color="auto"/>
            <w:right w:val="none" w:sz="0" w:space="0" w:color="auto"/>
          </w:divBdr>
        </w:div>
        <w:div w:id="1184056675">
          <w:marLeft w:val="0"/>
          <w:marRight w:val="0"/>
          <w:marTop w:val="0"/>
          <w:marBottom w:val="0"/>
          <w:divBdr>
            <w:top w:val="none" w:sz="0" w:space="0" w:color="auto"/>
            <w:left w:val="none" w:sz="0" w:space="0" w:color="auto"/>
            <w:bottom w:val="none" w:sz="0" w:space="0" w:color="auto"/>
            <w:right w:val="none" w:sz="0" w:space="0" w:color="auto"/>
          </w:divBdr>
        </w:div>
        <w:div w:id="2019111683">
          <w:marLeft w:val="0"/>
          <w:marRight w:val="0"/>
          <w:marTop w:val="0"/>
          <w:marBottom w:val="0"/>
          <w:divBdr>
            <w:top w:val="none" w:sz="0" w:space="0" w:color="auto"/>
            <w:left w:val="none" w:sz="0" w:space="0" w:color="auto"/>
            <w:bottom w:val="none" w:sz="0" w:space="0" w:color="auto"/>
            <w:right w:val="none" w:sz="0" w:space="0" w:color="auto"/>
          </w:divBdr>
        </w:div>
        <w:div w:id="485517229">
          <w:marLeft w:val="0"/>
          <w:marRight w:val="0"/>
          <w:marTop w:val="0"/>
          <w:marBottom w:val="0"/>
          <w:divBdr>
            <w:top w:val="none" w:sz="0" w:space="0" w:color="auto"/>
            <w:left w:val="none" w:sz="0" w:space="0" w:color="auto"/>
            <w:bottom w:val="none" w:sz="0" w:space="0" w:color="auto"/>
            <w:right w:val="none" w:sz="0" w:space="0" w:color="auto"/>
          </w:divBdr>
        </w:div>
        <w:div w:id="1870948139">
          <w:marLeft w:val="0"/>
          <w:marRight w:val="0"/>
          <w:marTop w:val="0"/>
          <w:marBottom w:val="0"/>
          <w:divBdr>
            <w:top w:val="none" w:sz="0" w:space="0" w:color="auto"/>
            <w:left w:val="none" w:sz="0" w:space="0" w:color="auto"/>
            <w:bottom w:val="none" w:sz="0" w:space="0" w:color="auto"/>
            <w:right w:val="none" w:sz="0" w:space="0" w:color="auto"/>
          </w:divBdr>
        </w:div>
        <w:div w:id="2080325786">
          <w:marLeft w:val="0"/>
          <w:marRight w:val="0"/>
          <w:marTop w:val="0"/>
          <w:marBottom w:val="0"/>
          <w:divBdr>
            <w:top w:val="none" w:sz="0" w:space="0" w:color="auto"/>
            <w:left w:val="none" w:sz="0" w:space="0" w:color="auto"/>
            <w:bottom w:val="none" w:sz="0" w:space="0" w:color="auto"/>
            <w:right w:val="none" w:sz="0" w:space="0" w:color="auto"/>
          </w:divBdr>
        </w:div>
        <w:div w:id="1740209114">
          <w:marLeft w:val="0"/>
          <w:marRight w:val="0"/>
          <w:marTop w:val="0"/>
          <w:marBottom w:val="0"/>
          <w:divBdr>
            <w:top w:val="none" w:sz="0" w:space="0" w:color="auto"/>
            <w:left w:val="none" w:sz="0" w:space="0" w:color="auto"/>
            <w:bottom w:val="none" w:sz="0" w:space="0" w:color="auto"/>
            <w:right w:val="none" w:sz="0" w:space="0" w:color="auto"/>
          </w:divBdr>
        </w:div>
        <w:div w:id="2089231878">
          <w:marLeft w:val="0"/>
          <w:marRight w:val="0"/>
          <w:marTop w:val="0"/>
          <w:marBottom w:val="0"/>
          <w:divBdr>
            <w:top w:val="none" w:sz="0" w:space="0" w:color="auto"/>
            <w:left w:val="none" w:sz="0" w:space="0" w:color="auto"/>
            <w:bottom w:val="none" w:sz="0" w:space="0" w:color="auto"/>
            <w:right w:val="none" w:sz="0" w:space="0" w:color="auto"/>
          </w:divBdr>
        </w:div>
        <w:div w:id="1040743762">
          <w:marLeft w:val="0"/>
          <w:marRight w:val="0"/>
          <w:marTop w:val="0"/>
          <w:marBottom w:val="0"/>
          <w:divBdr>
            <w:top w:val="none" w:sz="0" w:space="0" w:color="auto"/>
            <w:left w:val="none" w:sz="0" w:space="0" w:color="auto"/>
            <w:bottom w:val="none" w:sz="0" w:space="0" w:color="auto"/>
            <w:right w:val="none" w:sz="0" w:space="0" w:color="auto"/>
          </w:divBdr>
        </w:div>
        <w:div w:id="1665813938">
          <w:marLeft w:val="0"/>
          <w:marRight w:val="0"/>
          <w:marTop w:val="0"/>
          <w:marBottom w:val="0"/>
          <w:divBdr>
            <w:top w:val="none" w:sz="0" w:space="0" w:color="auto"/>
            <w:left w:val="none" w:sz="0" w:space="0" w:color="auto"/>
            <w:bottom w:val="none" w:sz="0" w:space="0" w:color="auto"/>
            <w:right w:val="none" w:sz="0" w:space="0" w:color="auto"/>
          </w:divBdr>
        </w:div>
        <w:div w:id="1419669000">
          <w:marLeft w:val="0"/>
          <w:marRight w:val="0"/>
          <w:marTop w:val="0"/>
          <w:marBottom w:val="0"/>
          <w:divBdr>
            <w:top w:val="none" w:sz="0" w:space="0" w:color="auto"/>
            <w:left w:val="none" w:sz="0" w:space="0" w:color="auto"/>
            <w:bottom w:val="none" w:sz="0" w:space="0" w:color="auto"/>
            <w:right w:val="none" w:sz="0" w:space="0" w:color="auto"/>
          </w:divBdr>
        </w:div>
        <w:div w:id="1320842969">
          <w:marLeft w:val="0"/>
          <w:marRight w:val="0"/>
          <w:marTop w:val="0"/>
          <w:marBottom w:val="0"/>
          <w:divBdr>
            <w:top w:val="none" w:sz="0" w:space="0" w:color="auto"/>
            <w:left w:val="none" w:sz="0" w:space="0" w:color="auto"/>
            <w:bottom w:val="none" w:sz="0" w:space="0" w:color="auto"/>
            <w:right w:val="none" w:sz="0" w:space="0" w:color="auto"/>
          </w:divBdr>
        </w:div>
        <w:div w:id="92481460">
          <w:marLeft w:val="0"/>
          <w:marRight w:val="0"/>
          <w:marTop w:val="0"/>
          <w:marBottom w:val="0"/>
          <w:divBdr>
            <w:top w:val="none" w:sz="0" w:space="0" w:color="auto"/>
            <w:left w:val="none" w:sz="0" w:space="0" w:color="auto"/>
            <w:bottom w:val="none" w:sz="0" w:space="0" w:color="auto"/>
            <w:right w:val="none" w:sz="0" w:space="0" w:color="auto"/>
          </w:divBdr>
        </w:div>
      </w:divsChild>
    </w:div>
    <w:div w:id="1617171605">
      <w:marLeft w:val="0"/>
      <w:marRight w:val="0"/>
      <w:marTop w:val="0"/>
      <w:marBottom w:val="0"/>
      <w:divBdr>
        <w:top w:val="none" w:sz="0" w:space="0" w:color="auto"/>
        <w:left w:val="none" w:sz="0" w:space="0" w:color="auto"/>
        <w:bottom w:val="none" w:sz="0" w:space="0" w:color="auto"/>
        <w:right w:val="none" w:sz="0" w:space="0" w:color="auto"/>
      </w:divBdr>
    </w:div>
    <w:div w:id="1617171609">
      <w:marLeft w:val="0"/>
      <w:marRight w:val="0"/>
      <w:marTop w:val="0"/>
      <w:marBottom w:val="0"/>
      <w:divBdr>
        <w:top w:val="none" w:sz="0" w:space="0" w:color="auto"/>
        <w:left w:val="none" w:sz="0" w:space="0" w:color="auto"/>
        <w:bottom w:val="none" w:sz="0" w:space="0" w:color="auto"/>
        <w:right w:val="none" w:sz="0" w:space="0" w:color="auto"/>
      </w:divBdr>
    </w:div>
    <w:div w:id="1617171610">
      <w:marLeft w:val="0"/>
      <w:marRight w:val="0"/>
      <w:marTop w:val="0"/>
      <w:marBottom w:val="0"/>
      <w:divBdr>
        <w:top w:val="none" w:sz="0" w:space="0" w:color="auto"/>
        <w:left w:val="none" w:sz="0" w:space="0" w:color="auto"/>
        <w:bottom w:val="none" w:sz="0" w:space="0" w:color="auto"/>
        <w:right w:val="none" w:sz="0" w:space="0" w:color="auto"/>
      </w:divBdr>
      <w:divsChild>
        <w:div w:id="1617171632">
          <w:marLeft w:val="0"/>
          <w:marRight w:val="0"/>
          <w:marTop w:val="0"/>
          <w:marBottom w:val="0"/>
          <w:divBdr>
            <w:top w:val="none" w:sz="0" w:space="0" w:color="auto"/>
            <w:left w:val="none" w:sz="0" w:space="0" w:color="auto"/>
            <w:bottom w:val="none" w:sz="0" w:space="0" w:color="auto"/>
            <w:right w:val="none" w:sz="0" w:space="0" w:color="auto"/>
          </w:divBdr>
          <w:divsChild>
            <w:div w:id="1617171604">
              <w:marLeft w:val="0"/>
              <w:marRight w:val="0"/>
              <w:marTop w:val="0"/>
              <w:marBottom w:val="0"/>
              <w:divBdr>
                <w:top w:val="none" w:sz="0" w:space="0" w:color="auto"/>
                <w:left w:val="none" w:sz="0" w:space="0" w:color="auto"/>
                <w:bottom w:val="none" w:sz="0" w:space="0" w:color="auto"/>
                <w:right w:val="none" w:sz="0" w:space="0" w:color="auto"/>
              </w:divBdr>
            </w:div>
            <w:div w:id="1617171606">
              <w:marLeft w:val="0"/>
              <w:marRight w:val="0"/>
              <w:marTop w:val="0"/>
              <w:marBottom w:val="0"/>
              <w:divBdr>
                <w:top w:val="none" w:sz="0" w:space="0" w:color="auto"/>
                <w:left w:val="none" w:sz="0" w:space="0" w:color="auto"/>
                <w:bottom w:val="none" w:sz="0" w:space="0" w:color="auto"/>
                <w:right w:val="none" w:sz="0" w:space="0" w:color="auto"/>
              </w:divBdr>
            </w:div>
            <w:div w:id="1617171607">
              <w:marLeft w:val="0"/>
              <w:marRight w:val="0"/>
              <w:marTop w:val="0"/>
              <w:marBottom w:val="0"/>
              <w:divBdr>
                <w:top w:val="none" w:sz="0" w:space="0" w:color="auto"/>
                <w:left w:val="none" w:sz="0" w:space="0" w:color="auto"/>
                <w:bottom w:val="none" w:sz="0" w:space="0" w:color="auto"/>
                <w:right w:val="none" w:sz="0" w:space="0" w:color="auto"/>
              </w:divBdr>
            </w:div>
            <w:div w:id="1617171619">
              <w:marLeft w:val="0"/>
              <w:marRight w:val="0"/>
              <w:marTop w:val="0"/>
              <w:marBottom w:val="0"/>
              <w:divBdr>
                <w:top w:val="none" w:sz="0" w:space="0" w:color="auto"/>
                <w:left w:val="none" w:sz="0" w:space="0" w:color="auto"/>
                <w:bottom w:val="none" w:sz="0" w:space="0" w:color="auto"/>
                <w:right w:val="none" w:sz="0" w:space="0" w:color="auto"/>
              </w:divBdr>
            </w:div>
            <w:div w:id="1617171634">
              <w:marLeft w:val="0"/>
              <w:marRight w:val="0"/>
              <w:marTop w:val="0"/>
              <w:marBottom w:val="0"/>
              <w:divBdr>
                <w:top w:val="none" w:sz="0" w:space="0" w:color="auto"/>
                <w:left w:val="none" w:sz="0" w:space="0" w:color="auto"/>
                <w:bottom w:val="none" w:sz="0" w:space="0" w:color="auto"/>
                <w:right w:val="none" w:sz="0" w:space="0" w:color="auto"/>
              </w:divBdr>
            </w:div>
            <w:div w:id="1617171635">
              <w:marLeft w:val="0"/>
              <w:marRight w:val="0"/>
              <w:marTop w:val="0"/>
              <w:marBottom w:val="0"/>
              <w:divBdr>
                <w:top w:val="none" w:sz="0" w:space="0" w:color="auto"/>
                <w:left w:val="none" w:sz="0" w:space="0" w:color="auto"/>
                <w:bottom w:val="none" w:sz="0" w:space="0" w:color="auto"/>
                <w:right w:val="none" w:sz="0" w:space="0" w:color="auto"/>
              </w:divBdr>
            </w:div>
            <w:div w:id="1617171641">
              <w:marLeft w:val="0"/>
              <w:marRight w:val="0"/>
              <w:marTop w:val="0"/>
              <w:marBottom w:val="0"/>
              <w:divBdr>
                <w:top w:val="none" w:sz="0" w:space="0" w:color="auto"/>
                <w:left w:val="none" w:sz="0" w:space="0" w:color="auto"/>
                <w:bottom w:val="none" w:sz="0" w:space="0" w:color="auto"/>
                <w:right w:val="none" w:sz="0" w:space="0" w:color="auto"/>
              </w:divBdr>
            </w:div>
            <w:div w:id="1617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11">
      <w:marLeft w:val="0"/>
      <w:marRight w:val="0"/>
      <w:marTop w:val="0"/>
      <w:marBottom w:val="0"/>
      <w:divBdr>
        <w:top w:val="none" w:sz="0" w:space="0" w:color="auto"/>
        <w:left w:val="none" w:sz="0" w:space="0" w:color="auto"/>
        <w:bottom w:val="none" w:sz="0" w:space="0" w:color="auto"/>
        <w:right w:val="none" w:sz="0" w:space="0" w:color="auto"/>
      </w:divBdr>
    </w:div>
    <w:div w:id="1617171612">
      <w:marLeft w:val="0"/>
      <w:marRight w:val="0"/>
      <w:marTop w:val="0"/>
      <w:marBottom w:val="0"/>
      <w:divBdr>
        <w:top w:val="none" w:sz="0" w:space="0" w:color="auto"/>
        <w:left w:val="none" w:sz="0" w:space="0" w:color="auto"/>
        <w:bottom w:val="none" w:sz="0" w:space="0" w:color="auto"/>
        <w:right w:val="none" w:sz="0" w:space="0" w:color="auto"/>
      </w:divBdr>
    </w:div>
    <w:div w:id="1617171613">
      <w:marLeft w:val="0"/>
      <w:marRight w:val="0"/>
      <w:marTop w:val="0"/>
      <w:marBottom w:val="0"/>
      <w:divBdr>
        <w:top w:val="none" w:sz="0" w:space="0" w:color="auto"/>
        <w:left w:val="none" w:sz="0" w:space="0" w:color="auto"/>
        <w:bottom w:val="none" w:sz="0" w:space="0" w:color="auto"/>
        <w:right w:val="none" w:sz="0" w:space="0" w:color="auto"/>
      </w:divBdr>
    </w:div>
    <w:div w:id="1617171618">
      <w:marLeft w:val="0"/>
      <w:marRight w:val="0"/>
      <w:marTop w:val="0"/>
      <w:marBottom w:val="0"/>
      <w:divBdr>
        <w:top w:val="none" w:sz="0" w:space="0" w:color="auto"/>
        <w:left w:val="none" w:sz="0" w:space="0" w:color="auto"/>
        <w:bottom w:val="none" w:sz="0" w:space="0" w:color="auto"/>
        <w:right w:val="none" w:sz="0" w:space="0" w:color="auto"/>
      </w:divBdr>
    </w:div>
    <w:div w:id="1617171620">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547"/>
          <w:marRight w:val="0"/>
          <w:marTop w:val="134"/>
          <w:marBottom w:val="0"/>
          <w:divBdr>
            <w:top w:val="none" w:sz="0" w:space="0" w:color="auto"/>
            <w:left w:val="none" w:sz="0" w:space="0" w:color="auto"/>
            <w:bottom w:val="none" w:sz="0" w:space="0" w:color="auto"/>
            <w:right w:val="none" w:sz="0" w:space="0" w:color="auto"/>
          </w:divBdr>
        </w:div>
      </w:divsChild>
    </w:div>
    <w:div w:id="1617171622">
      <w:marLeft w:val="0"/>
      <w:marRight w:val="0"/>
      <w:marTop w:val="0"/>
      <w:marBottom w:val="0"/>
      <w:divBdr>
        <w:top w:val="none" w:sz="0" w:space="0" w:color="auto"/>
        <w:left w:val="none" w:sz="0" w:space="0" w:color="auto"/>
        <w:bottom w:val="none" w:sz="0" w:space="0" w:color="auto"/>
        <w:right w:val="none" w:sz="0" w:space="0" w:color="auto"/>
      </w:divBdr>
    </w:div>
    <w:div w:id="1617171623">
      <w:marLeft w:val="0"/>
      <w:marRight w:val="0"/>
      <w:marTop w:val="0"/>
      <w:marBottom w:val="0"/>
      <w:divBdr>
        <w:top w:val="none" w:sz="0" w:space="0" w:color="auto"/>
        <w:left w:val="none" w:sz="0" w:space="0" w:color="auto"/>
        <w:bottom w:val="none" w:sz="0" w:space="0" w:color="auto"/>
        <w:right w:val="none" w:sz="0" w:space="0" w:color="auto"/>
      </w:divBdr>
    </w:div>
    <w:div w:id="1617171624">
      <w:marLeft w:val="0"/>
      <w:marRight w:val="0"/>
      <w:marTop w:val="0"/>
      <w:marBottom w:val="0"/>
      <w:divBdr>
        <w:top w:val="none" w:sz="0" w:space="0" w:color="auto"/>
        <w:left w:val="none" w:sz="0" w:space="0" w:color="auto"/>
        <w:bottom w:val="none" w:sz="0" w:space="0" w:color="auto"/>
        <w:right w:val="none" w:sz="0" w:space="0" w:color="auto"/>
      </w:divBdr>
    </w:div>
    <w:div w:id="1617171625">
      <w:marLeft w:val="0"/>
      <w:marRight w:val="0"/>
      <w:marTop w:val="0"/>
      <w:marBottom w:val="0"/>
      <w:divBdr>
        <w:top w:val="none" w:sz="0" w:space="0" w:color="auto"/>
        <w:left w:val="none" w:sz="0" w:space="0" w:color="auto"/>
        <w:bottom w:val="none" w:sz="0" w:space="0" w:color="auto"/>
        <w:right w:val="none" w:sz="0" w:space="0" w:color="auto"/>
      </w:divBdr>
    </w:div>
    <w:div w:id="1617171626">
      <w:marLeft w:val="0"/>
      <w:marRight w:val="0"/>
      <w:marTop w:val="0"/>
      <w:marBottom w:val="0"/>
      <w:divBdr>
        <w:top w:val="none" w:sz="0" w:space="0" w:color="auto"/>
        <w:left w:val="none" w:sz="0" w:space="0" w:color="auto"/>
        <w:bottom w:val="none" w:sz="0" w:space="0" w:color="auto"/>
        <w:right w:val="none" w:sz="0" w:space="0" w:color="auto"/>
      </w:divBdr>
    </w:div>
    <w:div w:id="1617171627">
      <w:marLeft w:val="0"/>
      <w:marRight w:val="0"/>
      <w:marTop w:val="0"/>
      <w:marBottom w:val="0"/>
      <w:divBdr>
        <w:top w:val="none" w:sz="0" w:space="0" w:color="auto"/>
        <w:left w:val="none" w:sz="0" w:space="0" w:color="auto"/>
        <w:bottom w:val="none" w:sz="0" w:space="0" w:color="auto"/>
        <w:right w:val="none" w:sz="0" w:space="0" w:color="auto"/>
      </w:divBdr>
    </w:div>
    <w:div w:id="1617171628">
      <w:marLeft w:val="0"/>
      <w:marRight w:val="0"/>
      <w:marTop w:val="0"/>
      <w:marBottom w:val="0"/>
      <w:divBdr>
        <w:top w:val="none" w:sz="0" w:space="0" w:color="auto"/>
        <w:left w:val="none" w:sz="0" w:space="0" w:color="auto"/>
        <w:bottom w:val="none" w:sz="0" w:space="0" w:color="auto"/>
        <w:right w:val="none" w:sz="0" w:space="0" w:color="auto"/>
      </w:divBdr>
    </w:div>
    <w:div w:id="1617171631">
      <w:marLeft w:val="0"/>
      <w:marRight w:val="0"/>
      <w:marTop w:val="0"/>
      <w:marBottom w:val="0"/>
      <w:divBdr>
        <w:top w:val="none" w:sz="0" w:space="0" w:color="auto"/>
        <w:left w:val="none" w:sz="0" w:space="0" w:color="auto"/>
        <w:bottom w:val="none" w:sz="0" w:space="0" w:color="auto"/>
        <w:right w:val="none" w:sz="0" w:space="0" w:color="auto"/>
      </w:divBdr>
    </w:div>
    <w:div w:id="1617171636">
      <w:marLeft w:val="0"/>
      <w:marRight w:val="0"/>
      <w:marTop w:val="0"/>
      <w:marBottom w:val="0"/>
      <w:divBdr>
        <w:top w:val="none" w:sz="0" w:space="0" w:color="auto"/>
        <w:left w:val="none" w:sz="0" w:space="0" w:color="auto"/>
        <w:bottom w:val="none" w:sz="0" w:space="0" w:color="auto"/>
        <w:right w:val="none" w:sz="0" w:space="0" w:color="auto"/>
      </w:divBdr>
    </w:div>
    <w:div w:id="1617171637">
      <w:marLeft w:val="0"/>
      <w:marRight w:val="0"/>
      <w:marTop w:val="0"/>
      <w:marBottom w:val="0"/>
      <w:divBdr>
        <w:top w:val="none" w:sz="0" w:space="0" w:color="auto"/>
        <w:left w:val="none" w:sz="0" w:space="0" w:color="auto"/>
        <w:bottom w:val="none" w:sz="0" w:space="0" w:color="auto"/>
        <w:right w:val="none" w:sz="0" w:space="0" w:color="auto"/>
      </w:divBdr>
      <w:divsChild>
        <w:div w:id="1617171617">
          <w:marLeft w:val="0"/>
          <w:marRight w:val="0"/>
          <w:marTop w:val="0"/>
          <w:marBottom w:val="0"/>
          <w:divBdr>
            <w:top w:val="none" w:sz="0" w:space="0" w:color="auto"/>
            <w:left w:val="none" w:sz="0" w:space="0" w:color="auto"/>
            <w:bottom w:val="none" w:sz="0" w:space="0" w:color="auto"/>
            <w:right w:val="none" w:sz="0" w:space="0" w:color="auto"/>
          </w:divBdr>
          <w:divsChild>
            <w:div w:id="1617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40">
      <w:marLeft w:val="0"/>
      <w:marRight w:val="0"/>
      <w:marTop w:val="0"/>
      <w:marBottom w:val="0"/>
      <w:divBdr>
        <w:top w:val="none" w:sz="0" w:space="0" w:color="auto"/>
        <w:left w:val="none" w:sz="0" w:space="0" w:color="auto"/>
        <w:bottom w:val="none" w:sz="0" w:space="0" w:color="auto"/>
        <w:right w:val="none" w:sz="0" w:space="0" w:color="auto"/>
      </w:divBdr>
    </w:div>
    <w:div w:id="1617171642">
      <w:marLeft w:val="0"/>
      <w:marRight w:val="0"/>
      <w:marTop w:val="0"/>
      <w:marBottom w:val="0"/>
      <w:divBdr>
        <w:top w:val="none" w:sz="0" w:space="0" w:color="auto"/>
        <w:left w:val="none" w:sz="0" w:space="0" w:color="auto"/>
        <w:bottom w:val="none" w:sz="0" w:space="0" w:color="auto"/>
        <w:right w:val="none" w:sz="0" w:space="0" w:color="auto"/>
      </w:divBdr>
    </w:div>
    <w:div w:id="1617171643">
      <w:marLeft w:val="0"/>
      <w:marRight w:val="0"/>
      <w:marTop w:val="0"/>
      <w:marBottom w:val="0"/>
      <w:divBdr>
        <w:top w:val="none" w:sz="0" w:space="0" w:color="auto"/>
        <w:left w:val="none" w:sz="0" w:space="0" w:color="auto"/>
        <w:bottom w:val="none" w:sz="0" w:space="0" w:color="auto"/>
        <w:right w:val="none" w:sz="0" w:space="0" w:color="auto"/>
      </w:divBdr>
    </w:div>
    <w:div w:id="1617171644">
      <w:marLeft w:val="0"/>
      <w:marRight w:val="0"/>
      <w:marTop w:val="0"/>
      <w:marBottom w:val="0"/>
      <w:divBdr>
        <w:top w:val="none" w:sz="0" w:space="0" w:color="auto"/>
        <w:left w:val="none" w:sz="0" w:space="0" w:color="auto"/>
        <w:bottom w:val="none" w:sz="0" w:space="0" w:color="auto"/>
        <w:right w:val="none" w:sz="0" w:space="0" w:color="auto"/>
      </w:divBdr>
    </w:div>
    <w:div w:id="1617171646">
      <w:marLeft w:val="0"/>
      <w:marRight w:val="0"/>
      <w:marTop w:val="0"/>
      <w:marBottom w:val="0"/>
      <w:divBdr>
        <w:top w:val="none" w:sz="0" w:space="0" w:color="auto"/>
        <w:left w:val="none" w:sz="0" w:space="0" w:color="auto"/>
        <w:bottom w:val="none" w:sz="0" w:space="0" w:color="auto"/>
        <w:right w:val="none" w:sz="0" w:space="0" w:color="auto"/>
      </w:divBdr>
    </w:div>
    <w:div w:id="1617171648">
      <w:marLeft w:val="0"/>
      <w:marRight w:val="0"/>
      <w:marTop w:val="0"/>
      <w:marBottom w:val="0"/>
      <w:divBdr>
        <w:top w:val="none" w:sz="0" w:space="0" w:color="auto"/>
        <w:left w:val="none" w:sz="0" w:space="0" w:color="auto"/>
        <w:bottom w:val="none" w:sz="0" w:space="0" w:color="auto"/>
        <w:right w:val="none" w:sz="0" w:space="0" w:color="auto"/>
      </w:divBdr>
      <w:divsChild>
        <w:div w:id="1617171616">
          <w:marLeft w:val="0"/>
          <w:marRight w:val="0"/>
          <w:marTop w:val="0"/>
          <w:marBottom w:val="0"/>
          <w:divBdr>
            <w:top w:val="none" w:sz="0" w:space="0" w:color="auto"/>
            <w:left w:val="none" w:sz="0" w:space="0" w:color="auto"/>
            <w:bottom w:val="none" w:sz="0" w:space="0" w:color="auto"/>
            <w:right w:val="none" w:sz="0" w:space="0" w:color="auto"/>
          </w:divBdr>
          <w:divsChild>
            <w:div w:id="1617171614">
              <w:marLeft w:val="0"/>
              <w:marRight w:val="0"/>
              <w:marTop w:val="0"/>
              <w:marBottom w:val="0"/>
              <w:divBdr>
                <w:top w:val="none" w:sz="0" w:space="0" w:color="auto"/>
                <w:left w:val="none" w:sz="0" w:space="0" w:color="auto"/>
                <w:bottom w:val="none" w:sz="0" w:space="0" w:color="auto"/>
                <w:right w:val="none" w:sz="0" w:space="0" w:color="auto"/>
              </w:divBdr>
            </w:div>
            <w:div w:id="1617171615">
              <w:marLeft w:val="0"/>
              <w:marRight w:val="0"/>
              <w:marTop w:val="0"/>
              <w:marBottom w:val="0"/>
              <w:divBdr>
                <w:top w:val="none" w:sz="0" w:space="0" w:color="auto"/>
                <w:left w:val="none" w:sz="0" w:space="0" w:color="auto"/>
                <w:bottom w:val="none" w:sz="0" w:space="0" w:color="auto"/>
                <w:right w:val="none" w:sz="0" w:space="0" w:color="auto"/>
              </w:divBdr>
            </w:div>
            <w:div w:id="1617171621">
              <w:marLeft w:val="0"/>
              <w:marRight w:val="0"/>
              <w:marTop w:val="0"/>
              <w:marBottom w:val="0"/>
              <w:divBdr>
                <w:top w:val="none" w:sz="0" w:space="0" w:color="auto"/>
                <w:left w:val="none" w:sz="0" w:space="0" w:color="auto"/>
                <w:bottom w:val="none" w:sz="0" w:space="0" w:color="auto"/>
                <w:right w:val="none" w:sz="0" w:space="0" w:color="auto"/>
              </w:divBdr>
            </w:div>
            <w:div w:id="1617171629">
              <w:marLeft w:val="0"/>
              <w:marRight w:val="0"/>
              <w:marTop w:val="0"/>
              <w:marBottom w:val="0"/>
              <w:divBdr>
                <w:top w:val="none" w:sz="0" w:space="0" w:color="auto"/>
                <w:left w:val="none" w:sz="0" w:space="0" w:color="auto"/>
                <w:bottom w:val="none" w:sz="0" w:space="0" w:color="auto"/>
                <w:right w:val="none" w:sz="0" w:space="0" w:color="auto"/>
              </w:divBdr>
            </w:div>
            <w:div w:id="1617171633">
              <w:marLeft w:val="0"/>
              <w:marRight w:val="0"/>
              <w:marTop w:val="0"/>
              <w:marBottom w:val="0"/>
              <w:divBdr>
                <w:top w:val="none" w:sz="0" w:space="0" w:color="auto"/>
                <w:left w:val="none" w:sz="0" w:space="0" w:color="auto"/>
                <w:bottom w:val="none" w:sz="0" w:space="0" w:color="auto"/>
                <w:right w:val="none" w:sz="0" w:space="0" w:color="auto"/>
              </w:divBdr>
            </w:div>
            <w:div w:id="1617171638">
              <w:marLeft w:val="0"/>
              <w:marRight w:val="0"/>
              <w:marTop w:val="0"/>
              <w:marBottom w:val="0"/>
              <w:divBdr>
                <w:top w:val="none" w:sz="0" w:space="0" w:color="auto"/>
                <w:left w:val="none" w:sz="0" w:space="0" w:color="auto"/>
                <w:bottom w:val="none" w:sz="0" w:space="0" w:color="auto"/>
                <w:right w:val="none" w:sz="0" w:space="0" w:color="auto"/>
              </w:divBdr>
            </w:div>
            <w:div w:id="1617171645">
              <w:marLeft w:val="0"/>
              <w:marRight w:val="0"/>
              <w:marTop w:val="0"/>
              <w:marBottom w:val="0"/>
              <w:divBdr>
                <w:top w:val="none" w:sz="0" w:space="0" w:color="auto"/>
                <w:left w:val="none" w:sz="0" w:space="0" w:color="auto"/>
                <w:bottom w:val="none" w:sz="0" w:space="0" w:color="auto"/>
                <w:right w:val="none" w:sz="0" w:space="0" w:color="auto"/>
              </w:divBdr>
            </w:div>
            <w:div w:id="1617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1">
      <w:marLeft w:val="0"/>
      <w:marRight w:val="0"/>
      <w:marTop w:val="0"/>
      <w:marBottom w:val="0"/>
      <w:divBdr>
        <w:top w:val="none" w:sz="0" w:space="0" w:color="auto"/>
        <w:left w:val="none" w:sz="0" w:space="0" w:color="auto"/>
        <w:bottom w:val="none" w:sz="0" w:space="0" w:color="auto"/>
        <w:right w:val="none" w:sz="0" w:space="0" w:color="auto"/>
      </w:divBdr>
      <w:divsChild>
        <w:div w:id="1617171630">
          <w:marLeft w:val="0"/>
          <w:marRight w:val="0"/>
          <w:marTop w:val="0"/>
          <w:marBottom w:val="0"/>
          <w:divBdr>
            <w:top w:val="none" w:sz="0" w:space="0" w:color="auto"/>
            <w:left w:val="none" w:sz="0" w:space="0" w:color="auto"/>
            <w:bottom w:val="none" w:sz="0" w:space="0" w:color="auto"/>
            <w:right w:val="none" w:sz="0" w:space="0" w:color="auto"/>
          </w:divBdr>
        </w:div>
      </w:divsChild>
    </w:div>
    <w:div w:id="1617171652">
      <w:marLeft w:val="0"/>
      <w:marRight w:val="0"/>
      <w:marTop w:val="0"/>
      <w:marBottom w:val="0"/>
      <w:divBdr>
        <w:top w:val="none" w:sz="0" w:space="0" w:color="auto"/>
        <w:left w:val="none" w:sz="0" w:space="0" w:color="auto"/>
        <w:bottom w:val="none" w:sz="0" w:space="0" w:color="auto"/>
        <w:right w:val="none" w:sz="0" w:space="0" w:color="auto"/>
      </w:divBdr>
    </w:div>
    <w:div w:id="1617171653">
      <w:marLeft w:val="0"/>
      <w:marRight w:val="0"/>
      <w:marTop w:val="0"/>
      <w:marBottom w:val="0"/>
      <w:divBdr>
        <w:top w:val="none" w:sz="0" w:space="0" w:color="auto"/>
        <w:left w:val="none" w:sz="0" w:space="0" w:color="auto"/>
        <w:bottom w:val="none" w:sz="0" w:space="0" w:color="auto"/>
        <w:right w:val="none" w:sz="0" w:space="0" w:color="auto"/>
      </w:divBdr>
      <w:divsChild>
        <w:div w:id="1617171639">
          <w:marLeft w:val="0"/>
          <w:marRight w:val="0"/>
          <w:marTop w:val="0"/>
          <w:marBottom w:val="0"/>
          <w:divBdr>
            <w:top w:val="none" w:sz="0" w:space="0" w:color="auto"/>
            <w:left w:val="none" w:sz="0" w:space="0" w:color="auto"/>
            <w:bottom w:val="none" w:sz="0" w:space="0" w:color="auto"/>
            <w:right w:val="none" w:sz="0" w:space="0" w:color="auto"/>
          </w:divBdr>
          <w:divsChild>
            <w:div w:id="16171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4">
      <w:marLeft w:val="0"/>
      <w:marRight w:val="0"/>
      <w:marTop w:val="0"/>
      <w:marBottom w:val="0"/>
      <w:divBdr>
        <w:top w:val="none" w:sz="0" w:space="0" w:color="auto"/>
        <w:left w:val="none" w:sz="0" w:space="0" w:color="auto"/>
        <w:bottom w:val="none" w:sz="0" w:space="0" w:color="auto"/>
        <w:right w:val="none" w:sz="0" w:space="0" w:color="auto"/>
      </w:divBdr>
    </w:div>
    <w:div w:id="1617171656">
      <w:marLeft w:val="0"/>
      <w:marRight w:val="0"/>
      <w:marTop w:val="0"/>
      <w:marBottom w:val="0"/>
      <w:divBdr>
        <w:top w:val="none" w:sz="0" w:space="0" w:color="auto"/>
        <w:left w:val="none" w:sz="0" w:space="0" w:color="auto"/>
        <w:bottom w:val="none" w:sz="0" w:space="0" w:color="auto"/>
        <w:right w:val="none" w:sz="0" w:space="0" w:color="auto"/>
      </w:divBdr>
    </w:div>
    <w:div w:id="1617171657">
      <w:marLeft w:val="0"/>
      <w:marRight w:val="0"/>
      <w:marTop w:val="0"/>
      <w:marBottom w:val="0"/>
      <w:divBdr>
        <w:top w:val="none" w:sz="0" w:space="0" w:color="auto"/>
        <w:left w:val="none" w:sz="0" w:space="0" w:color="auto"/>
        <w:bottom w:val="none" w:sz="0" w:space="0" w:color="auto"/>
        <w:right w:val="none" w:sz="0" w:space="0" w:color="auto"/>
      </w:divBdr>
    </w:div>
    <w:div w:id="1752853450">
      <w:bodyDiv w:val="1"/>
      <w:marLeft w:val="0"/>
      <w:marRight w:val="0"/>
      <w:marTop w:val="0"/>
      <w:marBottom w:val="0"/>
      <w:divBdr>
        <w:top w:val="none" w:sz="0" w:space="0" w:color="auto"/>
        <w:left w:val="none" w:sz="0" w:space="0" w:color="auto"/>
        <w:bottom w:val="none" w:sz="0" w:space="0" w:color="auto"/>
        <w:right w:val="none" w:sz="0" w:space="0" w:color="auto"/>
      </w:divBdr>
    </w:div>
    <w:div w:id="1820345360">
      <w:bodyDiv w:val="1"/>
      <w:marLeft w:val="0"/>
      <w:marRight w:val="0"/>
      <w:marTop w:val="0"/>
      <w:marBottom w:val="0"/>
      <w:divBdr>
        <w:top w:val="none" w:sz="0" w:space="0" w:color="auto"/>
        <w:left w:val="none" w:sz="0" w:space="0" w:color="auto"/>
        <w:bottom w:val="none" w:sz="0" w:space="0" w:color="auto"/>
        <w:right w:val="none" w:sz="0" w:space="0" w:color="auto"/>
      </w:divBdr>
    </w:div>
    <w:div w:id="1865748898">
      <w:bodyDiv w:val="1"/>
      <w:marLeft w:val="0"/>
      <w:marRight w:val="0"/>
      <w:marTop w:val="0"/>
      <w:marBottom w:val="0"/>
      <w:divBdr>
        <w:top w:val="none" w:sz="0" w:space="0" w:color="auto"/>
        <w:left w:val="none" w:sz="0" w:space="0" w:color="auto"/>
        <w:bottom w:val="none" w:sz="0" w:space="0" w:color="auto"/>
        <w:right w:val="none" w:sz="0" w:space="0" w:color="auto"/>
      </w:divBdr>
    </w:div>
    <w:div w:id="1975284912">
      <w:bodyDiv w:val="1"/>
      <w:marLeft w:val="0"/>
      <w:marRight w:val="0"/>
      <w:marTop w:val="0"/>
      <w:marBottom w:val="0"/>
      <w:divBdr>
        <w:top w:val="none" w:sz="0" w:space="0" w:color="auto"/>
        <w:left w:val="none" w:sz="0" w:space="0" w:color="auto"/>
        <w:bottom w:val="none" w:sz="0" w:space="0" w:color="auto"/>
        <w:right w:val="none" w:sz="0" w:space="0" w:color="auto"/>
      </w:divBdr>
    </w:div>
    <w:div w:id="1990935758">
      <w:bodyDiv w:val="1"/>
      <w:marLeft w:val="0"/>
      <w:marRight w:val="0"/>
      <w:marTop w:val="0"/>
      <w:marBottom w:val="0"/>
      <w:divBdr>
        <w:top w:val="none" w:sz="0" w:space="0" w:color="auto"/>
        <w:left w:val="none" w:sz="0" w:space="0" w:color="auto"/>
        <w:bottom w:val="none" w:sz="0" w:space="0" w:color="auto"/>
        <w:right w:val="none" w:sz="0" w:space="0" w:color="auto"/>
      </w:divBdr>
    </w:div>
    <w:div w:id="2109346522">
      <w:bodyDiv w:val="1"/>
      <w:marLeft w:val="0"/>
      <w:marRight w:val="0"/>
      <w:marTop w:val="0"/>
      <w:marBottom w:val="0"/>
      <w:divBdr>
        <w:top w:val="none" w:sz="0" w:space="0" w:color="auto"/>
        <w:left w:val="none" w:sz="0" w:space="0" w:color="auto"/>
        <w:bottom w:val="none" w:sz="0" w:space="0" w:color="auto"/>
        <w:right w:val="none" w:sz="0" w:space="0" w:color="auto"/>
      </w:divBdr>
    </w:div>
    <w:div w:id="2139178316">
      <w:bodyDiv w:val="1"/>
      <w:marLeft w:val="0"/>
      <w:marRight w:val="0"/>
      <w:marTop w:val="0"/>
      <w:marBottom w:val="0"/>
      <w:divBdr>
        <w:top w:val="none" w:sz="0" w:space="0" w:color="auto"/>
        <w:left w:val="none" w:sz="0" w:space="0" w:color="auto"/>
        <w:bottom w:val="none" w:sz="0" w:space="0" w:color="auto"/>
        <w:right w:val="none" w:sz="0" w:space="0" w:color="auto"/>
      </w:divBdr>
      <w:divsChild>
        <w:div w:id="710153841">
          <w:marLeft w:val="0"/>
          <w:marRight w:val="0"/>
          <w:marTop w:val="0"/>
          <w:marBottom w:val="0"/>
          <w:divBdr>
            <w:top w:val="none" w:sz="0" w:space="0" w:color="auto"/>
            <w:left w:val="none" w:sz="0" w:space="0" w:color="auto"/>
            <w:bottom w:val="none" w:sz="0" w:space="0" w:color="auto"/>
            <w:right w:val="none" w:sz="0" w:space="0" w:color="auto"/>
          </w:divBdr>
          <w:divsChild>
            <w:div w:id="5851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who.int/iris/handle/10665/2471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content/undp/en/home/librarypage/capacity-building/capacity-development-a-undp-prime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s.who.int/iris/handle/10665/162849" TargetMode="External"/><Relationship Id="rId4" Type="http://schemas.openxmlformats.org/officeDocument/2006/relationships/settings" Target="settings.xml"/><Relationship Id="rId9" Type="http://schemas.openxmlformats.org/officeDocument/2006/relationships/hyperlink" Target="http://www.mercuryconventio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2CC20-BA45-431A-9764-79FB03AA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3432</Words>
  <Characters>18882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22270</CharactersWithSpaces>
  <SharedDoc>false</SharedDoc>
  <HLinks>
    <vt:vector size="246" baseType="variant">
      <vt:variant>
        <vt:i4>1703989</vt:i4>
      </vt:variant>
      <vt:variant>
        <vt:i4>248</vt:i4>
      </vt:variant>
      <vt:variant>
        <vt:i4>0</vt:i4>
      </vt:variant>
      <vt:variant>
        <vt:i4>5</vt:i4>
      </vt:variant>
      <vt:variant>
        <vt:lpwstr/>
      </vt:variant>
      <vt:variant>
        <vt:lpwstr>_Toc320523493</vt:lpwstr>
      </vt:variant>
      <vt:variant>
        <vt:i4>1703989</vt:i4>
      </vt:variant>
      <vt:variant>
        <vt:i4>242</vt:i4>
      </vt:variant>
      <vt:variant>
        <vt:i4>0</vt:i4>
      </vt:variant>
      <vt:variant>
        <vt:i4>5</vt:i4>
      </vt:variant>
      <vt:variant>
        <vt:lpwstr/>
      </vt:variant>
      <vt:variant>
        <vt:lpwstr>_Toc320523492</vt:lpwstr>
      </vt:variant>
      <vt:variant>
        <vt:i4>1703989</vt:i4>
      </vt:variant>
      <vt:variant>
        <vt:i4>236</vt:i4>
      </vt:variant>
      <vt:variant>
        <vt:i4>0</vt:i4>
      </vt:variant>
      <vt:variant>
        <vt:i4>5</vt:i4>
      </vt:variant>
      <vt:variant>
        <vt:lpwstr/>
      </vt:variant>
      <vt:variant>
        <vt:lpwstr>_Toc320523491</vt:lpwstr>
      </vt:variant>
      <vt:variant>
        <vt:i4>1703989</vt:i4>
      </vt:variant>
      <vt:variant>
        <vt:i4>230</vt:i4>
      </vt:variant>
      <vt:variant>
        <vt:i4>0</vt:i4>
      </vt:variant>
      <vt:variant>
        <vt:i4>5</vt:i4>
      </vt:variant>
      <vt:variant>
        <vt:lpwstr/>
      </vt:variant>
      <vt:variant>
        <vt:lpwstr>_Toc320523490</vt:lpwstr>
      </vt:variant>
      <vt:variant>
        <vt:i4>1769525</vt:i4>
      </vt:variant>
      <vt:variant>
        <vt:i4>224</vt:i4>
      </vt:variant>
      <vt:variant>
        <vt:i4>0</vt:i4>
      </vt:variant>
      <vt:variant>
        <vt:i4>5</vt:i4>
      </vt:variant>
      <vt:variant>
        <vt:lpwstr/>
      </vt:variant>
      <vt:variant>
        <vt:lpwstr>_Toc320523489</vt:lpwstr>
      </vt:variant>
      <vt:variant>
        <vt:i4>1769525</vt:i4>
      </vt:variant>
      <vt:variant>
        <vt:i4>218</vt:i4>
      </vt:variant>
      <vt:variant>
        <vt:i4>0</vt:i4>
      </vt:variant>
      <vt:variant>
        <vt:i4>5</vt:i4>
      </vt:variant>
      <vt:variant>
        <vt:lpwstr/>
      </vt:variant>
      <vt:variant>
        <vt:lpwstr>_Toc320523488</vt:lpwstr>
      </vt:variant>
      <vt:variant>
        <vt:i4>1769525</vt:i4>
      </vt:variant>
      <vt:variant>
        <vt:i4>209</vt:i4>
      </vt:variant>
      <vt:variant>
        <vt:i4>0</vt:i4>
      </vt:variant>
      <vt:variant>
        <vt:i4>5</vt:i4>
      </vt:variant>
      <vt:variant>
        <vt:lpwstr/>
      </vt:variant>
      <vt:variant>
        <vt:lpwstr>_Toc320523487</vt:lpwstr>
      </vt:variant>
      <vt:variant>
        <vt:i4>1769525</vt:i4>
      </vt:variant>
      <vt:variant>
        <vt:i4>203</vt:i4>
      </vt:variant>
      <vt:variant>
        <vt:i4>0</vt:i4>
      </vt:variant>
      <vt:variant>
        <vt:i4>5</vt:i4>
      </vt:variant>
      <vt:variant>
        <vt:lpwstr/>
      </vt:variant>
      <vt:variant>
        <vt:lpwstr>_Toc320523486</vt:lpwstr>
      </vt:variant>
      <vt:variant>
        <vt:i4>1769525</vt:i4>
      </vt:variant>
      <vt:variant>
        <vt:i4>197</vt:i4>
      </vt:variant>
      <vt:variant>
        <vt:i4>0</vt:i4>
      </vt:variant>
      <vt:variant>
        <vt:i4>5</vt:i4>
      </vt:variant>
      <vt:variant>
        <vt:lpwstr/>
      </vt:variant>
      <vt:variant>
        <vt:lpwstr>_Toc320523485</vt:lpwstr>
      </vt:variant>
      <vt:variant>
        <vt:i4>1769525</vt:i4>
      </vt:variant>
      <vt:variant>
        <vt:i4>191</vt:i4>
      </vt:variant>
      <vt:variant>
        <vt:i4>0</vt:i4>
      </vt:variant>
      <vt:variant>
        <vt:i4>5</vt:i4>
      </vt:variant>
      <vt:variant>
        <vt:lpwstr/>
      </vt:variant>
      <vt:variant>
        <vt:lpwstr>_Toc320523484</vt:lpwstr>
      </vt:variant>
      <vt:variant>
        <vt:i4>1769525</vt:i4>
      </vt:variant>
      <vt:variant>
        <vt:i4>185</vt:i4>
      </vt:variant>
      <vt:variant>
        <vt:i4>0</vt:i4>
      </vt:variant>
      <vt:variant>
        <vt:i4>5</vt:i4>
      </vt:variant>
      <vt:variant>
        <vt:lpwstr/>
      </vt:variant>
      <vt:variant>
        <vt:lpwstr>_Toc320523483</vt:lpwstr>
      </vt:variant>
      <vt:variant>
        <vt:i4>1769525</vt:i4>
      </vt:variant>
      <vt:variant>
        <vt:i4>179</vt:i4>
      </vt:variant>
      <vt:variant>
        <vt:i4>0</vt:i4>
      </vt:variant>
      <vt:variant>
        <vt:i4>5</vt:i4>
      </vt:variant>
      <vt:variant>
        <vt:lpwstr/>
      </vt:variant>
      <vt:variant>
        <vt:lpwstr>_Toc320523482</vt:lpwstr>
      </vt:variant>
      <vt:variant>
        <vt:i4>1769525</vt:i4>
      </vt:variant>
      <vt:variant>
        <vt:i4>170</vt:i4>
      </vt:variant>
      <vt:variant>
        <vt:i4>0</vt:i4>
      </vt:variant>
      <vt:variant>
        <vt:i4>5</vt:i4>
      </vt:variant>
      <vt:variant>
        <vt:lpwstr/>
      </vt:variant>
      <vt:variant>
        <vt:lpwstr>_Toc320523481</vt:lpwstr>
      </vt:variant>
      <vt:variant>
        <vt:i4>1769525</vt:i4>
      </vt:variant>
      <vt:variant>
        <vt:i4>164</vt:i4>
      </vt:variant>
      <vt:variant>
        <vt:i4>0</vt:i4>
      </vt:variant>
      <vt:variant>
        <vt:i4>5</vt:i4>
      </vt:variant>
      <vt:variant>
        <vt:lpwstr/>
      </vt:variant>
      <vt:variant>
        <vt:lpwstr>_Toc320523480</vt:lpwstr>
      </vt:variant>
      <vt:variant>
        <vt:i4>1310773</vt:i4>
      </vt:variant>
      <vt:variant>
        <vt:i4>158</vt:i4>
      </vt:variant>
      <vt:variant>
        <vt:i4>0</vt:i4>
      </vt:variant>
      <vt:variant>
        <vt:i4>5</vt:i4>
      </vt:variant>
      <vt:variant>
        <vt:lpwstr/>
      </vt:variant>
      <vt:variant>
        <vt:lpwstr>_Toc320523479</vt:lpwstr>
      </vt:variant>
      <vt:variant>
        <vt:i4>1310773</vt:i4>
      </vt:variant>
      <vt:variant>
        <vt:i4>152</vt:i4>
      </vt:variant>
      <vt:variant>
        <vt:i4>0</vt:i4>
      </vt:variant>
      <vt:variant>
        <vt:i4>5</vt:i4>
      </vt:variant>
      <vt:variant>
        <vt:lpwstr/>
      </vt:variant>
      <vt:variant>
        <vt:lpwstr>_Toc320523478</vt:lpwstr>
      </vt:variant>
      <vt:variant>
        <vt:i4>1310773</vt:i4>
      </vt:variant>
      <vt:variant>
        <vt:i4>146</vt:i4>
      </vt:variant>
      <vt:variant>
        <vt:i4>0</vt:i4>
      </vt:variant>
      <vt:variant>
        <vt:i4>5</vt:i4>
      </vt:variant>
      <vt:variant>
        <vt:lpwstr/>
      </vt:variant>
      <vt:variant>
        <vt:lpwstr>_Toc320523477</vt:lpwstr>
      </vt:variant>
      <vt:variant>
        <vt:i4>1310773</vt:i4>
      </vt:variant>
      <vt:variant>
        <vt:i4>140</vt:i4>
      </vt:variant>
      <vt:variant>
        <vt:i4>0</vt:i4>
      </vt:variant>
      <vt:variant>
        <vt:i4>5</vt:i4>
      </vt:variant>
      <vt:variant>
        <vt:lpwstr/>
      </vt:variant>
      <vt:variant>
        <vt:lpwstr>_Toc320523476</vt:lpwstr>
      </vt:variant>
      <vt:variant>
        <vt:i4>1310773</vt:i4>
      </vt:variant>
      <vt:variant>
        <vt:i4>134</vt:i4>
      </vt:variant>
      <vt:variant>
        <vt:i4>0</vt:i4>
      </vt:variant>
      <vt:variant>
        <vt:i4>5</vt:i4>
      </vt:variant>
      <vt:variant>
        <vt:lpwstr/>
      </vt:variant>
      <vt:variant>
        <vt:lpwstr>_Toc320523475</vt:lpwstr>
      </vt:variant>
      <vt:variant>
        <vt:i4>1310773</vt:i4>
      </vt:variant>
      <vt:variant>
        <vt:i4>128</vt:i4>
      </vt:variant>
      <vt:variant>
        <vt:i4>0</vt:i4>
      </vt:variant>
      <vt:variant>
        <vt:i4>5</vt:i4>
      </vt:variant>
      <vt:variant>
        <vt:lpwstr/>
      </vt:variant>
      <vt:variant>
        <vt:lpwstr>_Toc320523474</vt:lpwstr>
      </vt:variant>
      <vt:variant>
        <vt:i4>1310773</vt:i4>
      </vt:variant>
      <vt:variant>
        <vt:i4>122</vt:i4>
      </vt:variant>
      <vt:variant>
        <vt:i4>0</vt:i4>
      </vt:variant>
      <vt:variant>
        <vt:i4>5</vt:i4>
      </vt:variant>
      <vt:variant>
        <vt:lpwstr/>
      </vt:variant>
      <vt:variant>
        <vt:lpwstr>_Toc320523473</vt:lpwstr>
      </vt:variant>
      <vt:variant>
        <vt:i4>1310773</vt:i4>
      </vt:variant>
      <vt:variant>
        <vt:i4>116</vt:i4>
      </vt:variant>
      <vt:variant>
        <vt:i4>0</vt:i4>
      </vt:variant>
      <vt:variant>
        <vt:i4>5</vt:i4>
      </vt:variant>
      <vt:variant>
        <vt:lpwstr/>
      </vt:variant>
      <vt:variant>
        <vt:lpwstr>_Toc320523472</vt:lpwstr>
      </vt:variant>
      <vt:variant>
        <vt:i4>1310773</vt:i4>
      </vt:variant>
      <vt:variant>
        <vt:i4>110</vt:i4>
      </vt:variant>
      <vt:variant>
        <vt:i4>0</vt:i4>
      </vt:variant>
      <vt:variant>
        <vt:i4>5</vt:i4>
      </vt:variant>
      <vt:variant>
        <vt:lpwstr/>
      </vt:variant>
      <vt:variant>
        <vt:lpwstr>_Toc320523471</vt:lpwstr>
      </vt:variant>
      <vt:variant>
        <vt:i4>1310773</vt:i4>
      </vt:variant>
      <vt:variant>
        <vt:i4>104</vt:i4>
      </vt:variant>
      <vt:variant>
        <vt:i4>0</vt:i4>
      </vt:variant>
      <vt:variant>
        <vt:i4>5</vt:i4>
      </vt:variant>
      <vt:variant>
        <vt:lpwstr/>
      </vt:variant>
      <vt:variant>
        <vt:lpwstr>_Toc320523470</vt:lpwstr>
      </vt:variant>
      <vt:variant>
        <vt:i4>1376309</vt:i4>
      </vt:variant>
      <vt:variant>
        <vt:i4>98</vt:i4>
      </vt:variant>
      <vt:variant>
        <vt:i4>0</vt:i4>
      </vt:variant>
      <vt:variant>
        <vt:i4>5</vt:i4>
      </vt:variant>
      <vt:variant>
        <vt:lpwstr/>
      </vt:variant>
      <vt:variant>
        <vt:lpwstr>_Toc320523469</vt:lpwstr>
      </vt:variant>
      <vt:variant>
        <vt:i4>1376309</vt:i4>
      </vt:variant>
      <vt:variant>
        <vt:i4>92</vt:i4>
      </vt:variant>
      <vt:variant>
        <vt:i4>0</vt:i4>
      </vt:variant>
      <vt:variant>
        <vt:i4>5</vt:i4>
      </vt:variant>
      <vt:variant>
        <vt:lpwstr/>
      </vt:variant>
      <vt:variant>
        <vt:lpwstr>_Toc320523468</vt:lpwstr>
      </vt:variant>
      <vt:variant>
        <vt:i4>1376309</vt:i4>
      </vt:variant>
      <vt:variant>
        <vt:i4>86</vt:i4>
      </vt:variant>
      <vt:variant>
        <vt:i4>0</vt:i4>
      </vt:variant>
      <vt:variant>
        <vt:i4>5</vt:i4>
      </vt:variant>
      <vt:variant>
        <vt:lpwstr/>
      </vt:variant>
      <vt:variant>
        <vt:lpwstr>_Toc320523467</vt:lpwstr>
      </vt:variant>
      <vt:variant>
        <vt:i4>1376309</vt:i4>
      </vt:variant>
      <vt:variant>
        <vt:i4>80</vt:i4>
      </vt:variant>
      <vt:variant>
        <vt:i4>0</vt:i4>
      </vt:variant>
      <vt:variant>
        <vt:i4>5</vt:i4>
      </vt:variant>
      <vt:variant>
        <vt:lpwstr/>
      </vt:variant>
      <vt:variant>
        <vt:lpwstr>_Toc320523466</vt:lpwstr>
      </vt:variant>
      <vt:variant>
        <vt:i4>1376309</vt:i4>
      </vt:variant>
      <vt:variant>
        <vt:i4>74</vt:i4>
      </vt:variant>
      <vt:variant>
        <vt:i4>0</vt:i4>
      </vt:variant>
      <vt:variant>
        <vt:i4>5</vt:i4>
      </vt:variant>
      <vt:variant>
        <vt:lpwstr/>
      </vt:variant>
      <vt:variant>
        <vt:lpwstr>_Toc320523465</vt:lpwstr>
      </vt:variant>
      <vt:variant>
        <vt:i4>1376309</vt:i4>
      </vt:variant>
      <vt:variant>
        <vt:i4>68</vt:i4>
      </vt:variant>
      <vt:variant>
        <vt:i4>0</vt:i4>
      </vt:variant>
      <vt:variant>
        <vt:i4>5</vt:i4>
      </vt:variant>
      <vt:variant>
        <vt:lpwstr/>
      </vt:variant>
      <vt:variant>
        <vt:lpwstr>_Toc320523464</vt:lpwstr>
      </vt:variant>
      <vt:variant>
        <vt:i4>1376309</vt:i4>
      </vt:variant>
      <vt:variant>
        <vt:i4>62</vt:i4>
      </vt:variant>
      <vt:variant>
        <vt:i4>0</vt:i4>
      </vt:variant>
      <vt:variant>
        <vt:i4>5</vt:i4>
      </vt:variant>
      <vt:variant>
        <vt:lpwstr/>
      </vt:variant>
      <vt:variant>
        <vt:lpwstr>_Toc320523463</vt:lpwstr>
      </vt:variant>
      <vt:variant>
        <vt:i4>1376309</vt:i4>
      </vt:variant>
      <vt:variant>
        <vt:i4>56</vt:i4>
      </vt:variant>
      <vt:variant>
        <vt:i4>0</vt:i4>
      </vt:variant>
      <vt:variant>
        <vt:i4>5</vt:i4>
      </vt:variant>
      <vt:variant>
        <vt:lpwstr/>
      </vt:variant>
      <vt:variant>
        <vt:lpwstr>_Toc320523462</vt:lpwstr>
      </vt:variant>
      <vt:variant>
        <vt:i4>1376309</vt:i4>
      </vt:variant>
      <vt:variant>
        <vt:i4>50</vt:i4>
      </vt:variant>
      <vt:variant>
        <vt:i4>0</vt:i4>
      </vt:variant>
      <vt:variant>
        <vt:i4>5</vt:i4>
      </vt:variant>
      <vt:variant>
        <vt:lpwstr/>
      </vt:variant>
      <vt:variant>
        <vt:lpwstr>_Toc320523461</vt:lpwstr>
      </vt:variant>
      <vt:variant>
        <vt:i4>1376309</vt:i4>
      </vt:variant>
      <vt:variant>
        <vt:i4>44</vt:i4>
      </vt:variant>
      <vt:variant>
        <vt:i4>0</vt:i4>
      </vt:variant>
      <vt:variant>
        <vt:i4>5</vt:i4>
      </vt:variant>
      <vt:variant>
        <vt:lpwstr/>
      </vt:variant>
      <vt:variant>
        <vt:lpwstr>_Toc320523460</vt:lpwstr>
      </vt:variant>
      <vt:variant>
        <vt:i4>1441845</vt:i4>
      </vt:variant>
      <vt:variant>
        <vt:i4>38</vt:i4>
      </vt:variant>
      <vt:variant>
        <vt:i4>0</vt:i4>
      </vt:variant>
      <vt:variant>
        <vt:i4>5</vt:i4>
      </vt:variant>
      <vt:variant>
        <vt:lpwstr/>
      </vt:variant>
      <vt:variant>
        <vt:lpwstr>_Toc320523459</vt:lpwstr>
      </vt:variant>
      <vt:variant>
        <vt:i4>1441845</vt:i4>
      </vt:variant>
      <vt:variant>
        <vt:i4>32</vt:i4>
      </vt:variant>
      <vt:variant>
        <vt:i4>0</vt:i4>
      </vt:variant>
      <vt:variant>
        <vt:i4>5</vt:i4>
      </vt:variant>
      <vt:variant>
        <vt:lpwstr/>
      </vt:variant>
      <vt:variant>
        <vt:lpwstr>_Toc320523458</vt:lpwstr>
      </vt:variant>
      <vt:variant>
        <vt:i4>1441845</vt:i4>
      </vt:variant>
      <vt:variant>
        <vt:i4>26</vt:i4>
      </vt:variant>
      <vt:variant>
        <vt:i4>0</vt:i4>
      </vt:variant>
      <vt:variant>
        <vt:i4>5</vt:i4>
      </vt:variant>
      <vt:variant>
        <vt:lpwstr/>
      </vt:variant>
      <vt:variant>
        <vt:lpwstr>_Toc320523457</vt:lpwstr>
      </vt:variant>
      <vt:variant>
        <vt:i4>1441845</vt:i4>
      </vt:variant>
      <vt:variant>
        <vt:i4>20</vt:i4>
      </vt:variant>
      <vt:variant>
        <vt:i4>0</vt:i4>
      </vt:variant>
      <vt:variant>
        <vt:i4>5</vt:i4>
      </vt:variant>
      <vt:variant>
        <vt:lpwstr/>
      </vt:variant>
      <vt:variant>
        <vt:lpwstr>_Toc320523456</vt:lpwstr>
      </vt:variant>
      <vt:variant>
        <vt:i4>1441845</vt:i4>
      </vt:variant>
      <vt:variant>
        <vt:i4>14</vt:i4>
      </vt:variant>
      <vt:variant>
        <vt:i4>0</vt:i4>
      </vt:variant>
      <vt:variant>
        <vt:i4>5</vt:i4>
      </vt:variant>
      <vt:variant>
        <vt:lpwstr/>
      </vt:variant>
      <vt:variant>
        <vt:lpwstr>_Toc320523455</vt:lpwstr>
      </vt:variant>
      <vt:variant>
        <vt:i4>1441845</vt:i4>
      </vt:variant>
      <vt:variant>
        <vt:i4>8</vt:i4>
      </vt:variant>
      <vt:variant>
        <vt:i4>0</vt:i4>
      </vt:variant>
      <vt:variant>
        <vt:i4>5</vt:i4>
      </vt:variant>
      <vt:variant>
        <vt:lpwstr/>
      </vt:variant>
      <vt:variant>
        <vt:lpwstr>_Toc320523454</vt:lpwstr>
      </vt:variant>
      <vt:variant>
        <vt:i4>1441845</vt:i4>
      </vt:variant>
      <vt:variant>
        <vt:i4>2</vt:i4>
      </vt:variant>
      <vt:variant>
        <vt:i4>0</vt:i4>
      </vt:variant>
      <vt:variant>
        <vt:i4>5</vt:i4>
      </vt:variant>
      <vt:variant>
        <vt:lpwstr/>
      </vt:variant>
      <vt:variant>
        <vt:lpwstr>_Toc320523453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2021-03-17T16:20:00Z</dcterms:created>
  <dcterms:modified xsi:type="dcterms:W3CDTF">2021-03-22T10:10:00Z</dcterms:modified>
</cp:coreProperties>
</file>