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DFB8B41" w14:textId="421C9983" w:rsidR="005D72F7" w:rsidRPr="00E63DCC" w:rsidRDefault="00A5640C" w:rsidP="00A5640C">
      <w:pPr>
        <w:pStyle w:val="Title"/>
        <w:rPr>
          <w:sz w:val="48"/>
          <w:szCs w:val="48"/>
          <w:lang w:val="en-GB"/>
        </w:rPr>
      </w:pPr>
      <w:r w:rsidRPr="00E63DCC">
        <w:rPr>
          <w:sz w:val="48"/>
          <w:szCs w:val="48"/>
          <w:lang w:val="en-GB"/>
        </w:rPr>
        <w:t xml:space="preserve">Annex 3. </w:t>
      </w:r>
      <w:r w:rsidR="00E94CF1" w:rsidRPr="00E63DCC">
        <w:rPr>
          <w:sz w:val="48"/>
          <w:szCs w:val="48"/>
          <w:lang w:val="en-GB"/>
        </w:rPr>
        <w:t>Template</w:t>
      </w:r>
      <w:r w:rsidRPr="00E63DCC">
        <w:rPr>
          <w:sz w:val="48"/>
          <w:szCs w:val="48"/>
          <w:lang w:val="en-GB"/>
        </w:rPr>
        <w:t xml:space="preserve"> for study protocol</w:t>
      </w:r>
    </w:p>
    <w:p w14:paraId="22980D86" w14:textId="16F5D25D" w:rsidR="00E94CF1" w:rsidRPr="00E63DCC" w:rsidRDefault="009E6FF7" w:rsidP="00A5640C">
      <w:pPr>
        <w:pStyle w:val="Title"/>
        <w:rPr>
          <w:sz w:val="36"/>
          <w:szCs w:val="36"/>
          <w:lang w:val="en-GB"/>
        </w:rPr>
      </w:pPr>
      <w:r w:rsidRPr="00E63DCC">
        <w:rPr>
          <w:sz w:val="36"/>
          <w:szCs w:val="36"/>
          <w:lang w:val="en-GB"/>
        </w:rPr>
        <w:t>A</w:t>
      </w:r>
      <w:r w:rsidR="00E94CF1" w:rsidRPr="00E63DCC">
        <w:rPr>
          <w:sz w:val="36"/>
          <w:szCs w:val="36"/>
          <w:lang w:val="en-GB"/>
        </w:rPr>
        <w:t>ssessment of public health challenges in artisanal</w:t>
      </w:r>
      <w:r w:rsidR="00321D50" w:rsidRPr="00E63DCC">
        <w:rPr>
          <w:sz w:val="36"/>
          <w:szCs w:val="36"/>
          <w:lang w:val="en-GB"/>
        </w:rPr>
        <w:t xml:space="preserve"> and</w:t>
      </w:r>
      <w:r w:rsidR="00E94CF1" w:rsidRPr="00E63DCC">
        <w:rPr>
          <w:sz w:val="36"/>
          <w:szCs w:val="36"/>
          <w:lang w:val="en-GB"/>
        </w:rPr>
        <w:t xml:space="preserve"> small-scale gold mining communities and the local health system’s readiness to respond</w:t>
      </w:r>
    </w:p>
    <w:p w14:paraId="3623EB5D" w14:textId="1B092435" w:rsidR="00E94CF1" w:rsidRPr="00E63DCC" w:rsidRDefault="00E94CF1" w:rsidP="00A5640C">
      <w:pPr>
        <w:rPr>
          <w:lang w:val="en-GB" w:eastAsia="ja-JP"/>
        </w:rPr>
      </w:pPr>
    </w:p>
    <w:p w14:paraId="7F6AD964" w14:textId="4B9B68F2" w:rsidR="00E94CF1" w:rsidRPr="00E63DCC" w:rsidRDefault="00230B6D" w:rsidP="00230B6D">
      <w:pPr>
        <w:pStyle w:val="Normalboldhead"/>
      </w:pPr>
      <w:r w:rsidRPr="00E63DCC">
        <w:t>Note about the template</w:t>
      </w:r>
    </w:p>
    <w:p w14:paraId="4122E037" w14:textId="27D235EE" w:rsidR="00E94CF1" w:rsidRPr="00E63DCC" w:rsidRDefault="009F0C05" w:rsidP="00A5640C">
      <w:pPr>
        <w:rPr>
          <w:lang w:val="en-GB" w:eastAsia="ja-JP"/>
        </w:rPr>
      </w:pPr>
      <w:r w:rsidRPr="00E63DCC">
        <w:rPr>
          <w:lang w:val="en-GB" w:eastAsia="ja-JP"/>
        </w:rPr>
        <w:t xml:space="preserve">The development of </w:t>
      </w:r>
      <w:r w:rsidR="00A5640C" w:rsidRPr="00E63DCC">
        <w:rPr>
          <w:lang w:val="en-GB" w:eastAsia="ja-JP"/>
        </w:rPr>
        <w:t>n</w:t>
      </w:r>
      <w:r w:rsidRPr="00E63DCC">
        <w:rPr>
          <w:lang w:val="en-GB" w:eastAsia="ja-JP"/>
        </w:rPr>
        <w:t xml:space="preserve">ational </w:t>
      </w:r>
      <w:r w:rsidR="00A5640C" w:rsidRPr="00E63DCC">
        <w:rPr>
          <w:lang w:val="en-GB" w:eastAsia="ja-JP"/>
        </w:rPr>
        <w:t>a</w:t>
      </w:r>
      <w:r w:rsidRPr="00E63DCC">
        <w:rPr>
          <w:lang w:val="en-GB" w:eastAsia="ja-JP"/>
        </w:rPr>
        <w:t xml:space="preserve">ction </w:t>
      </w:r>
      <w:r w:rsidR="00A5640C" w:rsidRPr="00E63DCC">
        <w:rPr>
          <w:lang w:val="en-GB" w:eastAsia="ja-JP"/>
        </w:rPr>
        <w:t>p</w:t>
      </w:r>
      <w:r w:rsidRPr="00E63DCC">
        <w:rPr>
          <w:lang w:val="en-GB" w:eastAsia="ja-JP"/>
        </w:rPr>
        <w:t xml:space="preserve">lans (NAPs) for artisanal and small-scale gold mining (ASGM) is an obligation under Article 7 of the Minamata Convention on Mercury for each </w:t>
      </w:r>
      <w:r w:rsidR="00A5640C" w:rsidRPr="00E63DCC">
        <w:rPr>
          <w:lang w:val="en-GB" w:eastAsia="ja-JP"/>
        </w:rPr>
        <w:t>Party</w:t>
      </w:r>
      <w:r w:rsidRPr="00E63DCC">
        <w:rPr>
          <w:lang w:val="en-GB" w:eastAsia="ja-JP"/>
        </w:rPr>
        <w:t xml:space="preserve"> that determines that ASGM is more than insignificant</w:t>
      </w:r>
      <w:r w:rsidR="000D7693" w:rsidRPr="00E63DCC">
        <w:rPr>
          <w:lang w:val="en-GB" w:eastAsia="ja-JP"/>
        </w:rPr>
        <w:t xml:space="preserve"> in its territory</w:t>
      </w:r>
      <w:r w:rsidRPr="00E63DCC">
        <w:rPr>
          <w:lang w:val="en-GB" w:eastAsia="ja-JP"/>
        </w:rPr>
        <w:t xml:space="preserve">. Such NAPs must include a public health strategy on the exposure of artisanal and small-scale miners and their communities. </w:t>
      </w:r>
      <w:r w:rsidR="00E94CF1" w:rsidRPr="00E63DCC">
        <w:rPr>
          <w:lang w:val="en-GB" w:eastAsia="ja-JP"/>
        </w:rPr>
        <w:t xml:space="preserve">In order to support the countries developing public health strategies, the World Health Organization (WHO) has developed a </w:t>
      </w:r>
      <w:r w:rsidR="00A5640C" w:rsidRPr="00E63DCC">
        <w:rPr>
          <w:lang w:val="en-GB" w:eastAsia="ja-JP"/>
        </w:rPr>
        <w:t>s</w:t>
      </w:r>
      <w:r w:rsidR="00E94CF1" w:rsidRPr="00E63DCC">
        <w:rPr>
          <w:lang w:val="en-GB" w:eastAsia="ja-JP"/>
        </w:rPr>
        <w:t>tep-by</w:t>
      </w:r>
      <w:r w:rsidR="004C6EE9" w:rsidRPr="00E63DCC">
        <w:rPr>
          <w:lang w:val="en-GB" w:eastAsia="ja-JP"/>
        </w:rPr>
        <w:t>-</w:t>
      </w:r>
      <w:r w:rsidR="00A5640C" w:rsidRPr="00E63DCC">
        <w:rPr>
          <w:lang w:val="en-GB" w:eastAsia="ja-JP"/>
        </w:rPr>
        <w:t>s</w:t>
      </w:r>
      <w:r w:rsidR="00E94CF1" w:rsidRPr="00E63DCC">
        <w:rPr>
          <w:lang w:val="en-GB" w:eastAsia="ja-JP"/>
        </w:rPr>
        <w:t xml:space="preserve">tep </w:t>
      </w:r>
      <w:r w:rsidR="00A5640C" w:rsidRPr="00E63DCC">
        <w:rPr>
          <w:lang w:val="en-GB" w:eastAsia="ja-JP"/>
        </w:rPr>
        <w:t>g</w:t>
      </w:r>
      <w:r w:rsidR="004C6EE9" w:rsidRPr="00E63DCC">
        <w:rPr>
          <w:lang w:val="en-GB" w:eastAsia="ja-JP"/>
        </w:rPr>
        <w:t>uide</w:t>
      </w:r>
      <w:r w:rsidR="00E50070" w:rsidRPr="00E63DCC">
        <w:rPr>
          <w:lang w:val="en-GB" w:eastAsia="ja-JP"/>
        </w:rPr>
        <w:t xml:space="preserve"> </w:t>
      </w:r>
      <w:r w:rsidR="00E94CF1" w:rsidRPr="00E63DCC">
        <w:rPr>
          <w:lang w:val="en-GB" w:eastAsia="ja-JP"/>
        </w:rPr>
        <w:t>to facilitate the conduct of a rapid hea</w:t>
      </w:r>
      <w:r w:rsidR="00FD29BB" w:rsidRPr="00E63DCC">
        <w:rPr>
          <w:lang w:val="en-GB" w:eastAsia="ja-JP"/>
        </w:rPr>
        <w:t>l</w:t>
      </w:r>
      <w:r w:rsidR="00E94CF1" w:rsidRPr="00E63DCC">
        <w:rPr>
          <w:lang w:val="en-GB" w:eastAsia="ja-JP"/>
        </w:rPr>
        <w:t xml:space="preserve">th </w:t>
      </w:r>
      <w:r w:rsidR="008D29B7" w:rsidRPr="00E63DCC">
        <w:rPr>
          <w:lang w:val="en-GB" w:eastAsia="ja-JP"/>
        </w:rPr>
        <w:t xml:space="preserve">assessment </w:t>
      </w:r>
      <w:r w:rsidR="00E94CF1" w:rsidRPr="00E63DCC">
        <w:rPr>
          <w:lang w:val="en-GB" w:eastAsia="ja-JP"/>
        </w:rPr>
        <w:t>and a</w:t>
      </w:r>
      <w:r w:rsidR="008D29B7" w:rsidRPr="00E63DCC">
        <w:rPr>
          <w:lang w:val="en-GB" w:eastAsia="ja-JP"/>
        </w:rPr>
        <w:t>n</w:t>
      </w:r>
      <w:r w:rsidR="00E94CF1" w:rsidRPr="00E63DCC">
        <w:rPr>
          <w:lang w:val="en-GB" w:eastAsia="ja-JP"/>
        </w:rPr>
        <w:t xml:space="preserve"> institutional capacity assessment. </w:t>
      </w:r>
      <w:r w:rsidR="008D29B7" w:rsidRPr="00E63DCC">
        <w:rPr>
          <w:lang w:val="en-GB" w:eastAsia="ja-JP"/>
        </w:rPr>
        <w:t>These two types of assessments were piloted in Ghana, Mozambique and Nigeria (2017</w:t>
      </w:r>
      <w:r w:rsidR="00A5640C" w:rsidRPr="00E63DCC">
        <w:rPr>
          <w:lang w:val="en-GB" w:eastAsia="ja-JP"/>
        </w:rPr>
        <w:t>–</w:t>
      </w:r>
      <w:r w:rsidR="008D29B7" w:rsidRPr="00E63DCC">
        <w:rPr>
          <w:lang w:val="en-GB" w:eastAsia="ja-JP"/>
        </w:rPr>
        <w:t>2019) and inform the development of an adequate national public health strategy. This study protocol template is</w:t>
      </w:r>
      <w:r w:rsidR="00E50070" w:rsidRPr="00E63DCC">
        <w:rPr>
          <w:lang w:val="en-GB" w:eastAsia="ja-JP"/>
        </w:rPr>
        <w:t xml:space="preserve"> an annex to</w:t>
      </w:r>
      <w:r w:rsidR="008D29B7" w:rsidRPr="00E63DCC">
        <w:rPr>
          <w:lang w:val="en-GB" w:eastAsia="ja-JP"/>
        </w:rPr>
        <w:t xml:space="preserve"> the</w:t>
      </w:r>
      <w:r w:rsidRPr="00E63DCC">
        <w:rPr>
          <w:lang w:val="en-GB" w:eastAsia="ja-JP"/>
        </w:rPr>
        <w:t xml:space="preserve"> WHO</w:t>
      </w:r>
      <w:r w:rsidR="008D29B7" w:rsidRPr="00E63DCC">
        <w:rPr>
          <w:lang w:val="en-GB" w:eastAsia="ja-JP"/>
        </w:rPr>
        <w:t xml:space="preserve"> </w:t>
      </w:r>
      <w:hyperlink r:id="rId11" w:history="1">
        <w:r w:rsidR="004837A3" w:rsidRPr="0018678F">
          <w:rPr>
            <w:rStyle w:val="Hyperlink"/>
            <w:i/>
            <w:noProof w:val="0"/>
            <w:lang w:val="en-GB" w:eastAsia="ja-JP"/>
          </w:rPr>
          <w:t>Step-by-step guide for developing a public health strategy for artisanal and small-scale gold mining in the context of the Minamata Convention on Mercury</w:t>
        </w:r>
      </w:hyperlink>
      <w:r w:rsidR="004837A3" w:rsidRPr="00E63DCC">
        <w:rPr>
          <w:lang w:val="en-GB" w:eastAsia="ja-JP"/>
        </w:rPr>
        <w:t xml:space="preserve"> </w:t>
      </w:r>
      <w:r w:rsidRPr="00E63DCC">
        <w:rPr>
          <w:lang w:val="en-GB" w:eastAsia="ja-JP"/>
        </w:rPr>
        <w:t>and i</w:t>
      </w:r>
      <w:r w:rsidR="008D29B7" w:rsidRPr="00E63DCC">
        <w:rPr>
          <w:lang w:val="en-GB" w:eastAsia="ja-JP"/>
        </w:rPr>
        <w:t xml:space="preserve">s hence based on the research study protocols </w:t>
      </w:r>
      <w:r w:rsidR="00E50070" w:rsidRPr="00E63DCC">
        <w:rPr>
          <w:lang w:val="en-GB" w:eastAsia="ja-JP"/>
        </w:rPr>
        <w:t xml:space="preserve">that were developed for the </w:t>
      </w:r>
      <w:r w:rsidR="008D29B7" w:rsidRPr="00E63DCC">
        <w:rPr>
          <w:lang w:val="en-GB" w:eastAsia="ja-JP"/>
        </w:rPr>
        <w:t>pilot studies.</w:t>
      </w:r>
    </w:p>
    <w:p w14:paraId="48BEBB6D" w14:textId="571B8C3C" w:rsidR="00E94CF1" w:rsidRPr="00E63DCC" w:rsidRDefault="00E94CF1" w:rsidP="00A5640C">
      <w:pPr>
        <w:rPr>
          <w:lang w:val="en-GB" w:eastAsia="ja-JP"/>
        </w:rPr>
      </w:pPr>
      <w:r w:rsidRPr="00E63DCC">
        <w:rPr>
          <w:lang w:val="en-GB" w:eastAsia="ja-JP"/>
        </w:rPr>
        <w:t xml:space="preserve">The </w:t>
      </w:r>
      <w:r w:rsidR="00E50070" w:rsidRPr="00E63DCC">
        <w:rPr>
          <w:lang w:val="en-GB" w:eastAsia="ja-JP"/>
        </w:rPr>
        <w:t>present study protocol template can be used to</w:t>
      </w:r>
      <w:r w:rsidR="009F0C05" w:rsidRPr="00E63DCC">
        <w:rPr>
          <w:lang w:val="en-GB" w:eastAsia="ja-JP"/>
        </w:rPr>
        <w:t xml:space="preserve"> facilitate</w:t>
      </w:r>
      <w:r w:rsidRPr="00E63DCC">
        <w:rPr>
          <w:lang w:val="en-GB" w:eastAsia="ja-JP"/>
        </w:rPr>
        <w:t xml:space="preserve"> </w:t>
      </w:r>
      <w:r w:rsidR="00E50070" w:rsidRPr="00E63DCC">
        <w:rPr>
          <w:lang w:val="en-GB" w:eastAsia="ja-JP"/>
        </w:rPr>
        <w:t>the detailed planning of the assessments and for seeking ethical clearance. Importantly, the template needs to be complemented with country</w:t>
      </w:r>
      <w:r w:rsidR="00A5640C" w:rsidRPr="00E63DCC">
        <w:rPr>
          <w:lang w:val="en-GB" w:eastAsia="ja-JP"/>
        </w:rPr>
        <w:t xml:space="preserve">- or </w:t>
      </w:r>
      <w:r w:rsidR="00E50070" w:rsidRPr="00E63DCC">
        <w:rPr>
          <w:lang w:val="en-GB" w:eastAsia="ja-JP"/>
        </w:rPr>
        <w:t xml:space="preserve">context-specific information (see instructions in </w:t>
      </w:r>
      <w:r w:rsidR="005E28AC" w:rsidRPr="00E63DCC">
        <w:rPr>
          <w:lang w:val="en-GB" w:eastAsia="ja-JP"/>
        </w:rPr>
        <w:t>[</w:t>
      </w:r>
      <w:r w:rsidR="00E07DFA" w:rsidRPr="00E63DCC">
        <w:rPr>
          <w:lang w:val="en-GB" w:eastAsia="ja-JP"/>
        </w:rPr>
        <w:t>square brackets</w:t>
      </w:r>
      <w:r w:rsidR="005E28AC" w:rsidRPr="00E63DCC">
        <w:rPr>
          <w:lang w:val="en-GB" w:eastAsia="ja-JP"/>
        </w:rPr>
        <w:t>]</w:t>
      </w:r>
      <w:r w:rsidR="00E50070" w:rsidRPr="00E63DCC">
        <w:rPr>
          <w:lang w:val="en-GB" w:eastAsia="ja-JP"/>
        </w:rPr>
        <w:t xml:space="preserve">) and potentially restructured or further developed in order to be compliant with the requirements of the corresponding </w:t>
      </w:r>
      <w:r w:rsidR="00A5640C" w:rsidRPr="00E63DCC">
        <w:rPr>
          <w:lang w:val="en-GB" w:eastAsia="ja-JP"/>
        </w:rPr>
        <w:t>e</w:t>
      </w:r>
      <w:r w:rsidR="00E50070" w:rsidRPr="00E63DCC">
        <w:rPr>
          <w:lang w:val="en-GB" w:eastAsia="ja-JP"/>
        </w:rPr>
        <w:t xml:space="preserve">thics </w:t>
      </w:r>
      <w:r w:rsidR="00A5640C" w:rsidRPr="00E63DCC">
        <w:rPr>
          <w:lang w:val="en-GB" w:eastAsia="ja-JP"/>
        </w:rPr>
        <w:t>c</w:t>
      </w:r>
      <w:r w:rsidR="00E50070" w:rsidRPr="00E63DCC">
        <w:rPr>
          <w:lang w:val="en-GB" w:eastAsia="ja-JP"/>
        </w:rPr>
        <w:t xml:space="preserve">ommittee. </w:t>
      </w:r>
    </w:p>
    <w:p w14:paraId="3E618AC3" w14:textId="3F15368D" w:rsidR="00E94CF1" w:rsidRPr="00E63DCC" w:rsidRDefault="00E94CF1" w:rsidP="00A5640C">
      <w:pPr>
        <w:rPr>
          <w:lang w:val="en-GB" w:eastAsia="ja-JP"/>
        </w:rPr>
      </w:pPr>
    </w:p>
    <w:p w14:paraId="2BDAA5A7" w14:textId="7E11B6C1" w:rsidR="00E94CF1" w:rsidRPr="00E63DCC" w:rsidRDefault="00E94CF1" w:rsidP="00A5640C">
      <w:pPr>
        <w:rPr>
          <w:lang w:val="en-GB" w:eastAsia="ja-JP"/>
        </w:rPr>
      </w:pPr>
    </w:p>
    <w:p w14:paraId="089D0812" w14:textId="0B4B5B0E" w:rsidR="00E94CF1" w:rsidRPr="00E63DCC" w:rsidRDefault="00E94CF1" w:rsidP="00A5640C">
      <w:pPr>
        <w:rPr>
          <w:lang w:val="en-GB" w:eastAsia="ja-JP"/>
        </w:rPr>
      </w:pPr>
    </w:p>
    <w:p w14:paraId="3ADE981B" w14:textId="77777777" w:rsidR="003242CF" w:rsidRPr="00E63DCC" w:rsidRDefault="003242CF">
      <w:pPr>
        <w:spacing w:after="0" w:line="240" w:lineRule="auto"/>
        <w:rPr>
          <w:rFonts w:eastAsia="MS Gothic" w:cstheme="minorBidi"/>
          <w:b/>
          <w:spacing w:val="5"/>
          <w:kern w:val="28"/>
          <w:sz w:val="32"/>
          <w:szCs w:val="220"/>
          <w:lang w:val="en-GB" w:eastAsia="ja-JP"/>
        </w:rPr>
      </w:pPr>
      <w:r w:rsidRPr="00E63DCC">
        <w:rPr>
          <w:lang w:val="en-GB"/>
        </w:rPr>
        <w:br w:type="page"/>
      </w:r>
    </w:p>
    <w:p w14:paraId="361A25E3" w14:textId="2C06D281" w:rsidR="009721BA" w:rsidRPr="00E63DCC" w:rsidRDefault="008330B0" w:rsidP="00321D50">
      <w:pPr>
        <w:pStyle w:val="Headgeneral14"/>
      </w:pPr>
      <w:r w:rsidRPr="00E63DCC">
        <w:lastRenderedPageBreak/>
        <w:t xml:space="preserve">Research </w:t>
      </w:r>
      <w:r w:rsidR="003242CF" w:rsidRPr="00E63DCC">
        <w:t>s</w:t>
      </w:r>
      <w:r w:rsidR="00486F5E" w:rsidRPr="00E63DCC">
        <w:t>tudy</w:t>
      </w:r>
      <w:r w:rsidR="009721BA" w:rsidRPr="00E63DCC">
        <w:t xml:space="preserve"> </w:t>
      </w:r>
      <w:r w:rsidR="003242CF" w:rsidRPr="00E63DCC">
        <w:t>p</w:t>
      </w:r>
      <w:r w:rsidR="00486F5E" w:rsidRPr="00E63DCC">
        <w:t>rotocol</w:t>
      </w:r>
    </w:p>
    <w:p w14:paraId="541BE74C" w14:textId="00C47499" w:rsidR="009721BA" w:rsidRPr="00E63DCC" w:rsidRDefault="009721BA" w:rsidP="00321D50">
      <w:pPr>
        <w:pStyle w:val="Normalboldhead"/>
      </w:pPr>
      <w:r w:rsidRPr="00E63DCC">
        <w:t>Title of</w:t>
      </w:r>
      <w:r w:rsidR="008330B0" w:rsidRPr="00E63DCC">
        <w:t xml:space="preserve"> the </w:t>
      </w:r>
      <w:r w:rsidR="003242CF" w:rsidRPr="00E63DCC">
        <w:t>r</w:t>
      </w:r>
      <w:r w:rsidR="008330B0" w:rsidRPr="00E63DCC">
        <w:t>esearch</w:t>
      </w:r>
      <w:r w:rsidRPr="00E63DCC">
        <w:t xml:space="preserve"> </w:t>
      </w:r>
      <w:r w:rsidR="003242CF" w:rsidRPr="00E63DCC">
        <w:t>s</w:t>
      </w:r>
      <w:r w:rsidR="00486F5E" w:rsidRPr="00E63DCC">
        <w:t>tudy</w:t>
      </w:r>
    </w:p>
    <w:p w14:paraId="4D853F87" w14:textId="5ECB1AD3" w:rsidR="00423646" w:rsidRPr="00E63DCC" w:rsidRDefault="008D0619" w:rsidP="00321D50">
      <w:pPr>
        <w:rPr>
          <w:rFonts w:eastAsia="Times New Roman"/>
          <w:b/>
          <w:lang w:val="en-GB"/>
        </w:rPr>
      </w:pPr>
      <w:bookmarkStart w:id="0" w:name="_Hlk45541934"/>
      <w:r w:rsidRPr="00E63DCC">
        <w:rPr>
          <w:lang w:val="en-GB"/>
        </w:rPr>
        <w:t>A</w:t>
      </w:r>
      <w:r w:rsidR="00B45101" w:rsidRPr="00E63DCC">
        <w:rPr>
          <w:lang w:val="en-GB"/>
        </w:rPr>
        <w:t xml:space="preserve">ssessment of public health challenges in </w:t>
      </w:r>
      <w:r w:rsidRPr="00E63DCC">
        <w:rPr>
          <w:lang w:val="en-GB"/>
        </w:rPr>
        <w:t xml:space="preserve">artisanal </w:t>
      </w:r>
      <w:r w:rsidR="00321D50" w:rsidRPr="00E63DCC">
        <w:rPr>
          <w:lang w:val="en-GB"/>
        </w:rPr>
        <w:t xml:space="preserve">and </w:t>
      </w:r>
      <w:r w:rsidRPr="00E63DCC">
        <w:rPr>
          <w:lang w:val="en-GB"/>
        </w:rPr>
        <w:t>small-scale gold mining</w:t>
      </w:r>
      <w:r w:rsidR="00B45101" w:rsidRPr="00E63DCC">
        <w:rPr>
          <w:lang w:val="en-GB"/>
        </w:rPr>
        <w:t xml:space="preserve"> communities and the local health system’s readiness to respond i</w:t>
      </w:r>
      <w:bookmarkEnd w:id="0"/>
      <w:r w:rsidR="00B45101" w:rsidRPr="00E63DCC">
        <w:rPr>
          <w:lang w:val="en-GB"/>
        </w:rPr>
        <w:t xml:space="preserve">n </w:t>
      </w:r>
      <w:r w:rsidR="00F40ACD" w:rsidRPr="00E63DCC">
        <w:rPr>
          <w:lang w:val="en-GB"/>
        </w:rPr>
        <w:t>[</w:t>
      </w:r>
      <w:r w:rsidR="00E50070" w:rsidRPr="00E63DCC">
        <w:rPr>
          <w:lang w:val="en-GB"/>
        </w:rPr>
        <w:t>n</w:t>
      </w:r>
      <w:r w:rsidR="00F40ACD" w:rsidRPr="00E63DCC">
        <w:rPr>
          <w:lang w:val="en-GB"/>
        </w:rPr>
        <w:t>ame of country]</w:t>
      </w:r>
      <w:r w:rsidR="00B45101" w:rsidRPr="00E63DCC">
        <w:rPr>
          <w:lang w:val="en-GB"/>
        </w:rPr>
        <w:t xml:space="preserve"> </w:t>
      </w:r>
    </w:p>
    <w:p w14:paraId="1BC29C7E" w14:textId="77777777" w:rsidR="009721BA" w:rsidRPr="00E63DCC" w:rsidRDefault="009721BA" w:rsidP="00321D50">
      <w:pPr>
        <w:rPr>
          <w:lang w:val="en-GB"/>
        </w:rPr>
      </w:pPr>
    </w:p>
    <w:tbl>
      <w:tblPr>
        <w:tblW w:w="0" w:type="auto"/>
        <w:tblLook w:val="0000" w:firstRow="0" w:lastRow="0" w:firstColumn="0" w:lastColumn="0" w:noHBand="0" w:noVBand="0"/>
      </w:tblPr>
      <w:tblGrid>
        <w:gridCol w:w="3213"/>
        <w:gridCol w:w="5813"/>
      </w:tblGrid>
      <w:tr w:rsidR="009721BA" w:rsidRPr="00E63DCC" w14:paraId="2B679B0D" w14:textId="77777777" w:rsidTr="000256A1">
        <w:trPr>
          <w:trHeight w:val="20"/>
        </w:trPr>
        <w:tc>
          <w:tcPr>
            <w:tcW w:w="3283" w:type="dxa"/>
          </w:tcPr>
          <w:p w14:paraId="13FA5C4D" w14:textId="5DF984D1" w:rsidR="009721BA" w:rsidRPr="00E63DCC" w:rsidRDefault="009721BA" w:rsidP="00321D50">
            <w:pPr>
              <w:rPr>
                <w:lang w:val="en-GB"/>
              </w:rPr>
            </w:pPr>
            <w:r w:rsidRPr="00E63DCC">
              <w:rPr>
                <w:lang w:val="en-GB"/>
              </w:rPr>
              <w:t xml:space="preserve">Type of </w:t>
            </w:r>
            <w:r w:rsidR="003242CF" w:rsidRPr="00E63DCC">
              <w:rPr>
                <w:lang w:val="en-GB"/>
              </w:rPr>
              <w:t>r</w:t>
            </w:r>
            <w:r w:rsidRPr="00E63DCC">
              <w:rPr>
                <w:lang w:val="en-GB"/>
              </w:rPr>
              <w:t xml:space="preserve">esearch </w:t>
            </w:r>
            <w:r w:rsidR="003242CF" w:rsidRPr="00E63DCC">
              <w:rPr>
                <w:lang w:val="en-GB"/>
              </w:rPr>
              <w:t>s</w:t>
            </w:r>
            <w:r w:rsidR="00B15E0C" w:rsidRPr="00E63DCC">
              <w:rPr>
                <w:lang w:val="en-GB"/>
              </w:rPr>
              <w:t>tudy</w:t>
            </w:r>
          </w:p>
        </w:tc>
        <w:tc>
          <w:tcPr>
            <w:tcW w:w="5997" w:type="dxa"/>
          </w:tcPr>
          <w:p w14:paraId="37895AA7" w14:textId="07640C4E" w:rsidR="00700DC5" w:rsidRPr="00E63DCC" w:rsidRDefault="00F60D68" w:rsidP="00321D50">
            <w:pPr>
              <w:rPr>
                <w:lang w:val="en-GB"/>
              </w:rPr>
            </w:pPr>
            <w:r w:rsidRPr="00E63DCC">
              <w:rPr>
                <w:lang w:val="en-GB"/>
              </w:rPr>
              <w:t>R</w:t>
            </w:r>
            <w:r w:rsidR="009721BA" w:rsidRPr="00E63DCC">
              <w:rPr>
                <w:lang w:val="en-GB"/>
              </w:rPr>
              <w:t xml:space="preserve">esearch </w:t>
            </w:r>
            <w:r w:rsidR="00B15E0C" w:rsidRPr="00E63DCC">
              <w:rPr>
                <w:lang w:val="en-GB"/>
              </w:rPr>
              <w:t xml:space="preserve">study </w:t>
            </w:r>
            <w:r w:rsidR="009721BA" w:rsidRPr="00E63DCC">
              <w:rPr>
                <w:lang w:val="en-GB"/>
              </w:rPr>
              <w:t xml:space="preserve">in which </w:t>
            </w:r>
            <w:r w:rsidRPr="00E63DCC">
              <w:rPr>
                <w:lang w:val="en-GB"/>
              </w:rPr>
              <w:t xml:space="preserve">health-related personal data </w:t>
            </w:r>
            <w:r w:rsidR="003242CF" w:rsidRPr="00E63DCC">
              <w:rPr>
                <w:lang w:val="en-GB"/>
              </w:rPr>
              <w:t>are</w:t>
            </w:r>
            <w:r w:rsidRPr="00E63DCC">
              <w:rPr>
                <w:lang w:val="en-GB"/>
              </w:rPr>
              <w:t xml:space="preserve"> collected and </w:t>
            </w:r>
            <w:r w:rsidR="00AC4D6F" w:rsidRPr="00E63DCC">
              <w:rPr>
                <w:lang w:val="en-GB"/>
              </w:rPr>
              <w:t xml:space="preserve">no </w:t>
            </w:r>
            <w:r w:rsidR="009721BA" w:rsidRPr="00E63DCC">
              <w:rPr>
                <w:lang w:val="en-GB"/>
              </w:rPr>
              <w:t>biological material is sampled from humans</w:t>
            </w:r>
          </w:p>
        </w:tc>
      </w:tr>
      <w:tr w:rsidR="009721BA" w:rsidRPr="00E63DCC" w14:paraId="70B520E5" w14:textId="77777777" w:rsidTr="000256A1">
        <w:trPr>
          <w:trHeight w:val="20"/>
        </w:trPr>
        <w:tc>
          <w:tcPr>
            <w:tcW w:w="3283" w:type="dxa"/>
          </w:tcPr>
          <w:p w14:paraId="40B40828" w14:textId="30CFD87A" w:rsidR="009721BA" w:rsidRPr="00E63DCC" w:rsidRDefault="00B15E0C" w:rsidP="00321D50">
            <w:pPr>
              <w:rPr>
                <w:lang w:val="en-GB"/>
              </w:rPr>
            </w:pPr>
            <w:r w:rsidRPr="00E63DCC">
              <w:rPr>
                <w:lang w:val="en-GB"/>
              </w:rPr>
              <w:t>Princip</w:t>
            </w:r>
            <w:r w:rsidR="003242CF" w:rsidRPr="00E63DCC">
              <w:rPr>
                <w:lang w:val="en-GB"/>
              </w:rPr>
              <w:t>al</w:t>
            </w:r>
            <w:r w:rsidRPr="00E63DCC">
              <w:rPr>
                <w:lang w:val="en-GB"/>
              </w:rPr>
              <w:t xml:space="preserve"> </w:t>
            </w:r>
            <w:r w:rsidR="003242CF" w:rsidRPr="00E63DCC">
              <w:rPr>
                <w:lang w:val="en-GB"/>
              </w:rPr>
              <w:t>i</w:t>
            </w:r>
            <w:r w:rsidRPr="00E63DCC">
              <w:rPr>
                <w:lang w:val="en-GB"/>
              </w:rPr>
              <w:t>nvestigator</w:t>
            </w:r>
          </w:p>
        </w:tc>
        <w:tc>
          <w:tcPr>
            <w:tcW w:w="5997" w:type="dxa"/>
          </w:tcPr>
          <w:p w14:paraId="6ACA5F41" w14:textId="7F7646D3" w:rsidR="000256A1" w:rsidRPr="00E63DCC" w:rsidRDefault="00700DC5" w:rsidP="00321D50">
            <w:pPr>
              <w:rPr>
                <w:lang w:val="en-GB"/>
              </w:rPr>
            </w:pPr>
            <w:r w:rsidRPr="00E63DCC">
              <w:rPr>
                <w:lang w:val="en-GB"/>
              </w:rPr>
              <w:t xml:space="preserve">[List </w:t>
            </w:r>
            <w:r w:rsidR="003242CF" w:rsidRPr="00E63DCC">
              <w:rPr>
                <w:lang w:val="en-GB"/>
              </w:rPr>
              <w:t xml:space="preserve">name, profession, institute or organization </w:t>
            </w:r>
            <w:r w:rsidRPr="00E63DCC">
              <w:rPr>
                <w:lang w:val="en-GB"/>
              </w:rPr>
              <w:t>and contact details (email address, phone number) for all investigators and coordinators]</w:t>
            </w:r>
          </w:p>
        </w:tc>
      </w:tr>
      <w:tr w:rsidR="000256A1" w:rsidRPr="00E63DCC" w14:paraId="6DD8ADCF" w14:textId="77777777" w:rsidTr="000256A1">
        <w:trPr>
          <w:trHeight w:val="20"/>
        </w:trPr>
        <w:tc>
          <w:tcPr>
            <w:tcW w:w="3283" w:type="dxa"/>
          </w:tcPr>
          <w:p w14:paraId="6FBBDAC3" w14:textId="778811A6" w:rsidR="000256A1" w:rsidRPr="00E63DCC" w:rsidRDefault="000256A1" w:rsidP="00321D50">
            <w:pPr>
              <w:rPr>
                <w:lang w:val="en-GB"/>
              </w:rPr>
            </w:pPr>
            <w:r w:rsidRPr="00E63DCC">
              <w:rPr>
                <w:lang w:val="en-GB"/>
              </w:rPr>
              <w:t>Co-</w:t>
            </w:r>
            <w:r w:rsidR="003242CF" w:rsidRPr="00E63DCC">
              <w:rPr>
                <w:lang w:val="en-GB"/>
              </w:rPr>
              <w:t>i</w:t>
            </w:r>
            <w:r w:rsidRPr="00E63DCC">
              <w:rPr>
                <w:lang w:val="en-GB"/>
              </w:rPr>
              <w:t>nvestigator</w:t>
            </w:r>
          </w:p>
        </w:tc>
        <w:tc>
          <w:tcPr>
            <w:tcW w:w="5997" w:type="dxa"/>
          </w:tcPr>
          <w:p w14:paraId="15F1871A" w14:textId="77777777" w:rsidR="00B01923" w:rsidRPr="00E63DCC" w:rsidRDefault="00B01923" w:rsidP="00321D50">
            <w:pPr>
              <w:rPr>
                <w:rFonts w:ascii="Helvetica" w:hAnsi="Helvetica"/>
                <w:sz w:val="22"/>
                <w:lang w:val="en-GB"/>
              </w:rPr>
            </w:pPr>
          </w:p>
        </w:tc>
      </w:tr>
      <w:tr w:rsidR="00B15E0C" w:rsidRPr="00E63DCC" w14:paraId="3E2D236E" w14:textId="77777777" w:rsidTr="000256A1">
        <w:trPr>
          <w:trHeight w:val="20"/>
        </w:trPr>
        <w:tc>
          <w:tcPr>
            <w:tcW w:w="3283" w:type="dxa"/>
          </w:tcPr>
          <w:p w14:paraId="4B5516E3" w14:textId="3A19F707" w:rsidR="00B15E0C" w:rsidRPr="00E63DCC" w:rsidRDefault="00B15E0C" w:rsidP="00321D50">
            <w:pPr>
              <w:rPr>
                <w:lang w:val="en-GB"/>
              </w:rPr>
            </w:pPr>
            <w:r w:rsidRPr="00E63DCC">
              <w:rPr>
                <w:lang w:val="en-GB"/>
              </w:rPr>
              <w:t xml:space="preserve">Project </w:t>
            </w:r>
            <w:r w:rsidR="003242CF" w:rsidRPr="00E63DCC">
              <w:rPr>
                <w:lang w:val="en-GB"/>
              </w:rPr>
              <w:t>c</w:t>
            </w:r>
            <w:r w:rsidR="0010675A" w:rsidRPr="00E63DCC">
              <w:rPr>
                <w:lang w:val="en-GB"/>
              </w:rPr>
              <w:t>oordinator(s)</w:t>
            </w:r>
            <w:r w:rsidR="009F1A4A" w:rsidRPr="00E63DCC">
              <w:rPr>
                <w:lang w:val="en-GB"/>
              </w:rPr>
              <w:t xml:space="preserve"> </w:t>
            </w:r>
          </w:p>
        </w:tc>
        <w:tc>
          <w:tcPr>
            <w:tcW w:w="5997" w:type="dxa"/>
          </w:tcPr>
          <w:p w14:paraId="28BB8D6C" w14:textId="77777777" w:rsidR="000256A1" w:rsidRPr="00E63DCC" w:rsidRDefault="000256A1" w:rsidP="00321D50">
            <w:pPr>
              <w:rPr>
                <w:lang w:val="en-GB"/>
              </w:rPr>
            </w:pPr>
          </w:p>
        </w:tc>
      </w:tr>
      <w:tr w:rsidR="009721BA" w:rsidRPr="00E63DCC" w14:paraId="15C4CF4B" w14:textId="77777777" w:rsidTr="000256A1">
        <w:trPr>
          <w:trHeight w:val="20"/>
        </w:trPr>
        <w:tc>
          <w:tcPr>
            <w:tcW w:w="3283" w:type="dxa"/>
          </w:tcPr>
          <w:p w14:paraId="64B4F977" w14:textId="1126ACC6" w:rsidR="009721BA" w:rsidRPr="00E63DCC" w:rsidRDefault="00A46D5F" w:rsidP="00321D50">
            <w:pPr>
              <w:rPr>
                <w:lang w:val="en-GB"/>
              </w:rPr>
            </w:pPr>
            <w:r w:rsidRPr="00E63DCC">
              <w:rPr>
                <w:lang w:val="en-GB"/>
              </w:rPr>
              <w:t>Study</w:t>
            </w:r>
            <w:r w:rsidR="009721BA" w:rsidRPr="00E63DCC">
              <w:rPr>
                <w:lang w:val="en-GB"/>
              </w:rPr>
              <w:t xml:space="preserve"> </w:t>
            </w:r>
            <w:r w:rsidR="003242CF" w:rsidRPr="00E63DCC">
              <w:rPr>
                <w:lang w:val="en-GB"/>
              </w:rPr>
              <w:t>d</w:t>
            </w:r>
            <w:r w:rsidR="009721BA" w:rsidRPr="00E63DCC">
              <w:rPr>
                <w:lang w:val="en-GB"/>
              </w:rPr>
              <w:t>uration</w:t>
            </w:r>
          </w:p>
        </w:tc>
        <w:tc>
          <w:tcPr>
            <w:tcW w:w="5997" w:type="dxa"/>
          </w:tcPr>
          <w:p w14:paraId="7D6B3B09" w14:textId="77777777" w:rsidR="00867B51" w:rsidRPr="00E63DCC" w:rsidRDefault="00867B51" w:rsidP="00321D50">
            <w:pPr>
              <w:rPr>
                <w:lang w:val="en-GB"/>
              </w:rPr>
            </w:pPr>
          </w:p>
        </w:tc>
      </w:tr>
      <w:tr w:rsidR="009721BA" w:rsidRPr="00E63DCC" w14:paraId="700C0432" w14:textId="77777777" w:rsidTr="000256A1">
        <w:trPr>
          <w:trHeight w:val="20"/>
        </w:trPr>
        <w:tc>
          <w:tcPr>
            <w:tcW w:w="3283" w:type="dxa"/>
          </w:tcPr>
          <w:p w14:paraId="3A513003" w14:textId="13BEEA9E" w:rsidR="009721BA" w:rsidRPr="00E63DCC" w:rsidRDefault="00486F5E" w:rsidP="00321D50">
            <w:pPr>
              <w:rPr>
                <w:lang w:val="en-GB"/>
              </w:rPr>
            </w:pPr>
            <w:r w:rsidRPr="00E63DCC">
              <w:rPr>
                <w:lang w:val="en-GB"/>
              </w:rPr>
              <w:t>Protocol v</w:t>
            </w:r>
            <w:r w:rsidR="009721BA" w:rsidRPr="00E63DCC">
              <w:rPr>
                <w:lang w:val="en-GB"/>
              </w:rPr>
              <w:t xml:space="preserve">ersion and </w:t>
            </w:r>
            <w:r w:rsidR="003242CF" w:rsidRPr="00E63DCC">
              <w:rPr>
                <w:lang w:val="en-GB"/>
              </w:rPr>
              <w:t>d</w:t>
            </w:r>
            <w:r w:rsidR="009721BA" w:rsidRPr="00E63DCC">
              <w:rPr>
                <w:lang w:val="en-GB"/>
              </w:rPr>
              <w:t>ate</w:t>
            </w:r>
          </w:p>
        </w:tc>
        <w:tc>
          <w:tcPr>
            <w:tcW w:w="5997" w:type="dxa"/>
          </w:tcPr>
          <w:p w14:paraId="57ABACAB" w14:textId="2799814B" w:rsidR="009721BA" w:rsidRPr="00E63DCC" w:rsidRDefault="009721BA" w:rsidP="00321D50">
            <w:pPr>
              <w:rPr>
                <w:lang w:val="en-GB"/>
              </w:rPr>
            </w:pPr>
          </w:p>
        </w:tc>
      </w:tr>
    </w:tbl>
    <w:p w14:paraId="7ED88026" w14:textId="09EF6686" w:rsidR="00DB4097" w:rsidRPr="00E63DCC" w:rsidRDefault="00DB4097" w:rsidP="00321D50">
      <w:pPr>
        <w:rPr>
          <w:lang w:val="en-GB"/>
        </w:rPr>
      </w:pPr>
    </w:p>
    <w:p w14:paraId="4C9BE03F" w14:textId="77777777" w:rsidR="005D72F7" w:rsidRPr="00E63DCC" w:rsidRDefault="005D72F7" w:rsidP="00A5640C">
      <w:pPr>
        <w:rPr>
          <w:lang w:val="en-GB"/>
        </w:rPr>
      </w:pPr>
      <w:r w:rsidRPr="00E63DCC">
        <w:rPr>
          <w:lang w:val="en-GB"/>
        </w:rPr>
        <w:br w:type="page"/>
      </w:r>
    </w:p>
    <w:p w14:paraId="12F6BFEF" w14:textId="77777777" w:rsidR="005D72F7" w:rsidRPr="00E63DCC" w:rsidRDefault="005D72F7" w:rsidP="00321D50">
      <w:pPr>
        <w:pStyle w:val="Headgeneral14"/>
      </w:pPr>
      <w:r w:rsidRPr="00E63DCC">
        <w:lastRenderedPageBreak/>
        <w:t xml:space="preserve">Signature </w:t>
      </w:r>
      <w:r w:rsidR="00AC4D6F" w:rsidRPr="00E63DCC">
        <w:t>p</w:t>
      </w:r>
      <w:r w:rsidRPr="00E63DCC">
        <w:t>age</w:t>
      </w:r>
    </w:p>
    <w:tbl>
      <w:tblPr>
        <w:tblW w:w="0" w:type="auto"/>
        <w:tblLook w:val="0000" w:firstRow="0" w:lastRow="0" w:firstColumn="0" w:lastColumn="0" w:noHBand="0" w:noVBand="0"/>
      </w:tblPr>
      <w:tblGrid>
        <w:gridCol w:w="1705"/>
        <w:gridCol w:w="7321"/>
      </w:tblGrid>
      <w:tr w:rsidR="005D72F7" w:rsidRPr="00E63DCC" w14:paraId="52749BF9" w14:textId="77777777" w:rsidTr="00AC4D6F">
        <w:tc>
          <w:tcPr>
            <w:tcW w:w="1725" w:type="dxa"/>
          </w:tcPr>
          <w:p w14:paraId="4028F9F9" w14:textId="77777777" w:rsidR="005D72F7" w:rsidRPr="00E63DCC" w:rsidRDefault="00486F5E" w:rsidP="00321D50">
            <w:pPr>
              <w:pStyle w:val="Normalboldhead"/>
            </w:pPr>
            <w:r w:rsidRPr="00E63DCC">
              <w:t>Study t</w:t>
            </w:r>
            <w:r w:rsidR="005D72F7" w:rsidRPr="00E63DCC">
              <w:t>itle</w:t>
            </w:r>
          </w:p>
        </w:tc>
        <w:tc>
          <w:tcPr>
            <w:tcW w:w="7455" w:type="dxa"/>
          </w:tcPr>
          <w:p w14:paraId="7F0A8A9D" w14:textId="52C2CD18" w:rsidR="00486F5E" w:rsidRPr="00E63DCC" w:rsidRDefault="008D0619" w:rsidP="00321D50">
            <w:pPr>
              <w:rPr>
                <w:lang w:val="en-GB"/>
              </w:rPr>
            </w:pPr>
            <w:r w:rsidRPr="00E63DCC">
              <w:rPr>
                <w:lang w:val="en-GB"/>
              </w:rPr>
              <w:t>Assessment</w:t>
            </w:r>
            <w:r w:rsidR="009B4574" w:rsidRPr="00E63DCC">
              <w:rPr>
                <w:lang w:val="en-GB"/>
              </w:rPr>
              <w:t xml:space="preserve"> of public health challenges in </w:t>
            </w:r>
            <w:r w:rsidRPr="00E63DCC">
              <w:rPr>
                <w:lang w:val="en-GB"/>
              </w:rPr>
              <w:t xml:space="preserve">artisanal </w:t>
            </w:r>
            <w:r w:rsidR="00321D50" w:rsidRPr="00E63DCC">
              <w:rPr>
                <w:lang w:val="en-GB"/>
              </w:rPr>
              <w:t xml:space="preserve">and </w:t>
            </w:r>
            <w:r w:rsidRPr="00E63DCC">
              <w:rPr>
                <w:lang w:val="en-GB"/>
              </w:rPr>
              <w:t>small-scale gold mining</w:t>
            </w:r>
            <w:r w:rsidR="009B4574" w:rsidRPr="00E63DCC">
              <w:rPr>
                <w:lang w:val="en-GB"/>
              </w:rPr>
              <w:t xml:space="preserve"> communities and the local health system’s readiness to respond in </w:t>
            </w:r>
            <w:r w:rsidR="00277FA3" w:rsidRPr="00E63DCC">
              <w:rPr>
                <w:lang w:val="en-GB"/>
              </w:rPr>
              <w:t>[</w:t>
            </w:r>
            <w:r w:rsidR="00D41440" w:rsidRPr="00E63DCC">
              <w:rPr>
                <w:lang w:val="en-GB"/>
              </w:rPr>
              <w:t>c</w:t>
            </w:r>
            <w:r w:rsidR="00277FA3" w:rsidRPr="00E63DCC">
              <w:rPr>
                <w:lang w:val="en-GB"/>
              </w:rPr>
              <w:t>ountry name]</w:t>
            </w:r>
          </w:p>
        </w:tc>
      </w:tr>
    </w:tbl>
    <w:p w14:paraId="5E9091DF" w14:textId="0C0489DF" w:rsidR="005D72F7" w:rsidRPr="00E63DCC" w:rsidRDefault="00867B51" w:rsidP="00321D50">
      <w:pPr>
        <w:rPr>
          <w:lang w:val="en-GB"/>
        </w:rPr>
      </w:pPr>
      <w:r w:rsidRPr="00E63DCC">
        <w:rPr>
          <w:lang w:val="en-GB"/>
        </w:rPr>
        <w:t xml:space="preserve">The signing parties hereby confirm to conduct all research activities as described in the study protocol (version </w:t>
      </w:r>
      <w:r w:rsidR="00700DC5" w:rsidRPr="00E63DCC">
        <w:rPr>
          <w:lang w:val="en-GB"/>
        </w:rPr>
        <w:t>[</w:t>
      </w:r>
      <w:r w:rsidR="00277FA3" w:rsidRPr="00E63DCC">
        <w:rPr>
          <w:lang w:val="en-GB"/>
        </w:rPr>
        <w:t>X</w:t>
      </w:r>
      <w:r w:rsidR="00700DC5" w:rsidRPr="00E63DCC">
        <w:rPr>
          <w:lang w:val="en-GB"/>
        </w:rPr>
        <w:t>],</w:t>
      </w:r>
      <w:r w:rsidR="00277FA3" w:rsidRPr="00E63DCC">
        <w:rPr>
          <w:lang w:val="en-GB"/>
        </w:rPr>
        <w:t xml:space="preserve"> </w:t>
      </w:r>
      <w:r w:rsidR="00700DC5" w:rsidRPr="00E63DCC">
        <w:rPr>
          <w:lang w:val="en-GB"/>
        </w:rPr>
        <w:t>[</w:t>
      </w:r>
      <w:r w:rsidR="00277FA3" w:rsidRPr="00E63DCC">
        <w:rPr>
          <w:lang w:val="en-GB"/>
        </w:rPr>
        <w:t>date</w:t>
      </w:r>
      <w:r w:rsidR="00700DC5" w:rsidRPr="00E63DCC">
        <w:rPr>
          <w:lang w:val="en-GB"/>
        </w:rPr>
        <w:t>]</w:t>
      </w:r>
      <w:r w:rsidRPr="00E63DCC">
        <w:rPr>
          <w:lang w:val="en-GB"/>
        </w:rPr>
        <w:t xml:space="preserve">) and to follow the </w:t>
      </w:r>
      <w:r w:rsidR="000256A1" w:rsidRPr="00E63DCC">
        <w:rPr>
          <w:lang w:val="en-GB"/>
        </w:rPr>
        <w:t>International Ethical Guidelines for Health-Related Research Involving Humans put forward by the Council for International Organizations of Medical Sciences and the World Health Organization</w:t>
      </w:r>
      <w:r w:rsidRPr="00E63DCC">
        <w:rPr>
          <w:lang w:val="en-GB"/>
        </w:rPr>
        <w:t xml:space="preserve"> together with the </w:t>
      </w:r>
      <w:r w:rsidR="00321D50" w:rsidRPr="00E63DCC">
        <w:rPr>
          <w:lang w:val="en-GB"/>
        </w:rPr>
        <w:t>D</w:t>
      </w:r>
      <w:r w:rsidRPr="00E63DCC">
        <w:rPr>
          <w:lang w:val="en-GB"/>
        </w:rPr>
        <w:t>eclaration of Helsinki and the local legally applicable requirements in</w:t>
      </w:r>
      <w:r w:rsidR="00700DC5" w:rsidRPr="00E63DCC">
        <w:rPr>
          <w:lang w:val="en-GB"/>
        </w:rPr>
        <w:t xml:space="preserve"> </w:t>
      </w:r>
      <w:r w:rsidR="00277FA3" w:rsidRPr="00E63DCC">
        <w:rPr>
          <w:lang w:val="en-GB"/>
        </w:rPr>
        <w:t>[</w:t>
      </w:r>
      <w:r w:rsidR="00D41440" w:rsidRPr="00E63DCC">
        <w:rPr>
          <w:lang w:val="en-GB"/>
        </w:rPr>
        <w:t>c</w:t>
      </w:r>
      <w:r w:rsidR="00277FA3" w:rsidRPr="00E63DCC">
        <w:rPr>
          <w:lang w:val="en-GB"/>
        </w:rPr>
        <w:t>ountry name</w:t>
      </w:r>
      <w:r w:rsidR="00700DC5" w:rsidRPr="00E63DCC">
        <w:rPr>
          <w:lang w:val="en-GB"/>
        </w:rPr>
        <w:t>].</w:t>
      </w:r>
    </w:p>
    <w:p w14:paraId="04BC91B0" w14:textId="77777777" w:rsidR="00867B51" w:rsidRPr="00E63DCC" w:rsidRDefault="00867B51" w:rsidP="00321D50">
      <w:pPr>
        <w:rPr>
          <w:lang w:val="en-GB"/>
        </w:rPr>
      </w:pPr>
    </w:p>
    <w:p w14:paraId="512DBCAB" w14:textId="2C39429C" w:rsidR="00867B51" w:rsidRPr="00E63DCC" w:rsidRDefault="00867B51" w:rsidP="00321D50">
      <w:pPr>
        <w:rPr>
          <w:lang w:val="en-GB"/>
        </w:rPr>
      </w:pPr>
      <w:r w:rsidRPr="00E63DCC">
        <w:rPr>
          <w:lang w:val="en-GB"/>
        </w:rPr>
        <w:t xml:space="preserve">For </w:t>
      </w:r>
      <w:r w:rsidR="00277FA3" w:rsidRPr="00E63DCC">
        <w:rPr>
          <w:lang w:val="en-GB"/>
        </w:rPr>
        <w:t>[</w:t>
      </w:r>
      <w:r w:rsidR="00D41440" w:rsidRPr="00E63DCC">
        <w:rPr>
          <w:lang w:val="en-GB"/>
        </w:rPr>
        <w:t>n</w:t>
      </w:r>
      <w:r w:rsidR="00277FA3" w:rsidRPr="00E63DCC">
        <w:rPr>
          <w:lang w:val="en-GB"/>
        </w:rPr>
        <w:t>ame of principle investigator</w:t>
      </w:r>
      <w:r w:rsidR="0090788F" w:rsidRPr="00E63DCC">
        <w:rPr>
          <w:lang w:val="en-GB"/>
        </w:rPr>
        <w:t>’s</w:t>
      </w:r>
      <w:r w:rsidR="00277FA3" w:rsidRPr="00E63DCC">
        <w:rPr>
          <w:lang w:val="en-GB"/>
        </w:rPr>
        <w:t xml:space="preserve"> institution]</w:t>
      </w:r>
      <w:r w:rsidR="0090788F" w:rsidRPr="00E63DCC">
        <w:rPr>
          <w:lang w:val="en-GB"/>
        </w:rPr>
        <w:t>:</w:t>
      </w:r>
    </w:p>
    <w:tbl>
      <w:tblPr>
        <w:tblW w:w="0" w:type="auto"/>
        <w:tblLook w:val="04A0" w:firstRow="1" w:lastRow="0" w:firstColumn="1" w:lastColumn="0" w:noHBand="0" w:noVBand="1"/>
      </w:tblPr>
      <w:tblGrid>
        <w:gridCol w:w="3163"/>
        <w:gridCol w:w="5863"/>
      </w:tblGrid>
      <w:tr w:rsidR="00867B51" w:rsidRPr="00E63DCC" w14:paraId="39A0CE7A" w14:textId="77777777" w:rsidTr="00953E80">
        <w:tc>
          <w:tcPr>
            <w:tcW w:w="3227" w:type="dxa"/>
          </w:tcPr>
          <w:p w14:paraId="14DB2389" w14:textId="77777777" w:rsidR="00867B51" w:rsidRPr="00E63DCC" w:rsidRDefault="00867B51" w:rsidP="00321D50">
            <w:pPr>
              <w:rPr>
                <w:lang w:val="en-GB"/>
              </w:rPr>
            </w:pPr>
          </w:p>
          <w:p w14:paraId="35EEFAF0" w14:textId="105C8980" w:rsidR="00867B51" w:rsidRPr="00E63DCC" w:rsidRDefault="00700DC5" w:rsidP="00321D50">
            <w:pPr>
              <w:rPr>
                <w:lang w:val="en-GB"/>
              </w:rPr>
            </w:pPr>
            <w:r w:rsidRPr="00E63DCC">
              <w:rPr>
                <w:lang w:val="en-GB"/>
              </w:rPr>
              <w:t>[</w:t>
            </w:r>
            <w:r w:rsidR="00D41440" w:rsidRPr="00E63DCC">
              <w:rPr>
                <w:lang w:val="en-GB"/>
              </w:rPr>
              <w:t>p</w:t>
            </w:r>
            <w:r w:rsidR="0090788F" w:rsidRPr="00E63DCC">
              <w:rPr>
                <w:lang w:val="en-GB"/>
              </w:rPr>
              <w:t xml:space="preserve">lace, </w:t>
            </w:r>
            <w:r w:rsidR="00D41440" w:rsidRPr="00E63DCC">
              <w:rPr>
                <w:lang w:val="en-GB"/>
              </w:rPr>
              <w:t>d</w:t>
            </w:r>
            <w:r w:rsidR="00277FA3" w:rsidRPr="00E63DCC">
              <w:rPr>
                <w:lang w:val="en-GB"/>
              </w:rPr>
              <w:t>ate</w:t>
            </w:r>
            <w:r w:rsidRPr="00E63DCC">
              <w:rPr>
                <w:lang w:val="en-GB"/>
              </w:rPr>
              <w:t>]</w:t>
            </w:r>
          </w:p>
        </w:tc>
        <w:tc>
          <w:tcPr>
            <w:tcW w:w="5985" w:type="dxa"/>
          </w:tcPr>
          <w:p w14:paraId="0182E8F0" w14:textId="77777777" w:rsidR="00700DC5" w:rsidRPr="00E63DCC" w:rsidRDefault="00700DC5" w:rsidP="00321D50">
            <w:pPr>
              <w:rPr>
                <w:lang w:val="en-GB"/>
              </w:rPr>
            </w:pPr>
          </w:p>
          <w:p w14:paraId="1C2103F0" w14:textId="54BCCD25" w:rsidR="00700DC5" w:rsidRPr="00E63DCC" w:rsidRDefault="00700DC5" w:rsidP="00321D50">
            <w:pPr>
              <w:rPr>
                <w:bCs/>
                <w:lang w:val="en-GB"/>
              </w:rPr>
            </w:pPr>
            <w:r w:rsidRPr="00E63DCC">
              <w:rPr>
                <w:bCs/>
                <w:lang w:val="en-GB"/>
              </w:rPr>
              <w:t>[</w:t>
            </w:r>
            <w:r w:rsidR="00D41440" w:rsidRPr="00E63DCC">
              <w:rPr>
                <w:bCs/>
                <w:lang w:val="en-GB"/>
              </w:rPr>
              <w:t>n</w:t>
            </w:r>
            <w:r w:rsidRPr="00E63DCC">
              <w:rPr>
                <w:bCs/>
                <w:lang w:val="en-GB"/>
              </w:rPr>
              <w:t>ame of principle investigator]</w:t>
            </w:r>
          </w:p>
        </w:tc>
      </w:tr>
    </w:tbl>
    <w:p w14:paraId="691DF250" w14:textId="77777777" w:rsidR="00867B51" w:rsidRPr="00E63DCC" w:rsidRDefault="00867B51" w:rsidP="00321D50">
      <w:pPr>
        <w:rPr>
          <w:lang w:val="en-GB"/>
        </w:rPr>
      </w:pPr>
    </w:p>
    <w:p w14:paraId="25A3A08D" w14:textId="77777777" w:rsidR="00321D50" w:rsidRPr="00E63DCC" w:rsidRDefault="00321D50" w:rsidP="00321D50">
      <w:pPr>
        <w:rPr>
          <w:lang w:val="en-GB"/>
        </w:rPr>
      </w:pPr>
    </w:p>
    <w:p w14:paraId="422DAC96" w14:textId="1027CA38" w:rsidR="00867B51" w:rsidRPr="00E63DCC" w:rsidRDefault="00867B51" w:rsidP="00321D50">
      <w:pPr>
        <w:rPr>
          <w:lang w:val="en-GB"/>
        </w:rPr>
      </w:pPr>
      <w:r w:rsidRPr="00E63DCC">
        <w:rPr>
          <w:lang w:val="en-GB"/>
        </w:rPr>
        <w:t>For</w:t>
      </w:r>
      <w:r w:rsidR="0090788F" w:rsidRPr="00E63DCC">
        <w:rPr>
          <w:lang w:val="en-GB"/>
        </w:rPr>
        <w:t xml:space="preserve"> [</w:t>
      </w:r>
      <w:r w:rsidR="00D41440" w:rsidRPr="00E63DCC">
        <w:rPr>
          <w:lang w:val="en-GB"/>
        </w:rPr>
        <w:t>n</w:t>
      </w:r>
      <w:r w:rsidR="0090788F" w:rsidRPr="00E63DCC">
        <w:rPr>
          <w:lang w:val="en-GB"/>
        </w:rPr>
        <w:t xml:space="preserve">ame of </w:t>
      </w:r>
      <w:r w:rsidR="00700DC5" w:rsidRPr="00E63DCC">
        <w:rPr>
          <w:lang w:val="en-GB"/>
        </w:rPr>
        <w:t>c</w:t>
      </w:r>
      <w:r w:rsidR="0090788F" w:rsidRPr="00E63DCC">
        <w:rPr>
          <w:lang w:val="en-GB"/>
        </w:rPr>
        <w:t>o-investigator’s institution]:</w:t>
      </w:r>
    </w:p>
    <w:tbl>
      <w:tblPr>
        <w:tblW w:w="0" w:type="auto"/>
        <w:tblLook w:val="04A0" w:firstRow="1" w:lastRow="0" w:firstColumn="1" w:lastColumn="0" w:noHBand="0" w:noVBand="1"/>
      </w:tblPr>
      <w:tblGrid>
        <w:gridCol w:w="3163"/>
        <w:gridCol w:w="5863"/>
      </w:tblGrid>
      <w:tr w:rsidR="00867B51" w:rsidRPr="00E63DCC" w14:paraId="2A39AB84" w14:textId="77777777" w:rsidTr="00953E80">
        <w:tc>
          <w:tcPr>
            <w:tcW w:w="3227" w:type="dxa"/>
          </w:tcPr>
          <w:p w14:paraId="6D42C863" w14:textId="77777777" w:rsidR="00867B51" w:rsidRPr="00E63DCC" w:rsidRDefault="00867B51" w:rsidP="00321D50">
            <w:pPr>
              <w:rPr>
                <w:lang w:val="en-GB"/>
              </w:rPr>
            </w:pPr>
          </w:p>
          <w:p w14:paraId="7FB37FC3" w14:textId="545753E4" w:rsidR="00867B51" w:rsidRPr="00E63DCC" w:rsidRDefault="00700DC5" w:rsidP="00321D50">
            <w:pPr>
              <w:rPr>
                <w:lang w:val="en-GB"/>
              </w:rPr>
            </w:pPr>
            <w:r w:rsidRPr="00E63DCC">
              <w:rPr>
                <w:lang w:val="en-GB"/>
              </w:rPr>
              <w:t>[</w:t>
            </w:r>
            <w:r w:rsidR="00D41440" w:rsidRPr="00E63DCC">
              <w:rPr>
                <w:lang w:val="en-GB"/>
              </w:rPr>
              <w:t>p</w:t>
            </w:r>
            <w:r w:rsidR="0090788F" w:rsidRPr="00E63DCC">
              <w:rPr>
                <w:lang w:val="en-GB"/>
              </w:rPr>
              <w:t xml:space="preserve">lace, </w:t>
            </w:r>
            <w:r w:rsidR="00D41440" w:rsidRPr="00E63DCC">
              <w:rPr>
                <w:lang w:val="en-GB"/>
              </w:rPr>
              <w:t>d</w:t>
            </w:r>
            <w:r w:rsidR="0090788F" w:rsidRPr="00E63DCC">
              <w:rPr>
                <w:lang w:val="en-GB"/>
              </w:rPr>
              <w:t>ate</w:t>
            </w:r>
            <w:r w:rsidRPr="00E63DCC">
              <w:rPr>
                <w:lang w:val="en-GB"/>
              </w:rPr>
              <w:t>]</w:t>
            </w:r>
          </w:p>
        </w:tc>
        <w:tc>
          <w:tcPr>
            <w:tcW w:w="5985" w:type="dxa"/>
          </w:tcPr>
          <w:p w14:paraId="243969FB" w14:textId="77777777" w:rsidR="00867B51" w:rsidRPr="00E63DCC" w:rsidRDefault="00867B51" w:rsidP="00321D50">
            <w:pPr>
              <w:rPr>
                <w:szCs w:val="24"/>
                <w:lang w:val="en-GB" w:eastAsia="de-CH"/>
              </w:rPr>
            </w:pPr>
          </w:p>
          <w:p w14:paraId="0FFE4F6C" w14:textId="0A09C574" w:rsidR="00867B51" w:rsidRPr="00E63DCC" w:rsidRDefault="00700DC5" w:rsidP="00321D50">
            <w:pPr>
              <w:rPr>
                <w:szCs w:val="24"/>
                <w:lang w:val="en-GB" w:eastAsia="de-CH"/>
              </w:rPr>
            </w:pPr>
            <w:r w:rsidRPr="00E63DCC">
              <w:rPr>
                <w:szCs w:val="24"/>
                <w:lang w:val="en-GB" w:eastAsia="de-CH"/>
              </w:rPr>
              <w:t>[</w:t>
            </w:r>
            <w:r w:rsidR="00D41440" w:rsidRPr="00E63DCC">
              <w:rPr>
                <w:szCs w:val="24"/>
                <w:lang w:val="en-GB" w:eastAsia="de-CH"/>
              </w:rPr>
              <w:t>n</w:t>
            </w:r>
            <w:r w:rsidR="0090788F" w:rsidRPr="00E63DCC">
              <w:rPr>
                <w:szCs w:val="24"/>
                <w:lang w:val="en-GB" w:eastAsia="de-CH"/>
              </w:rPr>
              <w:t>ame</w:t>
            </w:r>
            <w:r w:rsidRPr="00E63DCC">
              <w:rPr>
                <w:szCs w:val="24"/>
                <w:lang w:val="en-GB" w:eastAsia="de-CH"/>
              </w:rPr>
              <w:t xml:space="preserve"> of co-investigator]</w:t>
            </w:r>
          </w:p>
        </w:tc>
      </w:tr>
    </w:tbl>
    <w:p w14:paraId="0175B329" w14:textId="77777777" w:rsidR="00867B51" w:rsidRPr="00E63DCC" w:rsidRDefault="00867B51" w:rsidP="00321D50">
      <w:pPr>
        <w:rPr>
          <w:szCs w:val="20"/>
          <w:lang w:val="en-GB" w:eastAsia="en-US"/>
        </w:rPr>
      </w:pPr>
    </w:p>
    <w:p w14:paraId="53048329" w14:textId="77777777" w:rsidR="00867B51" w:rsidRPr="00E63DCC" w:rsidRDefault="00867B51" w:rsidP="00321D50">
      <w:pPr>
        <w:rPr>
          <w:szCs w:val="20"/>
          <w:lang w:val="en-GB" w:eastAsia="en-US"/>
        </w:rPr>
      </w:pPr>
    </w:p>
    <w:p w14:paraId="6F289E29" w14:textId="5A6B2A44" w:rsidR="00867B51" w:rsidRPr="00E63DCC" w:rsidRDefault="00867B51" w:rsidP="00321D50">
      <w:pPr>
        <w:rPr>
          <w:lang w:val="en-GB"/>
        </w:rPr>
      </w:pPr>
      <w:r w:rsidRPr="00E63DCC">
        <w:rPr>
          <w:lang w:val="en-GB"/>
        </w:rPr>
        <w:t>For</w:t>
      </w:r>
      <w:r w:rsidR="0090788F" w:rsidRPr="00E63DCC">
        <w:rPr>
          <w:lang w:val="en-GB"/>
        </w:rPr>
        <w:t xml:space="preserve"> [</w:t>
      </w:r>
      <w:r w:rsidR="00D41440" w:rsidRPr="00E63DCC">
        <w:rPr>
          <w:lang w:val="en-GB"/>
        </w:rPr>
        <w:t>n</w:t>
      </w:r>
      <w:r w:rsidR="0090788F" w:rsidRPr="00E63DCC">
        <w:rPr>
          <w:lang w:val="en-GB"/>
        </w:rPr>
        <w:t>ame of project coordinators’ institution]:</w:t>
      </w:r>
    </w:p>
    <w:tbl>
      <w:tblPr>
        <w:tblW w:w="0" w:type="auto"/>
        <w:tblLook w:val="04A0" w:firstRow="1" w:lastRow="0" w:firstColumn="1" w:lastColumn="0" w:noHBand="0" w:noVBand="1"/>
      </w:tblPr>
      <w:tblGrid>
        <w:gridCol w:w="3161"/>
        <w:gridCol w:w="5865"/>
      </w:tblGrid>
      <w:tr w:rsidR="0010675A" w:rsidRPr="00E63DCC" w14:paraId="564A2DEE" w14:textId="77777777" w:rsidTr="00953E80">
        <w:tc>
          <w:tcPr>
            <w:tcW w:w="3227" w:type="dxa"/>
          </w:tcPr>
          <w:p w14:paraId="04488063" w14:textId="77777777" w:rsidR="0010675A" w:rsidRPr="00E63DCC" w:rsidRDefault="0010675A" w:rsidP="00321D50">
            <w:pPr>
              <w:rPr>
                <w:lang w:val="en-GB"/>
              </w:rPr>
            </w:pPr>
          </w:p>
          <w:p w14:paraId="6C31A1E5" w14:textId="1152F4EE" w:rsidR="00A46D5F" w:rsidRPr="00E63DCC" w:rsidRDefault="00700DC5" w:rsidP="00321D50">
            <w:pPr>
              <w:rPr>
                <w:lang w:val="en-GB"/>
              </w:rPr>
            </w:pPr>
            <w:r w:rsidRPr="00E63DCC">
              <w:rPr>
                <w:lang w:val="en-GB"/>
              </w:rPr>
              <w:t>[</w:t>
            </w:r>
            <w:r w:rsidR="00D41440" w:rsidRPr="00E63DCC">
              <w:rPr>
                <w:lang w:val="en-GB"/>
              </w:rPr>
              <w:t>p</w:t>
            </w:r>
            <w:r w:rsidR="0090788F" w:rsidRPr="00E63DCC">
              <w:rPr>
                <w:lang w:val="en-GB"/>
              </w:rPr>
              <w:t xml:space="preserve">lace, </w:t>
            </w:r>
            <w:r w:rsidR="00D41440" w:rsidRPr="00E63DCC">
              <w:rPr>
                <w:lang w:val="en-GB"/>
              </w:rPr>
              <w:t>d</w:t>
            </w:r>
            <w:r w:rsidR="0090788F" w:rsidRPr="00E63DCC">
              <w:rPr>
                <w:lang w:val="en-GB"/>
              </w:rPr>
              <w:t>ate</w:t>
            </w:r>
            <w:r w:rsidRPr="00E63DCC">
              <w:rPr>
                <w:lang w:val="en-GB"/>
              </w:rPr>
              <w:t>]</w:t>
            </w:r>
          </w:p>
          <w:p w14:paraId="471CB465" w14:textId="77777777" w:rsidR="0010675A" w:rsidRPr="00E63DCC" w:rsidRDefault="0010675A" w:rsidP="00321D50">
            <w:pPr>
              <w:rPr>
                <w:lang w:val="en-GB"/>
              </w:rPr>
            </w:pPr>
          </w:p>
        </w:tc>
        <w:tc>
          <w:tcPr>
            <w:tcW w:w="5985" w:type="dxa"/>
          </w:tcPr>
          <w:p w14:paraId="3341573E" w14:textId="77777777" w:rsidR="0010675A" w:rsidRPr="00E63DCC" w:rsidRDefault="0010675A" w:rsidP="00321D50">
            <w:pPr>
              <w:rPr>
                <w:lang w:val="en-GB"/>
              </w:rPr>
            </w:pPr>
          </w:p>
          <w:p w14:paraId="25A563D9" w14:textId="7F470D53" w:rsidR="0010675A" w:rsidRPr="00E63DCC" w:rsidRDefault="00700DC5" w:rsidP="00321D50">
            <w:pPr>
              <w:rPr>
                <w:lang w:val="en-GB"/>
              </w:rPr>
            </w:pPr>
            <w:r w:rsidRPr="00E63DCC">
              <w:rPr>
                <w:szCs w:val="24"/>
                <w:lang w:val="en-GB"/>
              </w:rPr>
              <w:t>[</w:t>
            </w:r>
            <w:r w:rsidR="00D41440" w:rsidRPr="00E63DCC">
              <w:rPr>
                <w:szCs w:val="24"/>
                <w:lang w:val="en-GB"/>
              </w:rPr>
              <w:t>n</w:t>
            </w:r>
            <w:r w:rsidR="0090788F" w:rsidRPr="00E63DCC">
              <w:rPr>
                <w:szCs w:val="24"/>
                <w:lang w:val="en-GB"/>
              </w:rPr>
              <w:t>ame</w:t>
            </w:r>
            <w:r w:rsidRPr="00E63DCC">
              <w:rPr>
                <w:szCs w:val="24"/>
                <w:lang w:val="en-GB"/>
              </w:rPr>
              <w:t xml:space="preserve"> of coordinator(s)]</w:t>
            </w:r>
          </w:p>
          <w:p w14:paraId="72202577" w14:textId="77777777" w:rsidR="0010675A" w:rsidRPr="00E63DCC" w:rsidRDefault="0010675A" w:rsidP="00321D50">
            <w:pPr>
              <w:rPr>
                <w:lang w:val="en-GB"/>
              </w:rPr>
            </w:pPr>
          </w:p>
        </w:tc>
      </w:tr>
      <w:tr w:rsidR="0010675A" w:rsidRPr="00E63DCC" w14:paraId="17A9E19E" w14:textId="77777777" w:rsidTr="00953E80">
        <w:tc>
          <w:tcPr>
            <w:tcW w:w="3227" w:type="dxa"/>
          </w:tcPr>
          <w:p w14:paraId="76D0EC48" w14:textId="77777777" w:rsidR="0010675A" w:rsidRPr="00E63DCC" w:rsidRDefault="0010675A" w:rsidP="00A5640C">
            <w:pPr>
              <w:spacing w:after="0"/>
              <w:rPr>
                <w:rFonts w:ascii="Arial" w:hAnsi="Arial"/>
                <w:lang w:val="en-GB"/>
              </w:rPr>
            </w:pPr>
          </w:p>
        </w:tc>
        <w:tc>
          <w:tcPr>
            <w:tcW w:w="5985" w:type="dxa"/>
          </w:tcPr>
          <w:p w14:paraId="48058AC7" w14:textId="77777777" w:rsidR="0010675A" w:rsidRPr="00E63DCC" w:rsidRDefault="0010675A" w:rsidP="00A5640C">
            <w:pPr>
              <w:spacing w:after="0"/>
              <w:rPr>
                <w:rFonts w:ascii="Arial" w:hAnsi="Arial"/>
                <w:b/>
                <w:lang w:val="en-GB"/>
              </w:rPr>
            </w:pPr>
          </w:p>
        </w:tc>
      </w:tr>
    </w:tbl>
    <w:p w14:paraId="6B411E65" w14:textId="77777777" w:rsidR="00867B51" w:rsidRPr="00E63DCC" w:rsidRDefault="00867B51" w:rsidP="00A5640C">
      <w:pPr>
        <w:spacing w:after="0"/>
        <w:rPr>
          <w:rFonts w:ascii="Arial" w:hAnsi="Arial" w:cs="Arial"/>
          <w:sz w:val="26"/>
          <w:szCs w:val="24"/>
          <w:lang w:val="en-GB" w:eastAsia="en-US"/>
        </w:rPr>
      </w:pPr>
    </w:p>
    <w:p w14:paraId="3C380B24" w14:textId="77777777" w:rsidR="003E284D" w:rsidRPr="00E63DCC" w:rsidRDefault="008D7297" w:rsidP="00A5640C">
      <w:pPr>
        <w:rPr>
          <w:sz w:val="36"/>
          <w:szCs w:val="36"/>
          <w:lang w:val="en-GB"/>
        </w:rPr>
      </w:pPr>
      <w:r w:rsidRPr="00E63DCC">
        <w:rPr>
          <w:lang w:val="en-GB" w:eastAsia="zh-CN"/>
        </w:rPr>
        <w:br w:type="page"/>
      </w:r>
    </w:p>
    <w:p w14:paraId="4D10470F" w14:textId="4F7C6E03" w:rsidR="00DF7128" w:rsidRPr="00E63DCC" w:rsidRDefault="00321D50" w:rsidP="00291AF5">
      <w:pPr>
        <w:pStyle w:val="Normalboldhead"/>
      </w:pPr>
      <w:bookmarkStart w:id="1" w:name="_Toc292344085"/>
      <w:r w:rsidRPr="00E63DCC">
        <w:lastRenderedPageBreak/>
        <w:t>C</w:t>
      </w:r>
      <w:r w:rsidR="00233D9A" w:rsidRPr="00E63DCC">
        <w:t>ontent</w:t>
      </w:r>
      <w:bookmarkEnd w:id="1"/>
      <w:r w:rsidR="00B21B36" w:rsidRPr="00E63DCC">
        <w:t>s</w:t>
      </w:r>
    </w:p>
    <w:p w14:paraId="558AE4A5" w14:textId="3DF356A8" w:rsidR="00584C6F" w:rsidRDefault="00584C6F">
      <w:pPr>
        <w:pStyle w:val="TOC1"/>
        <w:rPr>
          <w:rFonts w:asciiTheme="minorHAnsi" w:eastAsiaTheme="minorEastAsia" w:hAnsiTheme="minorHAnsi" w:cstheme="minorBidi"/>
          <w:b w:val="0"/>
          <w:sz w:val="22"/>
          <w:szCs w:val="22"/>
          <w:lang w:val="de-CH" w:eastAsia="de-CH"/>
        </w:rPr>
      </w:pPr>
      <w:r>
        <w:rPr>
          <w:lang w:val="en-GB"/>
        </w:rPr>
        <w:fldChar w:fldCharType="begin"/>
      </w:r>
      <w:r>
        <w:rPr>
          <w:lang w:val="en-GB"/>
        </w:rPr>
        <w:instrText xml:space="preserve"> TOC \o "1-3" \h \z \u </w:instrText>
      </w:r>
      <w:r>
        <w:rPr>
          <w:lang w:val="en-GB"/>
        </w:rPr>
        <w:fldChar w:fldCharType="separate"/>
      </w:r>
      <w:hyperlink w:anchor="_Toc70926796" w:history="1">
        <w:r w:rsidRPr="006F7B45">
          <w:rPr>
            <w:rStyle w:val="Hyperlink"/>
          </w:rPr>
          <w:t>Abbreviations</w:t>
        </w:r>
        <w:r>
          <w:rPr>
            <w:webHidden/>
          </w:rPr>
          <w:tab/>
        </w:r>
        <w:r>
          <w:rPr>
            <w:webHidden/>
          </w:rPr>
          <w:fldChar w:fldCharType="begin"/>
        </w:r>
        <w:r>
          <w:rPr>
            <w:webHidden/>
          </w:rPr>
          <w:instrText xml:space="preserve"> PAGEREF _Toc70926796 \h </w:instrText>
        </w:r>
        <w:r>
          <w:rPr>
            <w:webHidden/>
          </w:rPr>
        </w:r>
        <w:r>
          <w:rPr>
            <w:webHidden/>
          </w:rPr>
          <w:fldChar w:fldCharType="separate"/>
        </w:r>
        <w:r>
          <w:rPr>
            <w:webHidden/>
          </w:rPr>
          <w:t>6</w:t>
        </w:r>
        <w:r>
          <w:rPr>
            <w:webHidden/>
          </w:rPr>
          <w:fldChar w:fldCharType="end"/>
        </w:r>
      </w:hyperlink>
    </w:p>
    <w:p w14:paraId="4C727EB5" w14:textId="55D18A60" w:rsidR="00584C6F" w:rsidRDefault="00BD28A6">
      <w:pPr>
        <w:pStyle w:val="TOC1"/>
        <w:rPr>
          <w:rFonts w:asciiTheme="minorHAnsi" w:eastAsiaTheme="minorEastAsia" w:hAnsiTheme="minorHAnsi" w:cstheme="minorBidi"/>
          <w:b w:val="0"/>
          <w:sz w:val="22"/>
          <w:szCs w:val="22"/>
          <w:lang w:val="de-CH" w:eastAsia="de-CH"/>
        </w:rPr>
      </w:pPr>
      <w:hyperlink w:anchor="_Toc70926797" w:history="1">
        <w:r w:rsidR="00584C6F" w:rsidRPr="006F7B45">
          <w:rPr>
            <w:rStyle w:val="Hyperlink"/>
          </w:rPr>
          <w:t>Study team and administrative structure</w:t>
        </w:r>
        <w:r w:rsidR="00584C6F">
          <w:rPr>
            <w:webHidden/>
          </w:rPr>
          <w:tab/>
        </w:r>
        <w:r w:rsidR="00584C6F">
          <w:rPr>
            <w:webHidden/>
          </w:rPr>
          <w:fldChar w:fldCharType="begin"/>
        </w:r>
        <w:r w:rsidR="00584C6F">
          <w:rPr>
            <w:webHidden/>
          </w:rPr>
          <w:instrText xml:space="preserve"> PAGEREF _Toc70926797 \h </w:instrText>
        </w:r>
        <w:r w:rsidR="00584C6F">
          <w:rPr>
            <w:webHidden/>
          </w:rPr>
        </w:r>
        <w:r w:rsidR="00584C6F">
          <w:rPr>
            <w:webHidden/>
          </w:rPr>
          <w:fldChar w:fldCharType="separate"/>
        </w:r>
        <w:r w:rsidR="00584C6F">
          <w:rPr>
            <w:webHidden/>
          </w:rPr>
          <w:t>7</w:t>
        </w:r>
        <w:r w:rsidR="00584C6F">
          <w:rPr>
            <w:webHidden/>
          </w:rPr>
          <w:fldChar w:fldCharType="end"/>
        </w:r>
      </w:hyperlink>
    </w:p>
    <w:p w14:paraId="5F73CDC1" w14:textId="71B34319" w:rsidR="00584C6F" w:rsidRDefault="00BD28A6">
      <w:pPr>
        <w:pStyle w:val="TOC1"/>
        <w:rPr>
          <w:rFonts w:asciiTheme="minorHAnsi" w:eastAsiaTheme="minorEastAsia" w:hAnsiTheme="minorHAnsi" w:cstheme="minorBidi"/>
          <w:b w:val="0"/>
          <w:sz w:val="22"/>
          <w:szCs w:val="22"/>
          <w:lang w:val="de-CH" w:eastAsia="de-CH"/>
        </w:rPr>
      </w:pPr>
      <w:hyperlink w:anchor="_Toc70926798" w:history="1">
        <w:r w:rsidR="00584C6F" w:rsidRPr="006F7B45">
          <w:rPr>
            <w:rStyle w:val="Hyperlink"/>
          </w:rPr>
          <w:t>1.</w:t>
        </w:r>
        <w:r w:rsidR="00584C6F">
          <w:rPr>
            <w:rFonts w:asciiTheme="minorHAnsi" w:eastAsiaTheme="minorEastAsia" w:hAnsiTheme="minorHAnsi" w:cstheme="minorBidi"/>
            <w:b w:val="0"/>
            <w:sz w:val="22"/>
            <w:szCs w:val="22"/>
            <w:lang w:val="de-CH" w:eastAsia="de-CH"/>
          </w:rPr>
          <w:tab/>
        </w:r>
        <w:r w:rsidR="00584C6F" w:rsidRPr="006F7B45">
          <w:rPr>
            <w:rStyle w:val="Hyperlink"/>
          </w:rPr>
          <w:t>Introduction</w:t>
        </w:r>
        <w:r w:rsidR="00584C6F">
          <w:rPr>
            <w:webHidden/>
          </w:rPr>
          <w:tab/>
        </w:r>
        <w:r w:rsidR="00584C6F">
          <w:rPr>
            <w:webHidden/>
          </w:rPr>
          <w:fldChar w:fldCharType="begin"/>
        </w:r>
        <w:r w:rsidR="00584C6F">
          <w:rPr>
            <w:webHidden/>
          </w:rPr>
          <w:instrText xml:space="preserve"> PAGEREF _Toc70926798 \h </w:instrText>
        </w:r>
        <w:r w:rsidR="00584C6F">
          <w:rPr>
            <w:webHidden/>
          </w:rPr>
        </w:r>
        <w:r w:rsidR="00584C6F">
          <w:rPr>
            <w:webHidden/>
          </w:rPr>
          <w:fldChar w:fldCharType="separate"/>
        </w:r>
        <w:r w:rsidR="00584C6F">
          <w:rPr>
            <w:webHidden/>
          </w:rPr>
          <w:t>8</w:t>
        </w:r>
        <w:r w:rsidR="00584C6F">
          <w:rPr>
            <w:webHidden/>
          </w:rPr>
          <w:fldChar w:fldCharType="end"/>
        </w:r>
      </w:hyperlink>
    </w:p>
    <w:p w14:paraId="78A94372" w14:textId="0A1CDC71" w:rsidR="00584C6F" w:rsidRDefault="00BD28A6">
      <w:pPr>
        <w:pStyle w:val="TOC2"/>
        <w:rPr>
          <w:rFonts w:asciiTheme="minorHAnsi" w:eastAsiaTheme="minorEastAsia" w:hAnsiTheme="minorHAnsi" w:cstheme="minorBidi"/>
          <w:sz w:val="22"/>
          <w:szCs w:val="22"/>
          <w:lang w:val="de-CH" w:eastAsia="de-CH"/>
        </w:rPr>
      </w:pPr>
      <w:hyperlink w:anchor="_Toc70926799" w:history="1">
        <w:r w:rsidR="00584C6F" w:rsidRPr="006F7B45">
          <w:rPr>
            <w:rStyle w:val="Hyperlink"/>
            <w:lang w:val="en-GB"/>
          </w:rPr>
          <w:t>1.1</w:t>
        </w:r>
        <w:r w:rsidR="00584C6F">
          <w:rPr>
            <w:rFonts w:asciiTheme="minorHAnsi" w:eastAsiaTheme="minorEastAsia" w:hAnsiTheme="minorHAnsi" w:cstheme="minorBidi"/>
            <w:sz w:val="22"/>
            <w:szCs w:val="22"/>
            <w:lang w:val="de-CH" w:eastAsia="de-CH"/>
          </w:rPr>
          <w:tab/>
        </w:r>
        <w:r w:rsidR="00584C6F" w:rsidRPr="006F7B45">
          <w:rPr>
            <w:rStyle w:val="Hyperlink"/>
            <w:lang w:val="en-GB"/>
          </w:rPr>
          <w:t>Artisanal and small-scale gold mining and health</w:t>
        </w:r>
        <w:r w:rsidR="00584C6F">
          <w:rPr>
            <w:webHidden/>
          </w:rPr>
          <w:tab/>
        </w:r>
        <w:r w:rsidR="00584C6F">
          <w:rPr>
            <w:webHidden/>
          </w:rPr>
          <w:fldChar w:fldCharType="begin"/>
        </w:r>
        <w:r w:rsidR="00584C6F">
          <w:rPr>
            <w:webHidden/>
          </w:rPr>
          <w:instrText xml:space="preserve"> PAGEREF _Toc70926799 \h </w:instrText>
        </w:r>
        <w:r w:rsidR="00584C6F">
          <w:rPr>
            <w:webHidden/>
          </w:rPr>
        </w:r>
        <w:r w:rsidR="00584C6F">
          <w:rPr>
            <w:webHidden/>
          </w:rPr>
          <w:fldChar w:fldCharType="separate"/>
        </w:r>
        <w:r w:rsidR="00584C6F">
          <w:rPr>
            <w:webHidden/>
          </w:rPr>
          <w:t>8</w:t>
        </w:r>
        <w:r w:rsidR="00584C6F">
          <w:rPr>
            <w:webHidden/>
          </w:rPr>
          <w:fldChar w:fldCharType="end"/>
        </w:r>
      </w:hyperlink>
    </w:p>
    <w:p w14:paraId="108D608E" w14:textId="20C495F8" w:rsidR="00584C6F" w:rsidRDefault="00BD28A6">
      <w:pPr>
        <w:pStyle w:val="TOC2"/>
        <w:rPr>
          <w:rFonts w:asciiTheme="minorHAnsi" w:eastAsiaTheme="minorEastAsia" w:hAnsiTheme="minorHAnsi" w:cstheme="minorBidi"/>
          <w:sz w:val="22"/>
          <w:szCs w:val="22"/>
          <w:lang w:val="de-CH" w:eastAsia="de-CH"/>
        </w:rPr>
      </w:pPr>
      <w:hyperlink w:anchor="_Toc70926800" w:history="1">
        <w:r w:rsidR="00584C6F" w:rsidRPr="006F7B45">
          <w:rPr>
            <w:rStyle w:val="Hyperlink"/>
            <w:lang w:val="en-GB"/>
          </w:rPr>
          <w:t>1.2</w:t>
        </w:r>
        <w:r w:rsidR="00584C6F">
          <w:rPr>
            <w:rFonts w:asciiTheme="minorHAnsi" w:eastAsiaTheme="minorEastAsia" w:hAnsiTheme="minorHAnsi" w:cstheme="minorBidi"/>
            <w:sz w:val="22"/>
            <w:szCs w:val="22"/>
            <w:lang w:val="de-CH" w:eastAsia="de-CH"/>
          </w:rPr>
          <w:tab/>
        </w:r>
        <w:r w:rsidR="00584C6F" w:rsidRPr="006F7B45">
          <w:rPr>
            <w:rStyle w:val="Hyperlink"/>
            <w:lang w:val="en-GB"/>
          </w:rPr>
          <w:t>Rationale for the study</w:t>
        </w:r>
        <w:r w:rsidR="00584C6F">
          <w:rPr>
            <w:webHidden/>
          </w:rPr>
          <w:tab/>
        </w:r>
        <w:r w:rsidR="00584C6F">
          <w:rPr>
            <w:webHidden/>
          </w:rPr>
          <w:fldChar w:fldCharType="begin"/>
        </w:r>
        <w:r w:rsidR="00584C6F">
          <w:rPr>
            <w:webHidden/>
          </w:rPr>
          <w:instrText xml:space="preserve"> PAGEREF _Toc70926800 \h </w:instrText>
        </w:r>
        <w:r w:rsidR="00584C6F">
          <w:rPr>
            <w:webHidden/>
          </w:rPr>
        </w:r>
        <w:r w:rsidR="00584C6F">
          <w:rPr>
            <w:webHidden/>
          </w:rPr>
          <w:fldChar w:fldCharType="separate"/>
        </w:r>
        <w:r w:rsidR="00584C6F">
          <w:rPr>
            <w:webHidden/>
          </w:rPr>
          <w:t>8</w:t>
        </w:r>
        <w:r w:rsidR="00584C6F">
          <w:rPr>
            <w:webHidden/>
          </w:rPr>
          <w:fldChar w:fldCharType="end"/>
        </w:r>
      </w:hyperlink>
    </w:p>
    <w:p w14:paraId="1ABDF00B" w14:textId="4271703A" w:rsidR="00584C6F" w:rsidRDefault="00BD28A6">
      <w:pPr>
        <w:pStyle w:val="TOC2"/>
        <w:rPr>
          <w:rFonts w:asciiTheme="minorHAnsi" w:eastAsiaTheme="minorEastAsia" w:hAnsiTheme="minorHAnsi" w:cstheme="minorBidi"/>
          <w:sz w:val="22"/>
          <w:szCs w:val="22"/>
          <w:lang w:val="de-CH" w:eastAsia="de-CH"/>
        </w:rPr>
      </w:pPr>
      <w:hyperlink w:anchor="_Toc70926801" w:history="1">
        <w:r w:rsidR="00584C6F" w:rsidRPr="006F7B45">
          <w:rPr>
            <w:rStyle w:val="Hyperlink"/>
            <w:lang w:val="en-GB"/>
          </w:rPr>
          <w:t>1.3</w:t>
        </w:r>
        <w:r w:rsidR="00584C6F">
          <w:rPr>
            <w:rFonts w:asciiTheme="minorHAnsi" w:eastAsiaTheme="minorEastAsia" w:hAnsiTheme="minorHAnsi" w:cstheme="minorBidi"/>
            <w:sz w:val="22"/>
            <w:szCs w:val="22"/>
            <w:lang w:val="de-CH" w:eastAsia="de-CH"/>
          </w:rPr>
          <w:tab/>
        </w:r>
        <w:r w:rsidR="00584C6F" w:rsidRPr="006F7B45">
          <w:rPr>
            <w:rStyle w:val="Hyperlink"/>
            <w:lang w:val="en-GB"/>
          </w:rPr>
          <w:t>Political linkages and political involvement</w:t>
        </w:r>
        <w:r w:rsidR="00584C6F">
          <w:rPr>
            <w:webHidden/>
          </w:rPr>
          <w:tab/>
        </w:r>
        <w:r w:rsidR="00584C6F">
          <w:rPr>
            <w:webHidden/>
          </w:rPr>
          <w:fldChar w:fldCharType="begin"/>
        </w:r>
        <w:r w:rsidR="00584C6F">
          <w:rPr>
            <w:webHidden/>
          </w:rPr>
          <w:instrText xml:space="preserve"> PAGEREF _Toc70926801 \h </w:instrText>
        </w:r>
        <w:r w:rsidR="00584C6F">
          <w:rPr>
            <w:webHidden/>
          </w:rPr>
        </w:r>
        <w:r w:rsidR="00584C6F">
          <w:rPr>
            <w:webHidden/>
          </w:rPr>
          <w:fldChar w:fldCharType="separate"/>
        </w:r>
        <w:r w:rsidR="00584C6F">
          <w:rPr>
            <w:webHidden/>
          </w:rPr>
          <w:t>10</w:t>
        </w:r>
        <w:r w:rsidR="00584C6F">
          <w:rPr>
            <w:webHidden/>
          </w:rPr>
          <w:fldChar w:fldCharType="end"/>
        </w:r>
      </w:hyperlink>
    </w:p>
    <w:p w14:paraId="03AEA247" w14:textId="33E6AF47" w:rsidR="00584C6F" w:rsidRDefault="00BD28A6">
      <w:pPr>
        <w:pStyle w:val="TOC1"/>
        <w:rPr>
          <w:rFonts w:asciiTheme="minorHAnsi" w:eastAsiaTheme="minorEastAsia" w:hAnsiTheme="minorHAnsi" w:cstheme="minorBidi"/>
          <w:b w:val="0"/>
          <w:sz w:val="22"/>
          <w:szCs w:val="22"/>
          <w:lang w:val="de-CH" w:eastAsia="de-CH"/>
        </w:rPr>
      </w:pPr>
      <w:hyperlink w:anchor="_Toc70926802" w:history="1">
        <w:r w:rsidR="00584C6F" w:rsidRPr="006F7B45">
          <w:rPr>
            <w:rStyle w:val="Hyperlink"/>
          </w:rPr>
          <w:t>2.</w:t>
        </w:r>
        <w:r w:rsidR="00584C6F">
          <w:rPr>
            <w:rFonts w:asciiTheme="minorHAnsi" w:eastAsiaTheme="minorEastAsia" w:hAnsiTheme="minorHAnsi" w:cstheme="minorBidi"/>
            <w:b w:val="0"/>
            <w:sz w:val="22"/>
            <w:szCs w:val="22"/>
            <w:lang w:val="de-CH" w:eastAsia="de-CH"/>
          </w:rPr>
          <w:tab/>
        </w:r>
        <w:r w:rsidR="00584C6F" w:rsidRPr="006F7B45">
          <w:rPr>
            <w:rStyle w:val="Hyperlink"/>
          </w:rPr>
          <w:t>Aim and objectives</w:t>
        </w:r>
        <w:r w:rsidR="00584C6F">
          <w:rPr>
            <w:webHidden/>
          </w:rPr>
          <w:tab/>
        </w:r>
        <w:r w:rsidR="00584C6F">
          <w:rPr>
            <w:webHidden/>
          </w:rPr>
          <w:fldChar w:fldCharType="begin"/>
        </w:r>
        <w:r w:rsidR="00584C6F">
          <w:rPr>
            <w:webHidden/>
          </w:rPr>
          <w:instrText xml:space="preserve"> PAGEREF _Toc70926802 \h </w:instrText>
        </w:r>
        <w:r w:rsidR="00584C6F">
          <w:rPr>
            <w:webHidden/>
          </w:rPr>
        </w:r>
        <w:r w:rsidR="00584C6F">
          <w:rPr>
            <w:webHidden/>
          </w:rPr>
          <w:fldChar w:fldCharType="separate"/>
        </w:r>
        <w:r w:rsidR="00584C6F">
          <w:rPr>
            <w:webHidden/>
          </w:rPr>
          <w:t>12</w:t>
        </w:r>
        <w:r w:rsidR="00584C6F">
          <w:rPr>
            <w:webHidden/>
          </w:rPr>
          <w:fldChar w:fldCharType="end"/>
        </w:r>
      </w:hyperlink>
    </w:p>
    <w:p w14:paraId="5D942DD2" w14:textId="70B4B2FC" w:rsidR="00584C6F" w:rsidRDefault="00BD28A6">
      <w:pPr>
        <w:pStyle w:val="TOC1"/>
        <w:rPr>
          <w:rFonts w:asciiTheme="minorHAnsi" w:eastAsiaTheme="minorEastAsia" w:hAnsiTheme="minorHAnsi" w:cstheme="minorBidi"/>
          <w:b w:val="0"/>
          <w:sz w:val="22"/>
          <w:szCs w:val="22"/>
          <w:lang w:val="de-CH" w:eastAsia="de-CH"/>
        </w:rPr>
      </w:pPr>
      <w:hyperlink w:anchor="_Toc70926803" w:history="1">
        <w:r w:rsidR="00584C6F" w:rsidRPr="006F7B45">
          <w:rPr>
            <w:rStyle w:val="Hyperlink"/>
          </w:rPr>
          <w:t>3.</w:t>
        </w:r>
        <w:r w:rsidR="00584C6F">
          <w:rPr>
            <w:rFonts w:asciiTheme="minorHAnsi" w:eastAsiaTheme="minorEastAsia" w:hAnsiTheme="minorHAnsi" w:cstheme="minorBidi"/>
            <w:b w:val="0"/>
            <w:sz w:val="22"/>
            <w:szCs w:val="22"/>
            <w:lang w:val="de-CH" w:eastAsia="de-CH"/>
          </w:rPr>
          <w:tab/>
        </w:r>
        <w:r w:rsidR="00584C6F" w:rsidRPr="006F7B45">
          <w:rPr>
            <w:rStyle w:val="Hyperlink"/>
          </w:rPr>
          <w:t>Methodology</w:t>
        </w:r>
        <w:r w:rsidR="00584C6F">
          <w:rPr>
            <w:webHidden/>
          </w:rPr>
          <w:tab/>
        </w:r>
        <w:r w:rsidR="00584C6F">
          <w:rPr>
            <w:webHidden/>
          </w:rPr>
          <w:fldChar w:fldCharType="begin"/>
        </w:r>
        <w:r w:rsidR="00584C6F">
          <w:rPr>
            <w:webHidden/>
          </w:rPr>
          <w:instrText xml:space="preserve"> PAGEREF _Toc70926803 \h </w:instrText>
        </w:r>
        <w:r w:rsidR="00584C6F">
          <w:rPr>
            <w:webHidden/>
          </w:rPr>
        </w:r>
        <w:r w:rsidR="00584C6F">
          <w:rPr>
            <w:webHidden/>
          </w:rPr>
          <w:fldChar w:fldCharType="separate"/>
        </w:r>
        <w:r w:rsidR="00584C6F">
          <w:rPr>
            <w:webHidden/>
          </w:rPr>
          <w:t>14</w:t>
        </w:r>
        <w:r w:rsidR="00584C6F">
          <w:rPr>
            <w:webHidden/>
          </w:rPr>
          <w:fldChar w:fldCharType="end"/>
        </w:r>
      </w:hyperlink>
    </w:p>
    <w:p w14:paraId="18AEBBB1" w14:textId="00C1CDFA" w:rsidR="00584C6F" w:rsidRDefault="00BD28A6">
      <w:pPr>
        <w:pStyle w:val="TOC2"/>
        <w:rPr>
          <w:rFonts w:asciiTheme="minorHAnsi" w:eastAsiaTheme="minorEastAsia" w:hAnsiTheme="minorHAnsi" w:cstheme="minorBidi"/>
          <w:sz w:val="22"/>
          <w:szCs w:val="22"/>
          <w:lang w:val="de-CH" w:eastAsia="de-CH"/>
        </w:rPr>
      </w:pPr>
      <w:hyperlink w:anchor="_Toc70926804" w:history="1">
        <w:r w:rsidR="00584C6F" w:rsidRPr="006F7B45">
          <w:rPr>
            <w:rStyle w:val="Hyperlink"/>
            <w:lang w:val="en-GB"/>
          </w:rPr>
          <w:t>3.1</w:t>
        </w:r>
        <w:r w:rsidR="00584C6F">
          <w:rPr>
            <w:rFonts w:asciiTheme="minorHAnsi" w:eastAsiaTheme="minorEastAsia" w:hAnsiTheme="minorHAnsi" w:cstheme="minorBidi"/>
            <w:sz w:val="22"/>
            <w:szCs w:val="22"/>
            <w:lang w:val="de-CH" w:eastAsia="de-CH"/>
          </w:rPr>
          <w:tab/>
        </w:r>
        <w:r w:rsidR="00584C6F" w:rsidRPr="006F7B45">
          <w:rPr>
            <w:rStyle w:val="Hyperlink"/>
            <w:lang w:val="en-GB"/>
          </w:rPr>
          <w:t>Study design</w:t>
        </w:r>
        <w:r w:rsidR="00584C6F">
          <w:rPr>
            <w:webHidden/>
          </w:rPr>
          <w:tab/>
        </w:r>
        <w:r w:rsidR="00584C6F">
          <w:rPr>
            <w:webHidden/>
          </w:rPr>
          <w:fldChar w:fldCharType="begin"/>
        </w:r>
        <w:r w:rsidR="00584C6F">
          <w:rPr>
            <w:webHidden/>
          </w:rPr>
          <w:instrText xml:space="preserve"> PAGEREF _Toc70926804 \h </w:instrText>
        </w:r>
        <w:r w:rsidR="00584C6F">
          <w:rPr>
            <w:webHidden/>
          </w:rPr>
        </w:r>
        <w:r w:rsidR="00584C6F">
          <w:rPr>
            <w:webHidden/>
          </w:rPr>
          <w:fldChar w:fldCharType="separate"/>
        </w:r>
        <w:r w:rsidR="00584C6F">
          <w:rPr>
            <w:webHidden/>
          </w:rPr>
          <w:t>14</w:t>
        </w:r>
        <w:r w:rsidR="00584C6F">
          <w:rPr>
            <w:webHidden/>
          </w:rPr>
          <w:fldChar w:fldCharType="end"/>
        </w:r>
      </w:hyperlink>
    </w:p>
    <w:p w14:paraId="02632615" w14:textId="1C90C2F2" w:rsidR="00584C6F" w:rsidRDefault="00BD28A6">
      <w:pPr>
        <w:pStyle w:val="TOC2"/>
        <w:rPr>
          <w:rFonts w:asciiTheme="minorHAnsi" w:eastAsiaTheme="minorEastAsia" w:hAnsiTheme="minorHAnsi" w:cstheme="minorBidi"/>
          <w:sz w:val="22"/>
          <w:szCs w:val="22"/>
          <w:lang w:val="de-CH" w:eastAsia="de-CH"/>
        </w:rPr>
      </w:pPr>
      <w:hyperlink w:anchor="_Toc70926805" w:history="1">
        <w:r w:rsidR="00584C6F" w:rsidRPr="006F7B45">
          <w:rPr>
            <w:rStyle w:val="Hyperlink"/>
            <w:lang w:val="en-GB"/>
          </w:rPr>
          <w:t>3.2</w:t>
        </w:r>
        <w:r w:rsidR="00584C6F">
          <w:rPr>
            <w:rFonts w:asciiTheme="minorHAnsi" w:eastAsiaTheme="minorEastAsia" w:hAnsiTheme="minorHAnsi" w:cstheme="minorBidi"/>
            <w:sz w:val="22"/>
            <w:szCs w:val="22"/>
            <w:lang w:val="de-CH" w:eastAsia="de-CH"/>
          </w:rPr>
          <w:tab/>
        </w:r>
        <w:r w:rsidR="00584C6F" w:rsidRPr="006F7B45">
          <w:rPr>
            <w:rStyle w:val="Hyperlink"/>
            <w:lang w:val="en-GB"/>
          </w:rPr>
          <w:t>Study sites</w:t>
        </w:r>
        <w:r w:rsidR="00584C6F">
          <w:rPr>
            <w:webHidden/>
          </w:rPr>
          <w:tab/>
        </w:r>
        <w:r w:rsidR="00584C6F">
          <w:rPr>
            <w:webHidden/>
          </w:rPr>
          <w:fldChar w:fldCharType="begin"/>
        </w:r>
        <w:r w:rsidR="00584C6F">
          <w:rPr>
            <w:webHidden/>
          </w:rPr>
          <w:instrText xml:space="preserve"> PAGEREF _Toc70926805 \h </w:instrText>
        </w:r>
        <w:r w:rsidR="00584C6F">
          <w:rPr>
            <w:webHidden/>
          </w:rPr>
        </w:r>
        <w:r w:rsidR="00584C6F">
          <w:rPr>
            <w:webHidden/>
          </w:rPr>
          <w:fldChar w:fldCharType="separate"/>
        </w:r>
        <w:r w:rsidR="00584C6F">
          <w:rPr>
            <w:webHidden/>
          </w:rPr>
          <w:t>14</w:t>
        </w:r>
        <w:r w:rsidR="00584C6F">
          <w:rPr>
            <w:webHidden/>
          </w:rPr>
          <w:fldChar w:fldCharType="end"/>
        </w:r>
      </w:hyperlink>
    </w:p>
    <w:p w14:paraId="30B8B09F" w14:textId="45E8ECFA" w:rsidR="00584C6F" w:rsidRDefault="00BD28A6">
      <w:pPr>
        <w:pStyle w:val="TOC2"/>
        <w:rPr>
          <w:rFonts w:asciiTheme="minorHAnsi" w:eastAsiaTheme="minorEastAsia" w:hAnsiTheme="minorHAnsi" w:cstheme="minorBidi"/>
          <w:sz w:val="22"/>
          <w:szCs w:val="22"/>
          <w:lang w:val="de-CH" w:eastAsia="de-CH"/>
        </w:rPr>
      </w:pPr>
      <w:hyperlink w:anchor="_Toc70926806" w:history="1">
        <w:r w:rsidR="00584C6F" w:rsidRPr="006F7B45">
          <w:rPr>
            <w:rStyle w:val="Hyperlink"/>
            <w:lang w:val="en-GB"/>
          </w:rPr>
          <w:t>3.3</w:t>
        </w:r>
        <w:r w:rsidR="00584C6F">
          <w:rPr>
            <w:rFonts w:asciiTheme="minorHAnsi" w:eastAsiaTheme="minorEastAsia" w:hAnsiTheme="minorHAnsi" w:cstheme="minorBidi"/>
            <w:sz w:val="22"/>
            <w:szCs w:val="22"/>
            <w:lang w:val="de-CH" w:eastAsia="de-CH"/>
          </w:rPr>
          <w:tab/>
        </w:r>
        <w:r w:rsidR="00584C6F" w:rsidRPr="006F7B45">
          <w:rPr>
            <w:rStyle w:val="Hyperlink"/>
            <w:lang w:val="en-GB"/>
          </w:rPr>
          <w:t>Study population and sample size</w:t>
        </w:r>
        <w:r w:rsidR="00584C6F">
          <w:rPr>
            <w:webHidden/>
          </w:rPr>
          <w:tab/>
        </w:r>
        <w:r w:rsidR="00584C6F">
          <w:rPr>
            <w:webHidden/>
          </w:rPr>
          <w:fldChar w:fldCharType="begin"/>
        </w:r>
        <w:r w:rsidR="00584C6F">
          <w:rPr>
            <w:webHidden/>
          </w:rPr>
          <w:instrText xml:space="preserve"> PAGEREF _Toc70926806 \h </w:instrText>
        </w:r>
        <w:r w:rsidR="00584C6F">
          <w:rPr>
            <w:webHidden/>
          </w:rPr>
        </w:r>
        <w:r w:rsidR="00584C6F">
          <w:rPr>
            <w:webHidden/>
          </w:rPr>
          <w:fldChar w:fldCharType="separate"/>
        </w:r>
        <w:r w:rsidR="00584C6F">
          <w:rPr>
            <w:webHidden/>
          </w:rPr>
          <w:t>16</w:t>
        </w:r>
        <w:r w:rsidR="00584C6F">
          <w:rPr>
            <w:webHidden/>
          </w:rPr>
          <w:fldChar w:fldCharType="end"/>
        </w:r>
      </w:hyperlink>
    </w:p>
    <w:p w14:paraId="385C980F" w14:textId="114F8B00" w:rsidR="00584C6F" w:rsidRDefault="00BD28A6">
      <w:pPr>
        <w:pStyle w:val="TOC2"/>
        <w:rPr>
          <w:rFonts w:asciiTheme="minorHAnsi" w:eastAsiaTheme="minorEastAsia" w:hAnsiTheme="minorHAnsi" w:cstheme="minorBidi"/>
          <w:sz w:val="22"/>
          <w:szCs w:val="22"/>
          <w:lang w:val="de-CH" w:eastAsia="de-CH"/>
        </w:rPr>
      </w:pPr>
      <w:hyperlink w:anchor="_Toc70926807" w:history="1">
        <w:r w:rsidR="00584C6F" w:rsidRPr="006F7B45">
          <w:rPr>
            <w:rStyle w:val="Hyperlink"/>
            <w:lang w:val="en-GB"/>
          </w:rPr>
          <w:t>3.4</w:t>
        </w:r>
        <w:r w:rsidR="00584C6F">
          <w:rPr>
            <w:rFonts w:asciiTheme="minorHAnsi" w:eastAsiaTheme="minorEastAsia" w:hAnsiTheme="minorHAnsi" w:cstheme="minorBidi"/>
            <w:sz w:val="22"/>
            <w:szCs w:val="22"/>
            <w:lang w:val="de-CH" w:eastAsia="de-CH"/>
          </w:rPr>
          <w:tab/>
        </w:r>
        <w:r w:rsidR="00584C6F" w:rsidRPr="006F7B45">
          <w:rPr>
            <w:rStyle w:val="Hyperlink"/>
            <w:lang w:val="en-GB"/>
          </w:rPr>
          <w:t>Community mobilization and sensitization activities</w:t>
        </w:r>
        <w:r w:rsidR="00584C6F">
          <w:rPr>
            <w:webHidden/>
          </w:rPr>
          <w:tab/>
        </w:r>
        <w:r w:rsidR="00584C6F">
          <w:rPr>
            <w:webHidden/>
          </w:rPr>
          <w:fldChar w:fldCharType="begin"/>
        </w:r>
        <w:r w:rsidR="00584C6F">
          <w:rPr>
            <w:webHidden/>
          </w:rPr>
          <w:instrText xml:space="preserve"> PAGEREF _Toc70926807 \h </w:instrText>
        </w:r>
        <w:r w:rsidR="00584C6F">
          <w:rPr>
            <w:webHidden/>
          </w:rPr>
        </w:r>
        <w:r w:rsidR="00584C6F">
          <w:rPr>
            <w:webHidden/>
          </w:rPr>
          <w:fldChar w:fldCharType="separate"/>
        </w:r>
        <w:r w:rsidR="00584C6F">
          <w:rPr>
            <w:webHidden/>
          </w:rPr>
          <w:t>18</w:t>
        </w:r>
        <w:r w:rsidR="00584C6F">
          <w:rPr>
            <w:webHidden/>
          </w:rPr>
          <w:fldChar w:fldCharType="end"/>
        </w:r>
      </w:hyperlink>
    </w:p>
    <w:p w14:paraId="53424F30" w14:textId="4FBEF38A" w:rsidR="00584C6F" w:rsidRDefault="00BD28A6">
      <w:pPr>
        <w:pStyle w:val="TOC2"/>
        <w:rPr>
          <w:rFonts w:asciiTheme="minorHAnsi" w:eastAsiaTheme="minorEastAsia" w:hAnsiTheme="minorHAnsi" w:cstheme="minorBidi"/>
          <w:sz w:val="22"/>
          <w:szCs w:val="22"/>
          <w:lang w:val="de-CH" w:eastAsia="de-CH"/>
        </w:rPr>
      </w:pPr>
      <w:hyperlink w:anchor="_Toc70926808" w:history="1">
        <w:r w:rsidR="00584C6F" w:rsidRPr="006F7B45">
          <w:rPr>
            <w:rStyle w:val="Hyperlink"/>
            <w:lang w:val="en-GB"/>
          </w:rPr>
          <w:t>3.5</w:t>
        </w:r>
        <w:r w:rsidR="00584C6F">
          <w:rPr>
            <w:rFonts w:asciiTheme="minorHAnsi" w:eastAsiaTheme="minorEastAsia" w:hAnsiTheme="minorHAnsi" w:cstheme="minorBidi"/>
            <w:sz w:val="22"/>
            <w:szCs w:val="22"/>
            <w:lang w:val="de-CH" w:eastAsia="de-CH"/>
          </w:rPr>
          <w:tab/>
        </w:r>
        <w:r w:rsidR="00584C6F" w:rsidRPr="006F7B45">
          <w:rPr>
            <w:rStyle w:val="Hyperlink"/>
            <w:lang w:val="en-GB"/>
          </w:rPr>
          <w:t>Data collection and tools</w:t>
        </w:r>
        <w:r w:rsidR="00584C6F">
          <w:rPr>
            <w:webHidden/>
          </w:rPr>
          <w:tab/>
        </w:r>
        <w:r w:rsidR="00584C6F">
          <w:rPr>
            <w:webHidden/>
          </w:rPr>
          <w:fldChar w:fldCharType="begin"/>
        </w:r>
        <w:r w:rsidR="00584C6F">
          <w:rPr>
            <w:webHidden/>
          </w:rPr>
          <w:instrText xml:space="preserve"> PAGEREF _Toc70926808 \h </w:instrText>
        </w:r>
        <w:r w:rsidR="00584C6F">
          <w:rPr>
            <w:webHidden/>
          </w:rPr>
        </w:r>
        <w:r w:rsidR="00584C6F">
          <w:rPr>
            <w:webHidden/>
          </w:rPr>
          <w:fldChar w:fldCharType="separate"/>
        </w:r>
        <w:r w:rsidR="00584C6F">
          <w:rPr>
            <w:webHidden/>
          </w:rPr>
          <w:t>20</w:t>
        </w:r>
        <w:r w:rsidR="00584C6F">
          <w:rPr>
            <w:webHidden/>
          </w:rPr>
          <w:fldChar w:fldCharType="end"/>
        </w:r>
      </w:hyperlink>
    </w:p>
    <w:p w14:paraId="31E4D92D" w14:textId="55072261" w:rsidR="00584C6F" w:rsidRDefault="00BD28A6">
      <w:pPr>
        <w:pStyle w:val="TOC3"/>
        <w:rPr>
          <w:rFonts w:asciiTheme="minorHAnsi" w:eastAsiaTheme="minorEastAsia" w:hAnsiTheme="minorHAnsi" w:cstheme="minorBidi"/>
          <w:sz w:val="22"/>
          <w:szCs w:val="22"/>
          <w:lang w:val="de-CH" w:eastAsia="de-CH"/>
        </w:rPr>
      </w:pPr>
      <w:hyperlink w:anchor="_Toc70926809" w:history="1">
        <w:r w:rsidR="00584C6F" w:rsidRPr="006F7B45">
          <w:rPr>
            <w:rStyle w:val="Hyperlink"/>
          </w:rPr>
          <w:t>3.5.1</w:t>
        </w:r>
        <w:r w:rsidR="00584C6F">
          <w:rPr>
            <w:rFonts w:asciiTheme="minorHAnsi" w:eastAsiaTheme="minorEastAsia" w:hAnsiTheme="minorHAnsi" w:cstheme="minorBidi"/>
            <w:sz w:val="22"/>
            <w:szCs w:val="22"/>
            <w:lang w:val="de-CH" w:eastAsia="de-CH"/>
          </w:rPr>
          <w:tab/>
        </w:r>
        <w:r w:rsidR="00584C6F" w:rsidRPr="006F7B45">
          <w:rPr>
            <w:rStyle w:val="Hyperlink"/>
          </w:rPr>
          <w:t>Document review</w:t>
        </w:r>
        <w:r w:rsidR="00584C6F">
          <w:rPr>
            <w:webHidden/>
          </w:rPr>
          <w:tab/>
        </w:r>
        <w:r w:rsidR="00584C6F">
          <w:rPr>
            <w:webHidden/>
          </w:rPr>
          <w:fldChar w:fldCharType="begin"/>
        </w:r>
        <w:r w:rsidR="00584C6F">
          <w:rPr>
            <w:webHidden/>
          </w:rPr>
          <w:instrText xml:space="preserve"> PAGEREF _Toc70926809 \h </w:instrText>
        </w:r>
        <w:r w:rsidR="00584C6F">
          <w:rPr>
            <w:webHidden/>
          </w:rPr>
        </w:r>
        <w:r w:rsidR="00584C6F">
          <w:rPr>
            <w:webHidden/>
          </w:rPr>
          <w:fldChar w:fldCharType="separate"/>
        </w:r>
        <w:r w:rsidR="00584C6F">
          <w:rPr>
            <w:webHidden/>
          </w:rPr>
          <w:t>20</w:t>
        </w:r>
        <w:r w:rsidR="00584C6F">
          <w:rPr>
            <w:webHidden/>
          </w:rPr>
          <w:fldChar w:fldCharType="end"/>
        </w:r>
      </w:hyperlink>
    </w:p>
    <w:p w14:paraId="336C6D0A" w14:textId="6B5D6BC5" w:rsidR="00584C6F" w:rsidRDefault="00BD28A6">
      <w:pPr>
        <w:pStyle w:val="TOC3"/>
        <w:rPr>
          <w:rFonts w:asciiTheme="minorHAnsi" w:eastAsiaTheme="minorEastAsia" w:hAnsiTheme="minorHAnsi" w:cstheme="minorBidi"/>
          <w:sz w:val="22"/>
          <w:szCs w:val="22"/>
          <w:lang w:val="de-CH" w:eastAsia="de-CH"/>
        </w:rPr>
      </w:pPr>
      <w:hyperlink w:anchor="_Toc70926810" w:history="1">
        <w:r w:rsidR="00584C6F" w:rsidRPr="006F7B45">
          <w:rPr>
            <w:rStyle w:val="Hyperlink"/>
          </w:rPr>
          <w:t>3.5.2</w:t>
        </w:r>
        <w:r w:rsidR="00584C6F">
          <w:rPr>
            <w:rFonts w:asciiTheme="minorHAnsi" w:eastAsiaTheme="minorEastAsia" w:hAnsiTheme="minorHAnsi" w:cstheme="minorBidi"/>
            <w:sz w:val="22"/>
            <w:szCs w:val="22"/>
            <w:lang w:val="de-CH" w:eastAsia="de-CH"/>
          </w:rPr>
          <w:tab/>
        </w:r>
        <w:r w:rsidR="00584C6F" w:rsidRPr="006F7B45">
          <w:rPr>
            <w:rStyle w:val="Hyperlink"/>
          </w:rPr>
          <w:t>Key informant interviews</w:t>
        </w:r>
        <w:r w:rsidR="00584C6F">
          <w:rPr>
            <w:webHidden/>
          </w:rPr>
          <w:tab/>
        </w:r>
        <w:r w:rsidR="00584C6F">
          <w:rPr>
            <w:webHidden/>
          </w:rPr>
          <w:fldChar w:fldCharType="begin"/>
        </w:r>
        <w:r w:rsidR="00584C6F">
          <w:rPr>
            <w:webHidden/>
          </w:rPr>
          <w:instrText xml:space="preserve"> PAGEREF _Toc70926810 \h </w:instrText>
        </w:r>
        <w:r w:rsidR="00584C6F">
          <w:rPr>
            <w:webHidden/>
          </w:rPr>
        </w:r>
        <w:r w:rsidR="00584C6F">
          <w:rPr>
            <w:webHidden/>
          </w:rPr>
          <w:fldChar w:fldCharType="separate"/>
        </w:r>
        <w:r w:rsidR="00584C6F">
          <w:rPr>
            <w:webHidden/>
          </w:rPr>
          <w:t>21</w:t>
        </w:r>
        <w:r w:rsidR="00584C6F">
          <w:rPr>
            <w:webHidden/>
          </w:rPr>
          <w:fldChar w:fldCharType="end"/>
        </w:r>
      </w:hyperlink>
    </w:p>
    <w:p w14:paraId="619FDC5E" w14:textId="67629F19" w:rsidR="00584C6F" w:rsidRDefault="00BD28A6">
      <w:pPr>
        <w:pStyle w:val="TOC3"/>
        <w:rPr>
          <w:rFonts w:asciiTheme="minorHAnsi" w:eastAsiaTheme="minorEastAsia" w:hAnsiTheme="minorHAnsi" w:cstheme="minorBidi"/>
          <w:sz w:val="22"/>
          <w:szCs w:val="22"/>
          <w:lang w:val="de-CH" w:eastAsia="de-CH"/>
        </w:rPr>
      </w:pPr>
      <w:hyperlink w:anchor="_Toc70926811" w:history="1">
        <w:r w:rsidR="00584C6F" w:rsidRPr="006F7B45">
          <w:rPr>
            <w:rStyle w:val="Hyperlink"/>
          </w:rPr>
          <w:t>3.5.3</w:t>
        </w:r>
        <w:r w:rsidR="00584C6F">
          <w:rPr>
            <w:rFonts w:asciiTheme="minorHAnsi" w:eastAsiaTheme="minorEastAsia" w:hAnsiTheme="minorHAnsi" w:cstheme="minorBidi"/>
            <w:sz w:val="22"/>
            <w:szCs w:val="22"/>
            <w:lang w:val="de-CH" w:eastAsia="de-CH"/>
          </w:rPr>
          <w:tab/>
        </w:r>
        <w:r w:rsidR="00584C6F" w:rsidRPr="006F7B45">
          <w:rPr>
            <w:rStyle w:val="Hyperlink"/>
          </w:rPr>
          <w:t>Focus group discussions</w:t>
        </w:r>
        <w:r w:rsidR="00584C6F">
          <w:rPr>
            <w:webHidden/>
          </w:rPr>
          <w:tab/>
        </w:r>
        <w:r w:rsidR="00584C6F">
          <w:rPr>
            <w:webHidden/>
          </w:rPr>
          <w:fldChar w:fldCharType="begin"/>
        </w:r>
        <w:r w:rsidR="00584C6F">
          <w:rPr>
            <w:webHidden/>
          </w:rPr>
          <w:instrText xml:space="preserve"> PAGEREF _Toc70926811 \h </w:instrText>
        </w:r>
        <w:r w:rsidR="00584C6F">
          <w:rPr>
            <w:webHidden/>
          </w:rPr>
        </w:r>
        <w:r w:rsidR="00584C6F">
          <w:rPr>
            <w:webHidden/>
          </w:rPr>
          <w:fldChar w:fldCharType="separate"/>
        </w:r>
        <w:r w:rsidR="00584C6F">
          <w:rPr>
            <w:webHidden/>
          </w:rPr>
          <w:t>21</w:t>
        </w:r>
        <w:r w:rsidR="00584C6F">
          <w:rPr>
            <w:webHidden/>
          </w:rPr>
          <w:fldChar w:fldCharType="end"/>
        </w:r>
      </w:hyperlink>
    </w:p>
    <w:p w14:paraId="4CD5E3C8" w14:textId="2B0773C1" w:rsidR="00584C6F" w:rsidRDefault="00BD28A6">
      <w:pPr>
        <w:pStyle w:val="TOC3"/>
        <w:rPr>
          <w:rFonts w:asciiTheme="minorHAnsi" w:eastAsiaTheme="minorEastAsia" w:hAnsiTheme="minorHAnsi" w:cstheme="minorBidi"/>
          <w:sz w:val="22"/>
          <w:szCs w:val="22"/>
          <w:lang w:val="de-CH" w:eastAsia="de-CH"/>
        </w:rPr>
      </w:pPr>
      <w:hyperlink w:anchor="_Toc70926812" w:history="1">
        <w:r w:rsidR="00584C6F" w:rsidRPr="006F7B45">
          <w:rPr>
            <w:rStyle w:val="Hyperlink"/>
          </w:rPr>
          <w:t>3.5.4</w:t>
        </w:r>
        <w:r w:rsidR="00584C6F">
          <w:rPr>
            <w:rFonts w:asciiTheme="minorHAnsi" w:eastAsiaTheme="minorEastAsia" w:hAnsiTheme="minorHAnsi" w:cstheme="minorBidi"/>
            <w:sz w:val="22"/>
            <w:szCs w:val="22"/>
            <w:lang w:val="de-CH" w:eastAsia="de-CH"/>
          </w:rPr>
          <w:tab/>
        </w:r>
        <w:r w:rsidR="00584C6F" w:rsidRPr="006F7B45">
          <w:rPr>
            <w:rStyle w:val="Hyperlink"/>
          </w:rPr>
          <w:t>Health facility assessment</w:t>
        </w:r>
        <w:r w:rsidR="00584C6F">
          <w:rPr>
            <w:webHidden/>
          </w:rPr>
          <w:tab/>
        </w:r>
        <w:r w:rsidR="00584C6F">
          <w:rPr>
            <w:webHidden/>
          </w:rPr>
          <w:fldChar w:fldCharType="begin"/>
        </w:r>
        <w:r w:rsidR="00584C6F">
          <w:rPr>
            <w:webHidden/>
          </w:rPr>
          <w:instrText xml:space="preserve"> PAGEREF _Toc70926812 \h </w:instrText>
        </w:r>
        <w:r w:rsidR="00584C6F">
          <w:rPr>
            <w:webHidden/>
          </w:rPr>
        </w:r>
        <w:r w:rsidR="00584C6F">
          <w:rPr>
            <w:webHidden/>
          </w:rPr>
          <w:fldChar w:fldCharType="separate"/>
        </w:r>
        <w:r w:rsidR="00584C6F">
          <w:rPr>
            <w:webHidden/>
          </w:rPr>
          <w:t>21</w:t>
        </w:r>
        <w:r w:rsidR="00584C6F">
          <w:rPr>
            <w:webHidden/>
          </w:rPr>
          <w:fldChar w:fldCharType="end"/>
        </w:r>
      </w:hyperlink>
    </w:p>
    <w:p w14:paraId="44903D22" w14:textId="7A43AD51" w:rsidR="00584C6F" w:rsidRDefault="00BD28A6">
      <w:pPr>
        <w:pStyle w:val="TOC3"/>
        <w:rPr>
          <w:rFonts w:asciiTheme="minorHAnsi" w:eastAsiaTheme="minorEastAsia" w:hAnsiTheme="minorHAnsi" w:cstheme="minorBidi"/>
          <w:sz w:val="22"/>
          <w:szCs w:val="22"/>
          <w:lang w:val="de-CH" w:eastAsia="de-CH"/>
        </w:rPr>
      </w:pPr>
      <w:hyperlink w:anchor="_Toc70926813" w:history="1">
        <w:r w:rsidR="00584C6F" w:rsidRPr="006F7B45">
          <w:rPr>
            <w:rStyle w:val="Hyperlink"/>
          </w:rPr>
          <w:t>3.5.5</w:t>
        </w:r>
        <w:r w:rsidR="00584C6F">
          <w:rPr>
            <w:rFonts w:asciiTheme="minorHAnsi" w:eastAsiaTheme="minorEastAsia" w:hAnsiTheme="minorHAnsi" w:cstheme="minorBidi"/>
            <w:sz w:val="22"/>
            <w:szCs w:val="22"/>
            <w:lang w:val="de-CH" w:eastAsia="de-CH"/>
          </w:rPr>
          <w:tab/>
        </w:r>
        <w:r w:rsidR="00584C6F" w:rsidRPr="006F7B45">
          <w:rPr>
            <w:rStyle w:val="Hyperlink"/>
          </w:rPr>
          <w:t>Direct observation</w:t>
        </w:r>
        <w:r w:rsidR="00584C6F">
          <w:rPr>
            <w:webHidden/>
          </w:rPr>
          <w:tab/>
        </w:r>
        <w:r w:rsidR="00584C6F">
          <w:rPr>
            <w:webHidden/>
          </w:rPr>
          <w:fldChar w:fldCharType="begin"/>
        </w:r>
        <w:r w:rsidR="00584C6F">
          <w:rPr>
            <w:webHidden/>
          </w:rPr>
          <w:instrText xml:space="preserve"> PAGEREF _Toc70926813 \h </w:instrText>
        </w:r>
        <w:r w:rsidR="00584C6F">
          <w:rPr>
            <w:webHidden/>
          </w:rPr>
        </w:r>
        <w:r w:rsidR="00584C6F">
          <w:rPr>
            <w:webHidden/>
          </w:rPr>
          <w:fldChar w:fldCharType="separate"/>
        </w:r>
        <w:r w:rsidR="00584C6F">
          <w:rPr>
            <w:webHidden/>
          </w:rPr>
          <w:t>22</w:t>
        </w:r>
        <w:r w:rsidR="00584C6F">
          <w:rPr>
            <w:webHidden/>
          </w:rPr>
          <w:fldChar w:fldCharType="end"/>
        </w:r>
      </w:hyperlink>
    </w:p>
    <w:p w14:paraId="6C861425" w14:textId="1B0FFBA8" w:rsidR="00584C6F" w:rsidRDefault="00BD28A6">
      <w:pPr>
        <w:pStyle w:val="TOC3"/>
        <w:rPr>
          <w:rFonts w:asciiTheme="minorHAnsi" w:eastAsiaTheme="minorEastAsia" w:hAnsiTheme="minorHAnsi" w:cstheme="minorBidi"/>
          <w:sz w:val="22"/>
          <w:szCs w:val="22"/>
          <w:lang w:val="de-CH" w:eastAsia="de-CH"/>
        </w:rPr>
      </w:pPr>
      <w:hyperlink w:anchor="_Toc70926814" w:history="1">
        <w:r w:rsidR="00584C6F" w:rsidRPr="006F7B45">
          <w:rPr>
            <w:rStyle w:val="Hyperlink"/>
          </w:rPr>
          <w:t>3.5.6</w:t>
        </w:r>
        <w:r w:rsidR="00584C6F">
          <w:rPr>
            <w:rFonts w:asciiTheme="minorHAnsi" w:eastAsiaTheme="minorEastAsia" w:hAnsiTheme="minorHAnsi" w:cstheme="minorBidi"/>
            <w:sz w:val="22"/>
            <w:szCs w:val="22"/>
            <w:lang w:val="de-CH" w:eastAsia="de-CH"/>
          </w:rPr>
          <w:tab/>
        </w:r>
        <w:r w:rsidR="00584C6F" w:rsidRPr="006F7B45">
          <w:rPr>
            <w:rStyle w:val="Hyperlink"/>
          </w:rPr>
          <w:t>Summary of data collection</w:t>
        </w:r>
        <w:r w:rsidR="00584C6F">
          <w:rPr>
            <w:webHidden/>
          </w:rPr>
          <w:tab/>
        </w:r>
        <w:r w:rsidR="00584C6F">
          <w:rPr>
            <w:webHidden/>
          </w:rPr>
          <w:fldChar w:fldCharType="begin"/>
        </w:r>
        <w:r w:rsidR="00584C6F">
          <w:rPr>
            <w:webHidden/>
          </w:rPr>
          <w:instrText xml:space="preserve"> PAGEREF _Toc70926814 \h </w:instrText>
        </w:r>
        <w:r w:rsidR="00584C6F">
          <w:rPr>
            <w:webHidden/>
          </w:rPr>
        </w:r>
        <w:r w:rsidR="00584C6F">
          <w:rPr>
            <w:webHidden/>
          </w:rPr>
          <w:fldChar w:fldCharType="separate"/>
        </w:r>
        <w:r w:rsidR="00584C6F">
          <w:rPr>
            <w:webHidden/>
          </w:rPr>
          <w:t>22</w:t>
        </w:r>
        <w:r w:rsidR="00584C6F">
          <w:rPr>
            <w:webHidden/>
          </w:rPr>
          <w:fldChar w:fldCharType="end"/>
        </w:r>
      </w:hyperlink>
    </w:p>
    <w:p w14:paraId="6EBFC4A0" w14:textId="5270E85B" w:rsidR="00584C6F" w:rsidRDefault="00BD28A6">
      <w:pPr>
        <w:pStyle w:val="TOC2"/>
        <w:rPr>
          <w:rFonts w:asciiTheme="minorHAnsi" w:eastAsiaTheme="minorEastAsia" w:hAnsiTheme="minorHAnsi" w:cstheme="minorBidi"/>
          <w:sz w:val="22"/>
          <w:szCs w:val="22"/>
          <w:lang w:val="de-CH" w:eastAsia="de-CH"/>
        </w:rPr>
      </w:pPr>
      <w:hyperlink w:anchor="_Toc70926815" w:history="1">
        <w:r w:rsidR="00584C6F" w:rsidRPr="006F7B45">
          <w:rPr>
            <w:rStyle w:val="Hyperlink"/>
            <w:lang w:val="en-GB"/>
          </w:rPr>
          <w:t>3.6</w:t>
        </w:r>
        <w:r w:rsidR="00584C6F">
          <w:rPr>
            <w:rFonts w:asciiTheme="minorHAnsi" w:eastAsiaTheme="minorEastAsia" w:hAnsiTheme="minorHAnsi" w:cstheme="minorBidi"/>
            <w:sz w:val="22"/>
            <w:szCs w:val="22"/>
            <w:lang w:val="de-CH" w:eastAsia="de-CH"/>
          </w:rPr>
          <w:tab/>
        </w:r>
        <w:r w:rsidR="00584C6F" w:rsidRPr="006F7B45">
          <w:rPr>
            <w:rStyle w:val="Hyperlink"/>
            <w:lang w:val="en-GB"/>
          </w:rPr>
          <w:t>Data management</w:t>
        </w:r>
        <w:r w:rsidR="00584C6F">
          <w:rPr>
            <w:webHidden/>
          </w:rPr>
          <w:tab/>
        </w:r>
        <w:r w:rsidR="00584C6F">
          <w:rPr>
            <w:webHidden/>
          </w:rPr>
          <w:fldChar w:fldCharType="begin"/>
        </w:r>
        <w:r w:rsidR="00584C6F">
          <w:rPr>
            <w:webHidden/>
          </w:rPr>
          <w:instrText xml:space="preserve"> PAGEREF _Toc70926815 \h </w:instrText>
        </w:r>
        <w:r w:rsidR="00584C6F">
          <w:rPr>
            <w:webHidden/>
          </w:rPr>
        </w:r>
        <w:r w:rsidR="00584C6F">
          <w:rPr>
            <w:webHidden/>
          </w:rPr>
          <w:fldChar w:fldCharType="separate"/>
        </w:r>
        <w:r w:rsidR="00584C6F">
          <w:rPr>
            <w:webHidden/>
          </w:rPr>
          <w:t>24</w:t>
        </w:r>
        <w:r w:rsidR="00584C6F">
          <w:rPr>
            <w:webHidden/>
          </w:rPr>
          <w:fldChar w:fldCharType="end"/>
        </w:r>
      </w:hyperlink>
    </w:p>
    <w:p w14:paraId="4DE731A0" w14:textId="2A00BC9F" w:rsidR="00584C6F" w:rsidRDefault="00BD28A6">
      <w:pPr>
        <w:pStyle w:val="TOC3"/>
        <w:rPr>
          <w:rFonts w:asciiTheme="minorHAnsi" w:eastAsiaTheme="minorEastAsia" w:hAnsiTheme="minorHAnsi" w:cstheme="minorBidi"/>
          <w:sz w:val="22"/>
          <w:szCs w:val="22"/>
          <w:lang w:val="de-CH" w:eastAsia="de-CH"/>
        </w:rPr>
      </w:pPr>
      <w:hyperlink w:anchor="_Toc70926816" w:history="1">
        <w:r w:rsidR="00584C6F" w:rsidRPr="006F7B45">
          <w:rPr>
            <w:rStyle w:val="Hyperlink"/>
          </w:rPr>
          <w:t>3.6.1</w:t>
        </w:r>
        <w:r w:rsidR="00584C6F">
          <w:rPr>
            <w:rFonts w:asciiTheme="minorHAnsi" w:eastAsiaTheme="minorEastAsia" w:hAnsiTheme="minorHAnsi" w:cstheme="minorBidi"/>
            <w:sz w:val="22"/>
            <w:szCs w:val="22"/>
            <w:lang w:val="de-CH" w:eastAsia="de-CH"/>
          </w:rPr>
          <w:tab/>
        </w:r>
        <w:r w:rsidR="00584C6F" w:rsidRPr="006F7B45">
          <w:rPr>
            <w:rStyle w:val="Hyperlink"/>
          </w:rPr>
          <w:t>Data recording</w:t>
        </w:r>
        <w:r w:rsidR="00584C6F">
          <w:rPr>
            <w:webHidden/>
          </w:rPr>
          <w:tab/>
        </w:r>
        <w:r w:rsidR="00584C6F">
          <w:rPr>
            <w:webHidden/>
          </w:rPr>
          <w:fldChar w:fldCharType="begin"/>
        </w:r>
        <w:r w:rsidR="00584C6F">
          <w:rPr>
            <w:webHidden/>
          </w:rPr>
          <w:instrText xml:space="preserve"> PAGEREF _Toc70926816 \h </w:instrText>
        </w:r>
        <w:r w:rsidR="00584C6F">
          <w:rPr>
            <w:webHidden/>
          </w:rPr>
        </w:r>
        <w:r w:rsidR="00584C6F">
          <w:rPr>
            <w:webHidden/>
          </w:rPr>
          <w:fldChar w:fldCharType="separate"/>
        </w:r>
        <w:r w:rsidR="00584C6F">
          <w:rPr>
            <w:webHidden/>
          </w:rPr>
          <w:t>24</w:t>
        </w:r>
        <w:r w:rsidR="00584C6F">
          <w:rPr>
            <w:webHidden/>
          </w:rPr>
          <w:fldChar w:fldCharType="end"/>
        </w:r>
      </w:hyperlink>
    </w:p>
    <w:p w14:paraId="39679893" w14:textId="6EAB2F86" w:rsidR="00584C6F" w:rsidRDefault="00BD28A6">
      <w:pPr>
        <w:pStyle w:val="TOC3"/>
        <w:rPr>
          <w:rFonts w:asciiTheme="minorHAnsi" w:eastAsiaTheme="minorEastAsia" w:hAnsiTheme="minorHAnsi" w:cstheme="minorBidi"/>
          <w:sz w:val="22"/>
          <w:szCs w:val="22"/>
          <w:lang w:val="de-CH" w:eastAsia="de-CH"/>
        </w:rPr>
      </w:pPr>
      <w:hyperlink w:anchor="_Toc70926817" w:history="1">
        <w:r w:rsidR="00584C6F" w:rsidRPr="006F7B45">
          <w:rPr>
            <w:rStyle w:val="Hyperlink"/>
          </w:rPr>
          <w:t>3.6.2</w:t>
        </w:r>
        <w:r w:rsidR="00584C6F">
          <w:rPr>
            <w:rFonts w:asciiTheme="minorHAnsi" w:eastAsiaTheme="minorEastAsia" w:hAnsiTheme="minorHAnsi" w:cstheme="minorBidi"/>
            <w:sz w:val="22"/>
            <w:szCs w:val="22"/>
            <w:lang w:val="de-CH" w:eastAsia="de-CH"/>
          </w:rPr>
          <w:tab/>
        </w:r>
        <w:r w:rsidR="00584C6F" w:rsidRPr="006F7B45">
          <w:rPr>
            <w:rStyle w:val="Hyperlink"/>
          </w:rPr>
          <w:t>Data protection and confidentiality</w:t>
        </w:r>
        <w:r w:rsidR="00584C6F">
          <w:rPr>
            <w:webHidden/>
          </w:rPr>
          <w:tab/>
        </w:r>
        <w:r w:rsidR="00584C6F">
          <w:rPr>
            <w:webHidden/>
          </w:rPr>
          <w:fldChar w:fldCharType="begin"/>
        </w:r>
        <w:r w:rsidR="00584C6F">
          <w:rPr>
            <w:webHidden/>
          </w:rPr>
          <w:instrText xml:space="preserve"> PAGEREF _Toc70926817 \h </w:instrText>
        </w:r>
        <w:r w:rsidR="00584C6F">
          <w:rPr>
            <w:webHidden/>
          </w:rPr>
        </w:r>
        <w:r w:rsidR="00584C6F">
          <w:rPr>
            <w:webHidden/>
          </w:rPr>
          <w:fldChar w:fldCharType="separate"/>
        </w:r>
        <w:r w:rsidR="00584C6F">
          <w:rPr>
            <w:webHidden/>
          </w:rPr>
          <w:t>24</w:t>
        </w:r>
        <w:r w:rsidR="00584C6F">
          <w:rPr>
            <w:webHidden/>
          </w:rPr>
          <w:fldChar w:fldCharType="end"/>
        </w:r>
      </w:hyperlink>
    </w:p>
    <w:p w14:paraId="565503E3" w14:textId="2D3A603A" w:rsidR="00584C6F" w:rsidRDefault="00BD28A6">
      <w:pPr>
        <w:pStyle w:val="TOC3"/>
        <w:rPr>
          <w:rFonts w:asciiTheme="minorHAnsi" w:eastAsiaTheme="minorEastAsia" w:hAnsiTheme="minorHAnsi" w:cstheme="minorBidi"/>
          <w:sz w:val="22"/>
          <w:szCs w:val="22"/>
          <w:lang w:val="de-CH" w:eastAsia="de-CH"/>
        </w:rPr>
      </w:pPr>
      <w:hyperlink w:anchor="_Toc70926818" w:history="1">
        <w:r w:rsidR="00584C6F" w:rsidRPr="006F7B45">
          <w:rPr>
            <w:rStyle w:val="Hyperlink"/>
          </w:rPr>
          <w:t>3.6.3</w:t>
        </w:r>
        <w:r w:rsidR="00584C6F">
          <w:rPr>
            <w:rFonts w:asciiTheme="minorHAnsi" w:eastAsiaTheme="minorEastAsia" w:hAnsiTheme="minorHAnsi" w:cstheme="minorBidi"/>
            <w:sz w:val="22"/>
            <w:szCs w:val="22"/>
            <w:lang w:val="de-CH" w:eastAsia="de-CH"/>
          </w:rPr>
          <w:tab/>
        </w:r>
        <w:r w:rsidR="00584C6F" w:rsidRPr="006F7B45">
          <w:rPr>
            <w:rStyle w:val="Hyperlink"/>
          </w:rPr>
          <w:t>Data ownership and sharing</w:t>
        </w:r>
        <w:r w:rsidR="00584C6F">
          <w:rPr>
            <w:webHidden/>
          </w:rPr>
          <w:tab/>
        </w:r>
        <w:r w:rsidR="00584C6F">
          <w:rPr>
            <w:webHidden/>
          </w:rPr>
          <w:fldChar w:fldCharType="begin"/>
        </w:r>
        <w:r w:rsidR="00584C6F">
          <w:rPr>
            <w:webHidden/>
          </w:rPr>
          <w:instrText xml:space="preserve"> PAGEREF _Toc70926818 \h </w:instrText>
        </w:r>
        <w:r w:rsidR="00584C6F">
          <w:rPr>
            <w:webHidden/>
          </w:rPr>
        </w:r>
        <w:r w:rsidR="00584C6F">
          <w:rPr>
            <w:webHidden/>
          </w:rPr>
          <w:fldChar w:fldCharType="separate"/>
        </w:r>
        <w:r w:rsidR="00584C6F">
          <w:rPr>
            <w:webHidden/>
          </w:rPr>
          <w:t>24</w:t>
        </w:r>
        <w:r w:rsidR="00584C6F">
          <w:rPr>
            <w:webHidden/>
          </w:rPr>
          <w:fldChar w:fldCharType="end"/>
        </w:r>
      </w:hyperlink>
    </w:p>
    <w:p w14:paraId="1682F60E" w14:textId="0B96EFBB" w:rsidR="00584C6F" w:rsidRDefault="00BD28A6">
      <w:pPr>
        <w:pStyle w:val="TOC2"/>
        <w:rPr>
          <w:rFonts w:asciiTheme="minorHAnsi" w:eastAsiaTheme="minorEastAsia" w:hAnsiTheme="minorHAnsi" w:cstheme="minorBidi"/>
          <w:sz w:val="22"/>
          <w:szCs w:val="22"/>
          <w:lang w:val="de-CH" w:eastAsia="de-CH"/>
        </w:rPr>
      </w:pPr>
      <w:hyperlink w:anchor="_Toc70926819" w:history="1">
        <w:r w:rsidR="00584C6F" w:rsidRPr="006F7B45">
          <w:rPr>
            <w:rStyle w:val="Hyperlink"/>
            <w:lang w:val="en-GB"/>
          </w:rPr>
          <w:t>3.7</w:t>
        </w:r>
        <w:r w:rsidR="00584C6F">
          <w:rPr>
            <w:rFonts w:asciiTheme="minorHAnsi" w:eastAsiaTheme="minorEastAsia" w:hAnsiTheme="minorHAnsi" w:cstheme="minorBidi"/>
            <w:sz w:val="22"/>
            <w:szCs w:val="22"/>
            <w:lang w:val="de-CH" w:eastAsia="de-CH"/>
          </w:rPr>
          <w:tab/>
        </w:r>
        <w:r w:rsidR="00584C6F" w:rsidRPr="006F7B45">
          <w:rPr>
            <w:rStyle w:val="Hyperlink"/>
            <w:lang w:val="en-GB"/>
          </w:rPr>
          <w:t>Data analysis</w:t>
        </w:r>
        <w:r w:rsidR="00584C6F">
          <w:rPr>
            <w:webHidden/>
          </w:rPr>
          <w:tab/>
        </w:r>
        <w:r w:rsidR="00584C6F">
          <w:rPr>
            <w:webHidden/>
          </w:rPr>
          <w:fldChar w:fldCharType="begin"/>
        </w:r>
        <w:r w:rsidR="00584C6F">
          <w:rPr>
            <w:webHidden/>
          </w:rPr>
          <w:instrText xml:space="preserve"> PAGEREF _Toc70926819 \h </w:instrText>
        </w:r>
        <w:r w:rsidR="00584C6F">
          <w:rPr>
            <w:webHidden/>
          </w:rPr>
        </w:r>
        <w:r w:rsidR="00584C6F">
          <w:rPr>
            <w:webHidden/>
          </w:rPr>
          <w:fldChar w:fldCharType="separate"/>
        </w:r>
        <w:r w:rsidR="00584C6F">
          <w:rPr>
            <w:webHidden/>
          </w:rPr>
          <w:t>25</w:t>
        </w:r>
        <w:r w:rsidR="00584C6F">
          <w:rPr>
            <w:webHidden/>
          </w:rPr>
          <w:fldChar w:fldCharType="end"/>
        </w:r>
      </w:hyperlink>
    </w:p>
    <w:p w14:paraId="392641B7" w14:textId="79DD12C1" w:rsidR="00584C6F" w:rsidRDefault="00BD28A6">
      <w:pPr>
        <w:pStyle w:val="TOC3"/>
        <w:rPr>
          <w:rFonts w:asciiTheme="minorHAnsi" w:eastAsiaTheme="minorEastAsia" w:hAnsiTheme="minorHAnsi" w:cstheme="minorBidi"/>
          <w:sz w:val="22"/>
          <w:szCs w:val="22"/>
          <w:lang w:val="de-CH" w:eastAsia="de-CH"/>
        </w:rPr>
      </w:pPr>
      <w:hyperlink w:anchor="_Toc70926820" w:history="1">
        <w:r w:rsidR="00584C6F" w:rsidRPr="006F7B45">
          <w:rPr>
            <w:rStyle w:val="Hyperlink"/>
          </w:rPr>
          <w:t>3.7.1</w:t>
        </w:r>
        <w:r w:rsidR="00584C6F">
          <w:rPr>
            <w:rFonts w:asciiTheme="minorHAnsi" w:eastAsiaTheme="minorEastAsia" w:hAnsiTheme="minorHAnsi" w:cstheme="minorBidi"/>
            <w:sz w:val="22"/>
            <w:szCs w:val="22"/>
            <w:lang w:val="de-CH" w:eastAsia="de-CH"/>
          </w:rPr>
          <w:tab/>
        </w:r>
        <w:r w:rsidR="00584C6F" w:rsidRPr="006F7B45">
          <w:rPr>
            <w:rStyle w:val="Hyperlink"/>
          </w:rPr>
          <w:t>Data sets to be analysed</w:t>
        </w:r>
        <w:r w:rsidR="00584C6F">
          <w:rPr>
            <w:webHidden/>
          </w:rPr>
          <w:tab/>
        </w:r>
        <w:r w:rsidR="00584C6F">
          <w:rPr>
            <w:webHidden/>
          </w:rPr>
          <w:fldChar w:fldCharType="begin"/>
        </w:r>
        <w:r w:rsidR="00584C6F">
          <w:rPr>
            <w:webHidden/>
          </w:rPr>
          <w:instrText xml:space="preserve"> PAGEREF _Toc70926820 \h </w:instrText>
        </w:r>
        <w:r w:rsidR="00584C6F">
          <w:rPr>
            <w:webHidden/>
          </w:rPr>
        </w:r>
        <w:r w:rsidR="00584C6F">
          <w:rPr>
            <w:webHidden/>
          </w:rPr>
          <w:fldChar w:fldCharType="separate"/>
        </w:r>
        <w:r w:rsidR="00584C6F">
          <w:rPr>
            <w:webHidden/>
          </w:rPr>
          <w:t>25</w:t>
        </w:r>
        <w:r w:rsidR="00584C6F">
          <w:rPr>
            <w:webHidden/>
          </w:rPr>
          <w:fldChar w:fldCharType="end"/>
        </w:r>
      </w:hyperlink>
    </w:p>
    <w:p w14:paraId="0BB3E007" w14:textId="22A321CE" w:rsidR="00584C6F" w:rsidRDefault="00BD28A6">
      <w:pPr>
        <w:pStyle w:val="TOC3"/>
        <w:rPr>
          <w:rFonts w:asciiTheme="minorHAnsi" w:eastAsiaTheme="minorEastAsia" w:hAnsiTheme="minorHAnsi" w:cstheme="minorBidi"/>
          <w:sz w:val="22"/>
          <w:szCs w:val="22"/>
          <w:lang w:val="de-CH" w:eastAsia="de-CH"/>
        </w:rPr>
      </w:pPr>
      <w:hyperlink w:anchor="_Toc70926821" w:history="1">
        <w:r w:rsidR="00584C6F" w:rsidRPr="006F7B45">
          <w:rPr>
            <w:rStyle w:val="Hyperlink"/>
          </w:rPr>
          <w:t>3.7.2</w:t>
        </w:r>
        <w:r w:rsidR="00584C6F">
          <w:rPr>
            <w:rFonts w:asciiTheme="minorHAnsi" w:eastAsiaTheme="minorEastAsia" w:hAnsiTheme="minorHAnsi" w:cstheme="minorBidi"/>
            <w:sz w:val="22"/>
            <w:szCs w:val="22"/>
            <w:lang w:val="de-CH" w:eastAsia="de-CH"/>
          </w:rPr>
          <w:tab/>
        </w:r>
        <w:r w:rsidR="00584C6F" w:rsidRPr="006F7B45">
          <w:rPr>
            <w:rStyle w:val="Hyperlink"/>
          </w:rPr>
          <w:t>Data analysis and reporting</w:t>
        </w:r>
        <w:r w:rsidR="00584C6F">
          <w:rPr>
            <w:webHidden/>
          </w:rPr>
          <w:tab/>
        </w:r>
        <w:r w:rsidR="00584C6F">
          <w:rPr>
            <w:webHidden/>
          </w:rPr>
          <w:fldChar w:fldCharType="begin"/>
        </w:r>
        <w:r w:rsidR="00584C6F">
          <w:rPr>
            <w:webHidden/>
          </w:rPr>
          <w:instrText xml:space="preserve"> PAGEREF _Toc70926821 \h </w:instrText>
        </w:r>
        <w:r w:rsidR="00584C6F">
          <w:rPr>
            <w:webHidden/>
          </w:rPr>
        </w:r>
        <w:r w:rsidR="00584C6F">
          <w:rPr>
            <w:webHidden/>
          </w:rPr>
          <w:fldChar w:fldCharType="separate"/>
        </w:r>
        <w:r w:rsidR="00584C6F">
          <w:rPr>
            <w:webHidden/>
          </w:rPr>
          <w:t>25</w:t>
        </w:r>
        <w:r w:rsidR="00584C6F">
          <w:rPr>
            <w:webHidden/>
          </w:rPr>
          <w:fldChar w:fldCharType="end"/>
        </w:r>
      </w:hyperlink>
    </w:p>
    <w:p w14:paraId="0EA61828" w14:textId="70856FCB" w:rsidR="00584C6F" w:rsidRDefault="00BD28A6">
      <w:pPr>
        <w:pStyle w:val="TOC1"/>
        <w:rPr>
          <w:rFonts w:asciiTheme="minorHAnsi" w:eastAsiaTheme="minorEastAsia" w:hAnsiTheme="minorHAnsi" w:cstheme="minorBidi"/>
          <w:b w:val="0"/>
          <w:sz w:val="22"/>
          <w:szCs w:val="22"/>
          <w:lang w:val="de-CH" w:eastAsia="de-CH"/>
        </w:rPr>
      </w:pPr>
      <w:hyperlink w:anchor="_Toc70926822" w:history="1">
        <w:r w:rsidR="00584C6F" w:rsidRPr="006F7B45">
          <w:rPr>
            <w:rStyle w:val="Hyperlink"/>
          </w:rPr>
          <w:t>4.</w:t>
        </w:r>
        <w:r w:rsidR="00584C6F">
          <w:rPr>
            <w:rFonts w:asciiTheme="minorHAnsi" w:eastAsiaTheme="minorEastAsia" w:hAnsiTheme="minorHAnsi" w:cstheme="minorBidi"/>
            <w:b w:val="0"/>
            <w:sz w:val="22"/>
            <w:szCs w:val="22"/>
            <w:lang w:val="de-CH" w:eastAsia="de-CH"/>
          </w:rPr>
          <w:tab/>
        </w:r>
        <w:r w:rsidR="00584C6F" w:rsidRPr="006F7B45">
          <w:rPr>
            <w:rStyle w:val="Hyperlink"/>
          </w:rPr>
          <w:t>Ethical considerations</w:t>
        </w:r>
        <w:r w:rsidR="00584C6F">
          <w:rPr>
            <w:webHidden/>
          </w:rPr>
          <w:tab/>
        </w:r>
        <w:r w:rsidR="00584C6F">
          <w:rPr>
            <w:webHidden/>
          </w:rPr>
          <w:fldChar w:fldCharType="begin"/>
        </w:r>
        <w:r w:rsidR="00584C6F">
          <w:rPr>
            <w:webHidden/>
          </w:rPr>
          <w:instrText xml:space="preserve"> PAGEREF _Toc70926822 \h </w:instrText>
        </w:r>
        <w:r w:rsidR="00584C6F">
          <w:rPr>
            <w:webHidden/>
          </w:rPr>
        </w:r>
        <w:r w:rsidR="00584C6F">
          <w:rPr>
            <w:webHidden/>
          </w:rPr>
          <w:fldChar w:fldCharType="separate"/>
        </w:r>
        <w:r w:rsidR="00584C6F">
          <w:rPr>
            <w:webHidden/>
          </w:rPr>
          <w:t>27</w:t>
        </w:r>
        <w:r w:rsidR="00584C6F">
          <w:rPr>
            <w:webHidden/>
          </w:rPr>
          <w:fldChar w:fldCharType="end"/>
        </w:r>
      </w:hyperlink>
    </w:p>
    <w:p w14:paraId="14F95F12" w14:textId="6DC2C8EC" w:rsidR="00584C6F" w:rsidRDefault="00BD28A6">
      <w:pPr>
        <w:pStyle w:val="TOC2"/>
        <w:rPr>
          <w:rFonts w:asciiTheme="minorHAnsi" w:eastAsiaTheme="minorEastAsia" w:hAnsiTheme="minorHAnsi" w:cstheme="minorBidi"/>
          <w:sz w:val="22"/>
          <w:szCs w:val="22"/>
          <w:lang w:val="de-CH" w:eastAsia="de-CH"/>
        </w:rPr>
      </w:pPr>
      <w:hyperlink w:anchor="_Toc70926823" w:history="1">
        <w:r w:rsidR="00584C6F" w:rsidRPr="006F7B45">
          <w:rPr>
            <w:rStyle w:val="Hyperlink"/>
            <w:lang w:val="en-GB"/>
          </w:rPr>
          <w:t>4.1</w:t>
        </w:r>
        <w:r w:rsidR="00584C6F">
          <w:rPr>
            <w:rFonts w:asciiTheme="minorHAnsi" w:eastAsiaTheme="minorEastAsia" w:hAnsiTheme="minorHAnsi" w:cstheme="minorBidi"/>
            <w:sz w:val="22"/>
            <w:szCs w:val="22"/>
            <w:lang w:val="de-CH" w:eastAsia="de-CH"/>
          </w:rPr>
          <w:tab/>
        </w:r>
        <w:r w:rsidR="00584C6F" w:rsidRPr="006F7B45">
          <w:rPr>
            <w:rStyle w:val="Hyperlink"/>
            <w:lang w:val="en-GB"/>
          </w:rPr>
          <w:t>Ethical conduct of study</w:t>
        </w:r>
        <w:r w:rsidR="00584C6F">
          <w:rPr>
            <w:webHidden/>
          </w:rPr>
          <w:tab/>
        </w:r>
        <w:r w:rsidR="00584C6F">
          <w:rPr>
            <w:webHidden/>
          </w:rPr>
          <w:fldChar w:fldCharType="begin"/>
        </w:r>
        <w:r w:rsidR="00584C6F">
          <w:rPr>
            <w:webHidden/>
          </w:rPr>
          <w:instrText xml:space="preserve"> PAGEREF _Toc70926823 \h </w:instrText>
        </w:r>
        <w:r w:rsidR="00584C6F">
          <w:rPr>
            <w:webHidden/>
          </w:rPr>
        </w:r>
        <w:r w:rsidR="00584C6F">
          <w:rPr>
            <w:webHidden/>
          </w:rPr>
          <w:fldChar w:fldCharType="separate"/>
        </w:r>
        <w:r w:rsidR="00584C6F">
          <w:rPr>
            <w:webHidden/>
          </w:rPr>
          <w:t>27</w:t>
        </w:r>
        <w:r w:rsidR="00584C6F">
          <w:rPr>
            <w:webHidden/>
          </w:rPr>
          <w:fldChar w:fldCharType="end"/>
        </w:r>
      </w:hyperlink>
    </w:p>
    <w:p w14:paraId="3DC0F348" w14:textId="6433B615" w:rsidR="00584C6F" w:rsidRDefault="00BD28A6">
      <w:pPr>
        <w:pStyle w:val="TOC2"/>
        <w:rPr>
          <w:rFonts w:asciiTheme="minorHAnsi" w:eastAsiaTheme="minorEastAsia" w:hAnsiTheme="minorHAnsi" w:cstheme="minorBidi"/>
          <w:sz w:val="22"/>
          <w:szCs w:val="22"/>
          <w:lang w:val="de-CH" w:eastAsia="de-CH"/>
        </w:rPr>
      </w:pPr>
      <w:hyperlink w:anchor="_Toc70926824" w:history="1">
        <w:r w:rsidR="00584C6F" w:rsidRPr="006F7B45">
          <w:rPr>
            <w:rStyle w:val="Hyperlink"/>
            <w:lang w:val="en-GB"/>
          </w:rPr>
          <w:t>4.2</w:t>
        </w:r>
        <w:r w:rsidR="00584C6F">
          <w:rPr>
            <w:rFonts w:asciiTheme="minorHAnsi" w:eastAsiaTheme="minorEastAsia" w:hAnsiTheme="minorHAnsi" w:cstheme="minorBidi"/>
            <w:sz w:val="22"/>
            <w:szCs w:val="22"/>
            <w:lang w:val="de-CH" w:eastAsia="de-CH"/>
          </w:rPr>
          <w:tab/>
        </w:r>
        <w:r w:rsidR="00584C6F" w:rsidRPr="006F7B45">
          <w:rPr>
            <w:rStyle w:val="Hyperlink"/>
            <w:lang w:val="en-GB"/>
          </w:rPr>
          <w:t>Risk–benefit assessment and protection of participants</w:t>
        </w:r>
        <w:r w:rsidR="00584C6F">
          <w:rPr>
            <w:webHidden/>
          </w:rPr>
          <w:tab/>
        </w:r>
        <w:r w:rsidR="00584C6F">
          <w:rPr>
            <w:webHidden/>
          </w:rPr>
          <w:fldChar w:fldCharType="begin"/>
        </w:r>
        <w:r w:rsidR="00584C6F">
          <w:rPr>
            <w:webHidden/>
          </w:rPr>
          <w:instrText xml:space="preserve"> PAGEREF _Toc70926824 \h </w:instrText>
        </w:r>
        <w:r w:rsidR="00584C6F">
          <w:rPr>
            <w:webHidden/>
          </w:rPr>
        </w:r>
        <w:r w:rsidR="00584C6F">
          <w:rPr>
            <w:webHidden/>
          </w:rPr>
          <w:fldChar w:fldCharType="separate"/>
        </w:r>
        <w:r w:rsidR="00584C6F">
          <w:rPr>
            <w:webHidden/>
          </w:rPr>
          <w:t>27</w:t>
        </w:r>
        <w:r w:rsidR="00584C6F">
          <w:rPr>
            <w:webHidden/>
          </w:rPr>
          <w:fldChar w:fldCharType="end"/>
        </w:r>
      </w:hyperlink>
    </w:p>
    <w:p w14:paraId="2E41DE69" w14:textId="7C7775A7" w:rsidR="00584C6F" w:rsidRDefault="00BD28A6">
      <w:pPr>
        <w:pStyle w:val="TOC2"/>
        <w:rPr>
          <w:rFonts w:asciiTheme="minorHAnsi" w:eastAsiaTheme="minorEastAsia" w:hAnsiTheme="minorHAnsi" w:cstheme="minorBidi"/>
          <w:sz w:val="22"/>
          <w:szCs w:val="22"/>
          <w:lang w:val="de-CH" w:eastAsia="de-CH"/>
        </w:rPr>
      </w:pPr>
      <w:hyperlink w:anchor="_Toc70926825" w:history="1">
        <w:r w:rsidR="00584C6F" w:rsidRPr="006F7B45">
          <w:rPr>
            <w:rStyle w:val="Hyperlink"/>
            <w:lang w:val="en-GB"/>
          </w:rPr>
          <w:t>4.3</w:t>
        </w:r>
        <w:r w:rsidR="00584C6F">
          <w:rPr>
            <w:rFonts w:asciiTheme="minorHAnsi" w:eastAsiaTheme="minorEastAsia" w:hAnsiTheme="minorHAnsi" w:cstheme="minorBidi"/>
            <w:sz w:val="22"/>
            <w:szCs w:val="22"/>
            <w:lang w:val="de-CH" w:eastAsia="de-CH"/>
          </w:rPr>
          <w:tab/>
        </w:r>
        <w:r w:rsidR="00584C6F" w:rsidRPr="006F7B45">
          <w:rPr>
            <w:rStyle w:val="Hyperlink"/>
            <w:lang w:val="en-GB"/>
          </w:rPr>
          <w:t>Participant information and informed consent</w:t>
        </w:r>
        <w:r w:rsidR="00584C6F">
          <w:rPr>
            <w:webHidden/>
          </w:rPr>
          <w:tab/>
        </w:r>
        <w:r w:rsidR="00584C6F">
          <w:rPr>
            <w:webHidden/>
          </w:rPr>
          <w:fldChar w:fldCharType="begin"/>
        </w:r>
        <w:r w:rsidR="00584C6F">
          <w:rPr>
            <w:webHidden/>
          </w:rPr>
          <w:instrText xml:space="preserve"> PAGEREF _Toc70926825 \h </w:instrText>
        </w:r>
        <w:r w:rsidR="00584C6F">
          <w:rPr>
            <w:webHidden/>
          </w:rPr>
        </w:r>
        <w:r w:rsidR="00584C6F">
          <w:rPr>
            <w:webHidden/>
          </w:rPr>
          <w:fldChar w:fldCharType="separate"/>
        </w:r>
        <w:r w:rsidR="00584C6F">
          <w:rPr>
            <w:webHidden/>
          </w:rPr>
          <w:t>31</w:t>
        </w:r>
        <w:r w:rsidR="00584C6F">
          <w:rPr>
            <w:webHidden/>
          </w:rPr>
          <w:fldChar w:fldCharType="end"/>
        </w:r>
      </w:hyperlink>
    </w:p>
    <w:p w14:paraId="2FFE2009" w14:textId="5878AF76" w:rsidR="00584C6F" w:rsidRDefault="00BD28A6">
      <w:pPr>
        <w:pStyle w:val="TOC2"/>
        <w:rPr>
          <w:rFonts w:asciiTheme="minorHAnsi" w:eastAsiaTheme="minorEastAsia" w:hAnsiTheme="minorHAnsi" w:cstheme="minorBidi"/>
          <w:sz w:val="22"/>
          <w:szCs w:val="22"/>
          <w:lang w:val="de-CH" w:eastAsia="de-CH"/>
        </w:rPr>
      </w:pPr>
      <w:hyperlink w:anchor="_Toc70926826" w:history="1">
        <w:r w:rsidR="00584C6F" w:rsidRPr="006F7B45">
          <w:rPr>
            <w:rStyle w:val="Hyperlink"/>
            <w:lang w:val="en-GB"/>
          </w:rPr>
          <w:t>4.4</w:t>
        </w:r>
        <w:r w:rsidR="00584C6F">
          <w:rPr>
            <w:rFonts w:asciiTheme="minorHAnsi" w:eastAsiaTheme="minorEastAsia" w:hAnsiTheme="minorHAnsi" w:cstheme="minorBidi"/>
            <w:sz w:val="22"/>
            <w:szCs w:val="22"/>
            <w:lang w:val="de-CH" w:eastAsia="de-CH"/>
          </w:rPr>
          <w:tab/>
        </w:r>
        <w:r w:rsidR="00584C6F" w:rsidRPr="006F7B45">
          <w:rPr>
            <w:rStyle w:val="Hyperlink"/>
            <w:lang w:val="en-GB"/>
          </w:rPr>
          <w:t>Amendments and changes</w:t>
        </w:r>
        <w:r w:rsidR="00584C6F">
          <w:rPr>
            <w:webHidden/>
          </w:rPr>
          <w:tab/>
        </w:r>
        <w:r w:rsidR="00584C6F">
          <w:rPr>
            <w:webHidden/>
          </w:rPr>
          <w:fldChar w:fldCharType="begin"/>
        </w:r>
        <w:r w:rsidR="00584C6F">
          <w:rPr>
            <w:webHidden/>
          </w:rPr>
          <w:instrText xml:space="preserve"> PAGEREF _Toc70926826 \h </w:instrText>
        </w:r>
        <w:r w:rsidR="00584C6F">
          <w:rPr>
            <w:webHidden/>
          </w:rPr>
        </w:r>
        <w:r w:rsidR="00584C6F">
          <w:rPr>
            <w:webHidden/>
          </w:rPr>
          <w:fldChar w:fldCharType="separate"/>
        </w:r>
        <w:r w:rsidR="00584C6F">
          <w:rPr>
            <w:webHidden/>
          </w:rPr>
          <w:t>32</w:t>
        </w:r>
        <w:r w:rsidR="00584C6F">
          <w:rPr>
            <w:webHidden/>
          </w:rPr>
          <w:fldChar w:fldCharType="end"/>
        </w:r>
      </w:hyperlink>
    </w:p>
    <w:p w14:paraId="431FD475" w14:textId="526E266A" w:rsidR="00584C6F" w:rsidRDefault="00BD28A6">
      <w:pPr>
        <w:pStyle w:val="TOC1"/>
        <w:rPr>
          <w:rFonts w:asciiTheme="minorHAnsi" w:eastAsiaTheme="minorEastAsia" w:hAnsiTheme="minorHAnsi" w:cstheme="minorBidi"/>
          <w:b w:val="0"/>
          <w:sz w:val="22"/>
          <w:szCs w:val="22"/>
          <w:lang w:val="de-CH" w:eastAsia="de-CH"/>
        </w:rPr>
      </w:pPr>
      <w:hyperlink w:anchor="_Toc70926827" w:history="1">
        <w:r w:rsidR="00584C6F" w:rsidRPr="006F7B45">
          <w:rPr>
            <w:rStyle w:val="Hyperlink"/>
          </w:rPr>
          <w:t>5.</w:t>
        </w:r>
        <w:r w:rsidR="00584C6F">
          <w:rPr>
            <w:rFonts w:asciiTheme="minorHAnsi" w:eastAsiaTheme="minorEastAsia" w:hAnsiTheme="minorHAnsi" w:cstheme="minorBidi"/>
            <w:b w:val="0"/>
            <w:sz w:val="22"/>
            <w:szCs w:val="22"/>
            <w:lang w:val="de-CH" w:eastAsia="de-CH"/>
          </w:rPr>
          <w:tab/>
        </w:r>
        <w:r w:rsidR="00584C6F" w:rsidRPr="006F7B45">
          <w:rPr>
            <w:rStyle w:val="Hyperlink"/>
          </w:rPr>
          <w:t>Reporting and dissemination</w:t>
        </w:r>
        <w:r w:rsidR="00584C6F">
          <w:rPr>
            <w:webHidden/>
          </w:rPr>
          <w:tab/>
        </w:r>
        <w:r w:rsidR="00584C6F">
          <w:rPr>
            <w:webHidden/>
          </w:rPr>
          <w:fldChar w:fldCharType="begin"/>
        </w:r>
        <w:r w:rsidR="00584C6F">
          <w:rPr>
            <w:webHidden/>
          </w:rPr>
          <w:instrText xml:space="preserve"> PAGEREF _Toc70926827 \h </w:instrText>
        </w:r>
        <w:r w:rsidR="00584C6F">
          <w:rPr>
            <w:webHidden/>
          </w:rPr>
        </w:r>
        <w:r w:rsidR="00584C6F">
          <w:rPr>
            <w:webHidden/>
          </w:rPr>
          <w:fldChar w:fldCharType="separate"/>
        </w:r>
        <w:r w:rsidR="00584C6F">
          <w:rPr>
            <w:webHidden/>
          </w:rPr>
          <w:t>33</w:t>
        </w:r>
        <w:r w:rsidR="00584C6F">
          <w:rPr>
            <w:webHidden/>
          </w:rPr>
          <w:fldChar w:fldCharType="end"/>
        </w:r>
      </w:hyperlink>
    </w:p>
    <w:p w14:paraId="37266884" w14:textId="6453CFCA" w:rsidR="00584C6F" w:rsidRDefault="00BD28A6">
      <w:pPr>
        <w:pStyle w:val="TOC2"/>
        <w:rPr>
          <w:rFonts w:asciiTheme="minorHAnsi" w:eastAsiaTheme="minorEastAsia" w:hAnsiTheme="minorHAnsi" w:cstheme="minorBidi"/>
          <w:sz w:val="22"/>
          <w:szCs w:val="22"/>
          <w:lang w:val="de-CH" w:eastAsia="de-CH"/>
        </w:rPr>
      </w:pPr>
      <w:hyperlink w:anchor="_Toc70926828" w:history="1">
        <w:r w:rsidR="00584C6F" w:rsidRPr="006F7B45">
          <w:rPr>
            <w:rStyle w:val="Hyperlink"/>
            <w:lang w:val="en-GB"/>
          </w:rPr>
          <w:t>5.1</w:t>
        </w:r>
        <w:r w:rsidR="00584C6F">
          <w:rPr>
            <w:rFonts w:asciiTheme="minorHAnsi" w:eastAsiaTheme="minorEastAsia" w:hAnsiTheme="minorHAnsi" w:cstheme="minorBidi"/>
            <w:sz w:val="22"/>
            <w:szCs w:val="22"/>
            <w:lang w:val="de-CH" w:eastAsia="de-CH"/>
          </w:rPr>
          <w:tab/>
        </w:r>
        <w:r w:rsidR="00584C6F" w:rsidRPr="006F7B45">
          <w:rPr>
            <w:rStyle w:val="Hyperlink"/>
            <w:lang w:val="en-GB"/>
          </w:rPr>
          <w:t>Reporting of results</w:t>
        </w:r>
        <w:r w:rsidR="00584C6F">
          <w:rPr>
            <w:webHidden/>
          </w:rPr>
          <w:tab/>
        </w:r>
        <w:r w:rsidR="00584C6F">
          <w:rPr>
            <w:webHidden/>
          </w:rPr>
          <w:fldChar w:fldCharType="begin"/>
        </w:r>
        <w:r w:rsidR="00584C6F">
          <w:rPr>
            <w:webHidden/>
          </w:rPr>
          <w:instrText xml:space="preserve"> PAGEREF _Toc70926828 \h </w:instrText>
        </w:r>
        <w:r w:rsidR="00584C6F">
          <w:rPr>
            <w:webHidden/>
          </w:rPr>
        </w:r>
        <w:r w:rsidR="00584C6F">
          <w:rPr>
            <w:webHidden/>
          </w:rPr>
          <w:fldChar w:fldCharType="separate"/>
        </w:r>
        <w:r w:rsidR="00584C6F">
          <w:rPr>
            <w:webHidden/>
          </w:rPr>
          <w:t>33</w:t>
        </w:r>
        <w:r w:rsidR="00584C6F">
          <w:rPr>
            <w:webHidden/>
          </w:rPr>
          <w:fldChar w:fldCharType="end"/>
        </w:r>
      </w:hyperlink>
    </w:p>
    <w:p w14:paraId="57846BE4" w14:textId="2F8D74AD" w:rsidR="00584C6F" w:rsidRDefault="00BD28A6">
      <w:pPr>
        <w:pStyle w:val="TOC2"/>
        <w:rPr>
          <w:rFonts w:asciiTheme="minorHAnsi" w:eastAsiaTheme="minorEastAsia" w:hAnsiTheme="minorHAnsi" w:cstheme="minorBidi"/>
          <w:sz w:val="22"/>
          <w:szCs w:val="22"/>
          <w:lang w:val="de-CH" w:eastAsia="de-CH"/>
        </w:rPr>
      </w:pPr>
      <w:hyperlink w:anchor="_Toc70926829" w:history="1">
        <w:r w:rsidR="00584C6F" w:rsidRPr="006F7B45">
          <w:rPr>
            <w:rStyle w:val="Hyperlink"/>
            <w:lang w:val="en-GB"/>
          </w:rPr>
          <w:t>5.2</w:t>
        </w:r>
        <w:r w:rsidR="00584C6F">
          <w:rPr>
            <w:rFonts w:asciiTheme="minorHAnsi" w:eastAsiaTheme="minorEastAsia" w:hAnsiTheme="minorHAnsi" w:cstheme="minorBidi"/>
            <w:sz w:val="22"/>
            <w:szCs w:val="22"/>
            <w:lang w:val="de-CH" w:eastAsia="de-CH"/>
          </w:rPr>
          <w:tab/>
        </w:r>
        <w:r w:rsidR="00584C6F" w:rsidRPr="006F7B45">
          <w:rPr>
            <w:rStyle w:val="Hyperlink"/>
            <w:lang w:val="en-GB"/>
          </w:rPr>
          <w:t>National stakeholder workshop</w:t>
        </w:r>
        <w:r w:rsidR="00584C6F">
          <w:rPr>
            <w:webHidden/>
          </w:rPr>
          <w:tab/>
        </w:r>
        <w:r w:rsidR="00584C6F">
          <w:rPr>
            <w:webHidden/>
          </w:rPr>
          <w:fldChar w:fldCharType="begin"/>
        </w:r>
        <w:r w:rsidR="00584C6F">
          <w:rPr>
            <w:webHidden/>
          </w:rPr>
          <w:instrText xml:space="preserve"> PAGEREF _Toc70926829 \h </w:instrText>
        </w:r>
        <w:r w:rsidR="00584C6F">
          <w:rPr>
            <w:webHidden/>
          </w:rPr>
        </w:r>
        <w:r w:rsidR="00584C6F">
          <w:rPr>
            <w:webHidden/>
          </w:rPr>
          <w:fldChar w:fldCharType="separate"/>
        </w:r>
        <w:r w:rsidR="00584C6F">
          <w:rPr>
            <w:webHidden/>
          </w:rPr>
          <w:t>33</w:t>
        </w:r>
        <w:r w:rsidR="00584C6F">
          <w:rPr>
            <w:webHidden/>
          </w:rPr>
          <w:fldChar w:fldCharType="end"/>
        </w:r>
      </w:hyperlink>
    </w:p>
    <w:p w14:paraId="0E2BDECD" w14:textId="0FC94EB3" w:rsidR="00584C6F" w:rsidRDefault="00BD28A6">
      <w:pPr>
        <w:pStyle w:val="TOC2"/>
        <w:rPr>
          <w:rFonts w:asciiTheme="minorHAnsi" w:eastAsiaTheme="minorEastAsia" w:hAnsiTheme="minorHAnsi" w:cstheme="minorBidi"/>
          <w:sz w:val="22"/>
          <w:szCs w:val="22"/>
          <w:lang w:val="de-CH" w:eastAsia="de-CH"/>
        </w:rPr>
      </w:pPr>
      <w:hyperlink w:anchor="_Toc70926830" w:history="1">
        <w:r w:rsidR="00584C6F" w:rsidRPr="006F7B45">
          <w:rPr>
            <w:rStyle w:val="Hyperlink"/>
            <w:lang w:val="en-GB"/>
          </w:rPr>
          <w:t>5.3</w:t>
        </w:r>
        <w:r w:rsidR="00584C6F">
          <w:rPr>
            <w:rFonts w:asciiTheme="minorHAnsi" w:eastAsiaTheme="minorEastAsia" w:hAnsiTheme="minorHAnsi" w:cstheme="minorBidi"/>
            <w:sz w:val="22"/>
            <w:szCs w:val="22"/>
            <w:lang w:val="de-CH" w:eastAsia="de-CH"/>
          </w:rPr>
          <w:tab/>
        </w:r>
        <w:r w:rsidR="00584C6F" w:rsidRPr="006F7B45">
          <w:rPr>
            <w:rStyle w:val="Hyperlink"/>
            <w:lang w:val="en-GB"/>
          </w:rPr>
          <w:t>Community feedback</w:t>
        </w:r>
        <w:r w:rsidR="00584C6F">
          <w:rPr>
            <w:webHidden/>
          </w:rPr>
          <w:tab/>
        </w:r>
        <w:r w:rsidR="00584C6F">
          <w:rPr>
            <w:webHidden/>
          </w:rPr>
          <w:fldChar w:fldCharType="begin"/>
        </w:r>
        <w:r w:rsidR="00584C6F">
          <w:rPr>
            <w:webHidden/>
          </w:rPr>
          <w:instrText xml:space="preserve"> PAGEREF _Toc70926830 \h </w:instrText>
        </w:r>
        <w:r w:rsidR="00584C6F">
          <w:rPr>
            <w:webHidden/>
          </w:rPr>
        </w:r>
        <w:r w:rsidR="00584C6F">
          <w:rPr>
            <w:webHidden/>
          </w:rPr>
          <w:fldChar w:fldCharType="separate"/>
        </w:r>
        <w:r w:rsidR="00584C6F">
          <w:rPr>
            <w:webHidden/>
          </w:rPr>
          <w:t>34</w:t>
        </w:r>
        <w:r w:rsidR="00584C6F">
          <w:rPr>
            <w:webHidden/>
          </w:rPr>
          <w:fldChar w:fldCharType="end"/>
        </w:r>
      </w:hyperlink>
    </w:p>
    <w:p w14:paraId="440F1133" w14:textId="73206FDB" w:rsidR="00584C6F" w:rsidRDefault="00BD28A6">
      <w:pPr>
        <w:pStyle w:val="TOC2"/>
        <w:rPr>
          <w:rFonts w:asciiTheme="minorHAnsi" w:eastAsiaTheme="minorEastAsia" w:hAnsiTheme="minorHAnsi" w:cstheme="minorBidi"/>
          <w:sz w:val="22"/>
          <w:szCs w:val="22"/>
          <w:lang w:val="de-CH" w:eastAsia="de-CH"/>
        </w:rPr>
      </w:pPr>
      <w:hyperlink w:anchor="_Toc70926831" w:history="1">
        <w:r w:rsidR="00584C6F" w:rsidRPr="006F7B45">
          <w:rPr>
            <w:rStyle w:val="Hyperlink"/>
            <w:lang w:val="en-GB"/>
          </w:rPr>
          <w:t>5.4</w:t>
        </w:r>
        <w:r w:rsidR="00584C6F">
          <w:rPr>
            <w:rFonts w:asciiTheme="minorHAnsi" w:eastAsiaTheme="minorEastAsia" w:hAnsiTheme="minorHAnsi" w:cstheme="minorBidi"/>
            <w:sz w:val="22"/>
            <w:szCs w:val="22"/>
            <w:lang w:val="de-CH" w:eastAsia="de-CH"/>
          </w:rPr>
          <w:tab/>
        </w:r>
        <w:r w:rsidR="00584C6F" w:rsidRPr="006F7B45">
          <w:rPr>
            <w:rStyle w:val="Hyperlink"/>
            <w:lang w:val="en-GB"/>
          </w:rPr>
          <w:t>Decision-making process and policy implications</w:t>
        </w:r>
        <w:r w:rsidR="00584C6F">
          <w:rPr>
            <w:webHidden/>
          </w:rPr>
          <w:tab/>
        </w:r>
        <w:r w:rsidR="00584C6F">
          <w:rPr>
            <w:webHidden/>
          </w:rPr>
          <w:fldChar w:fldCharType="begin"/>
        </w:r>
        <w:r w:rsidR="00584C6F">
          <w:rPr>
            <w:webHidden/>
          </w:rPr>
          <w:instrText xml:space="preserve"> PAGEREF _Toc70926831 \h </w:instrText>
        </w:r>
        <w:r w:rsidR="00584C6F">
          <w:rPr>
            <w:webHidden/>
          </w:rPr>
        </w:r>
        <w:r w:rsidR="00584C6F">
          <w:rPr>
            <w:webHidden/>
          </w:rPr>
          <w:fldChar w:fldCharType="separate"/>
        </w:r>
        <w:r w:rsidR="00584C6F">
          <w:rPr>
            <w:webHidden/>
          </w:rPr>
          <w:t>34</w:t>
        </w:r>
        <w:r w:rsidR="00584C6F">
          <w:rPr>
            <w:webHidden/>
          </w:rPr>
          <w:fldChar w:fldCharType="end"/>
        </w:r>
      </w:hyperlink>
    </w:p>
    <w:p w14:paraId="1113AA3F" w14:textId="5ECAA5FC" w:rsidR="00584C6F" w:rsidRDefault="00BD28A6">
      <w:pPr>
        <w:pStyle w:val="TOC1"/>
        <w:rPr>
          <w:rFonts w:asciiTheme="minorHAnsi" w:eastAsiaTheme="minorEastAsia" w:hAnsiTheme="minorHAnsi" w:cstheme="minorBidi"/>
          <w:b w:val="0"/>
          <w:sz w:val="22"/>
          <w:szCs w:val="22"/>
          <w:lang w:val="de-CH" w:eastAsia="de-CH"/>
        </w:rPr>
      </w:pPr>
      <w:hyperlink w:anchor="_Toc70926832" w:history="1">
        <w:r w:rsidR="00584C6F" w:rsidRPr="006F7B45">
          <w:rPr>
            <w:rStyle w:val="Hyperlink"/>
          </w:rPr>
          <w:t>6.</w:t>
        </w:r>
        <w:r w:rsidR="00584C6F">
          <w:rPr>
            <w:rFonts w:asciiTheme="minorHAnsi" w:eastAsiaTheme="minorEastAsia" w:hAnsiTheme="minorHAnsi" w:cstheme="minorBidi"/>
            <w:b w:val="0"/>
            <w:sz w:val="22"/>
            <w:szCs w:val="22"/>
            <w:lang w:val="de-CH" w:eastAsia="de-CH"/>
          </w:rPr>
          <w:tab/>
        </w:r>
        <w:r w:rsidR="00584C6F" w:rsidRPr="006F7B45">
          <w:rPr>
            <w:rStyle w:val="Hyperlink"/>
          </w:rPr>
          <w:t>Study schedule</w:t>
        </w:r>
        <w:r w:rsidR="00584C6F">
          <w:rPr>
            <w:webHidden/>
          </w:rPr>
          <w:tab/>
        </w:r>
        <w:r w:rsidR="00584C6F">
          <w:rPr>
            <w:webHidden/>
          </w:rPr>
          <w:fldChar w:fldCharType="begin"/>
        </w:r>
        <w:r w:rsidR="00584C6F">
          <w:rPr>
            <w:webHidden/>
          </w:rPr>
          <w:instrText xml:space="preserve"> PAGEREF _Toc70926832 \h </w:instrText>
        </w:r>
        <w:r w:rsidR="00584C6F">
          <w:rPr>
            <w:webHidden/>
          </w:rPr>
        </w:r>
        <w:r w:rsidR="00584C6F">
          <w:rPr>
            <w:webHidden/>
          </w:rPr>
          <w:fldChar w:fldCharType="separate"/>
        </w:r>
        <w:r w:rsidR="00584C6F">
          <w:rPr>
            <w:webHidden/>
          </w:rPr>
          <w:t>36</w:t>
        </w:r>
        <w:r w:rsidR="00584C6F">
          <w:rPr>
            <w:webHidden/>
          </w:rPr>
          <w:fldChar w:fldCharType="end"/>
        </w:r>
      </w:hyperlink>
    </w:p>
    <w:p w14:paraId="3A76E8C3" w14:textId="04404A97" w:rsidR="00584C6F" w:rsidRDefault="00BD28A6">
      <w:pPr>
        <w:pStyle w:val="TOC1"/>
        <w:rPr>
          <w:rFonts w:asciiTheme="minorHAnsi" w:eastAsiaTheme="minorEastAsia" w:hAnsiTheme="minorHAnsi" w:cstheme="minorBidi"/>
          <w:b w:val="0"/>
          <w:sz w:val="22"/>
          <w:szCs w:val="22"/>
          <w:lang w:val="de-CH" w:eastAsia="de-CH"/>
        </w:rPr>
      </w:pPr>
      <w:hyperlink w:anchor="_Toc70926833" w:history="1">
        <w:r w:rsidR="00584C6F" w:rsidRPr="006F7B45">
          <w:rPr>
            <w:rStyle w:val="Hyperlink"/>
          </w:rPr>
          <w:t>7.</w:t>
        </w:r>
        <w:r w:rsidR="00584C6F">
          <w:rPr>
            <w:rFonts w:asciiTheme="minorHAnsi" w:eastAsiaTheme="minorEastAsia" w:hAnsiTheme="minorHAnsi" w:cstheme="minorBidi"/>
            <w:b w:val="0"/>
            <w:sz w:val="22"/>
            <w:szCs w:val="22"/>
            <w:lang w:val="de-CH" w:eastAsia="de-CH"/>
          </w:rPr>
          <w:tab/>
        </w:r>
        <w:r w:rsidR="00584C6F" w:rsidRPr="006F7B45">
          <w:rPr>
            <w:rStyle w:val="Hyperlink"/>
          </w:rPr>
          <w:t>Funding and support</w:t>
        </w:r>
        <w:r w:rsidR="00584C6F">
          <w:rPr>
            <w:webHidden/>
          </w:rPr>
          <w:tab/>
        </w:r>
        <w:r w:rsidR="00584C6F">
          <w:rPr>
            <w:webHidden/>
          </w:rPr>
          <w:fldChar w:fldCharType="begin"/>
        </w:r>
        <w:r w:rsidR="00584C6F">
          <w:rPr>
            <w:webHidden/>
          </w:rPr>
          <w:instrText xml:space="preserve"> PAGEREF _Toc70926833 \h </w:instrText>
        </w:r>
        <w:r w:rsidR="00584C6F">
          <w:rPr>
            <w:webHidden/>
          </w:rPr>
        </w:r>
        <w:r w:rsidR="00584C6F">
          <w:rPr>
            <w:webHidden/>
          </w:rPr>
          <w:fldChar w:fldCharType="separate"/>
        </w:r>
        <w:r w:rsidR="00584C6F">
          <w:rPr>
            <w:webHidden/>
          </w:rPr>
          <w:t>38</w:t>
        </w:r>
        <w:r w:rsidR="00584C6F">
          <w:rPr>
            <w:webHidden/>
          </w:rPr>
          <w:fldChar w:fldCharType="end"/>
        </w:r>
      </w:hyperlink>
    </w:p>
    <w:p w14:paraId="7ECC4B51" w14:textId="0766B137" w:rsidR="00584C6F" w:rsidRDefault="00BD28A6">
      <w:pPr>
        <w:pStyle w:val="TOC1"/>
        <w:rPr>
          <w:rFonts w:asciiTheme="minorHAnsi" w:eastAsiaTheme="minorEastAsia" w:hAnsiTheme="minorHAnsi" w:cstheme="minorBidi"/>
          <w:b w:val="0"/>
          <w:sz w:val="22"/>
          <w:szCs w:val="22"/>
          <w:lang w:val="de-CH" w:eastAsia="de-CH"/>
        </w:rPr>
      </w:pPr>
      <w:hyperlink w:anchor="_Toc70926834" w:history="1">
        <w:r w:rsidR="00584C6F" w:rsidRPr="006F7B45">
          <w:rPr>
            <w:rStyle w:val="Hyperlink"/>
          </w:rPr>
          <w:t>References</w:t>
        </w:r>
        <w:r w:rsidR="00584C6F">
          <w:rPr>
            <w:webHidden/>
          </w:rPr>
          <w:tab/>
        </w:r>
        <w:r w:rsidR="00584C6F">
          <w:rPr>
            <w:webHidden/>
          </w:rPr>
          <w:fldChar w:fldCharType="begin"/>
        </w:r>
        <w:r w:rsidR="00584C6F">
          <w:rPr>
            <w:webHidden/>
          </w:rPr>
          <w:instrText xml:space="preserve"> PAGEREF _Toc70926834 \h </w:instrText>
        </w:r>
        <w:r w:rsidR="00584C6F">
          <w:rPr>
            <w:webHidden/>
          </w:rPr>
        </w:r>
        <w:r w:rsidR="00584C6F">
          <w:rPr>
            <w:webHidden/>
          </w:rPr>
          <w:fldChar w:fldCharType="separate"/>
        </w:r>
        <w:r w:rsidR="00584C6F">
          <w:rPr>
            <w:webHidden/>
          </w:rPr>
          <w:t>39</w:t>
        </w:r>
        <w:r w:rsidR="00584C6F">
          <w:rPr>
            <w:webHidden/>
          </w:rPr>
          <w:fldChar w:fldCharType="end"/>
        </w:r>
      </w:hyperlink>
    </w:p>
    <w:p w14:paraId="7E725164" w14:textId="2FE6438B" w:rsidR="00584C6F" w:rsidRDefault="00BD28A6">
      <w:pPr>
        <w:pStyle w:val="TOC1"/>
        <w:rPr>
          <w:rFonts w:asciiTheme="minorHAnsi" w:eastAsiaTheme="minorEastAsia" w:hAnsiTheme="minorHAnsi" w:cstheme="minorBidi"/>
          <w:b w:val="0"/>
          <w:sz w:val="22"/>
          <w:szCs w:val="22"/>
          <w:lang w:val="de-CH" w:eastAsia="de-CH"/>
        </w:rPr>
      </w:pPr>
      <w:hyperlink w:anchor="_Toc70926835" w:history="1">
        <w:r w:rsidR="00584C6F" w:rsidRPr="006F7B45">
          <w:rPr>
            <w:rStyle w:val="Hyperlink"/>
          </w:rPr>
          <w:t>Appendix A. Article 7 of the Minamata Convention: artisanal and small-scale gold mining</w:t>
        </w:r>
        <w:r w:rsidR="00584C6F">
          <w:rPr>
            <w:webHidden/>
          </w:rPr>
          <w:tab/>
        </w:r>
        <w:r w:rsidR="00584C6F">
          <w:rPr>
            <w:webHidden/>
          </w:rPr>
          <w:fldChar w:fldCharType="begin"/>
        </w:r>
        <w:r w:rsidR="00584C6F">
          <w:rPr>
            <w:webHidden/>
          </w:rPr>
          <w:instrText xml:space="preserve"> PAGEREF _Toc70926835 \h </w:instrText>
        </w:r>
        <w:r w:rsidR="00584C6F">
          <w:rPr>
            <w:webHidden/>
          </w:rPr>
        </w:r>
        <w:r w:rsidR="00584C6F">
          <w:rPr>
            <w:webHidden/>
          </w:rPr>
          <w:fldChar w:fldCharType="separate"/>
        </w:r>
        <w:r w:rsidR="00584C6F">
          <w:rPr>
            <w:webHidden/>
          </w:rPr>
          <w:t>41</w:t>
        </w:r>
        <w:r w:rsidR="00584C6F">
          <w:rPr>
            <w:webHidden/>
          </w:rPr>
          <w:fldChar w:fldCharType="end"/>
        </w:r>
      </w:hyperlink>
    </w:p>
    <w:p w14:paraId="02A969FC" w14:textId="6AE6D8FC" w:rsidR="00584C6F" w:rsidRDefault="00BD28A6">
      <w:pPr>
        <w:pStyle w:val="TOC1"/>
        <w:rPr>
          <w:rFonts w:asciiTheme="minorHAnsi" w:eastAsiaTheme="minorEastAsia" w:hAnsiTheme="minorHAnsi" w:cstheme="minorBidi"/>
          <w:b w:val="0"/>
          <w:sz w:val="22"/>
          <w:szCs w:val="22"/>
          <w:lang w:val="de-CH" w:eastAsia="de-CH"/>
        </w:rPr>
      </w:pPr>
      <w:hyperlink w:anchor="_Toc70926836" w:history="1">
        <w:r w:rsidR="00584C6F" w:rsidRPr="006F7B45">
          <w:rPr>
            <w:rStyle w:val="Hyperlink"/>
          </w:rPr>
          <w:t>Appendix B. Annex C of the Minamata Convention: national action plans</w:t>
        </w:r>
        <w:r w:rsidR="00584C6F">
          <w:rPr>
            <w:webHidden/>
          </w:rPr>
          <w:tab/>
        </w:r>
        <w:r w:rsidR="00584C6F">
          <w:rPr>
            <w:webHidden/>
          </w:rPr>
          <w:fldChar w:fldCharType="begin"/>
        </w:r>
        <w:r w:rsidR="00584C6F">
          <w:rPr>
            <w:webHidden/>
          </w:rPr>
          <w:instrText xml:space="preserve"> PAGEREF _Toc70926836 \h </w:instrText>
        </w:r>
        <w:r w:rsidR="00584C6F">
          <w:rPr>
            <w:webHidden/>
          </w:rPr>
        </w:r>
        <w:r w:rsidR="00584C6F">
          <w:rPr>
            <w:webHidden/>
          </w:rPr>
          <w:fldChar w:fldCharType="separate"/>
        </w:r>
        <w:r w:rsidR="00584C6F">
          <w:rPr>
            <w:webHidden/>
          </w:rPr>
          <w:t>42</w:t>
        </w:r>
        <w:r w:rsidR="00584C6F">
          <w:rPr>
            <w:webHidden/>
          </w:rPr>
          <w:fldChar w:fldCharType="end"/>
        </w:r>
      </w:hyperlink>
    </w:p>
    <w:p w14:paraId="38539761" w14:textId="4D91B95D" w:rsidR="00584C6F" w:rsidRDefault="00BD28A6">
      <w:pPr>
        <w:pStyle w:val="TOC1"/>
        <w:rPr>
          <w:rFonts w:asciiTheme="minorHAnsi" w:eastAsiaTheme="minorEastAsia" w:hAnsiTheme="minorHAnsi" w:cstheme="minorBidi"/>
          <w:b w:val="0"/>
          <w:sz w:val="22"/>
          <w:szCs w:val="22"/>
          <w:lang w:val="de-CH" w:eastAsia="de-CH"/>
        </w:rPr>
      </w:pPr>
      <w:hyperlink w:anchor="_Toc70926837" w:history="1">
        <w:r w:rsidR="00584C6F" w:rsidRPr="006F7B45">
          <w:rPr>
            <w:rStyle w:val="Hyperlink"/>
          </w:rPr>
          <w:t>Appendix C. Guide to annexes</w:t>
        </w:r>
        <w:r w:rsidR="00584C6F">
          <w:rPr>
            <w:webHidden/>
          </w:rPr>
          <w:tab/>
        </w:r>
        <w:r w:rsidR="00584C6F">
          <w:rPr>
            <w:webHidden/>
          </w:rPr>
          <w:fldChar w:fldCharType="begin"/>
        </w:r>
        <w:r w:rsidR="00584C6F">
          <w:rPr>
            <w:webHidden/>
          </w:rPr>
          <w:instrText xml:space="preserve"> PAGEREF _Toc70926837 \h </w:instrText>
        </w:r>
        <w:r w:rsidR="00584C6F">
          <w:rPr>
            <w:webHidden/>
          </w:rPr>
        </w:r>
        <w:r w:rsidR="00584C6F">
          <w:rPr>
            <w:webHidden/>
          </w:rPr>
          <w:fldChar w:fldCharType="separate"/>
        </w:r>
        <w:r w:rsidR="00584C6F">
          <w:rPr>
            <w:webHidden/>
          </w:rPr>
          <w:t>43</w:t>
        </w:r>
        <w:r w:rsidR="00584C6F">
          <w:rPr>
            <w:webHidden/>
          </w:rPr>
          <w:fldChar w:fldCharType="end"/>
        </w:r>
      </w:hyperlink>
    </w:p>
    <w:p w14:paraId="187AA607" w14:textId="70D5CF9E" w:rsidR="00EB0CE0" w:rsidRPr="00E63DCC" w:rsidRDefault="00584C6F" w:rsidP="00A5640C">
      <w:pPr>
        <w:rPr>
          <w:lang w:val="en-GB"/>
        </w:rPr>
      </w:pPr>
      <w:r>
        <w:rPr>
          <w:lang w:val="en-GB"/>
        </w:rPr>
        <w:fldChar w:fldCharType="end"/>
      </w:r>
    </w:p>
    <w:p w14:paraId="1B3B06E7" w14:textId="35D39A03" w:rsidR="00123FD5" w:rsidRPr="00E63DCC" w:rsidRDefault="00E25FA8" w:rsidP="00516C62">
      <w:pPr>
        <w:pStyle w:val="Normalboldhead"/>
      </w:pPr>
      <w:r w:rsidRPr="00E63DCC">
        <w:t>T</w:t>
      </w:r>
      <w:r w:rsidR="00123FD5" w:rsidRPr="00E63DCC">
        <w:t>ables</w:t>
      </w:r>
    </w:p>
    <w:p w14:paraId="77EF2F40" w14:textId="77777777" w:rsidR="00E63DCC" w:rsidRPr="00E63DCC" w:rsidRDefault="00516C62">
      <w:pPr>
        <w:pStyle w:val="TableofFigures"/>
        <w:tabs>
          <w:tab w:val="right" w:leader="dot" w:pos="9016"/>
        </w:tabs>
        <w:rPr>
          <w:rFonts w:asciiTheme="minorHAnsi" w:eastAsia="SimSun" w:hAnsiTheme="minorHAnsi" w:cstheme="minorBidi"/>
          <w:szCs w:val="24"/>
          <w:lang w:val="en-GB" w:eastAsia="ja-JP"/>
        </w:rPr>
      </w:pPr>
      <w:r w:rsidRPr="00E63DCC">
        <w:rPr>
          <w:lang w:val="en-GB"/>
        </w:rPr>
        <w:fldChar w:fldCharType="begin"/>
      </w:r>
      <w:r w:rsidRPr="00E63DCC">
        <w:rPr>
          <w:lang w:val="en-GB"/>
        </w:rPr>
        <w:instrText xml:space="preserve"> TOC \t "Table head" \c </w:instrText>
      </w:r>
      <w:r w:rsidRPr="00E63DCC">
        <w:rPr>
          <w:lang w:val="en-GB"/>
        </w:rPr>
        <w:fldChar w:fldCharType="separate"/>
      </w:r>
      <w:r w:rsidR="00E63DCC" w:rsidRPr="00E63DCC">
        <w:rPr>
          <w:lang w:val="en-GB"/>
        </w:rPr>
        <w:t>Table 1. Potential sites to be investigated in [country name]</w:t>
      </w:r>
      <w:r w:rsidR="00E63DCC" w:rsidRPr="00E63DCC">
        <w:rPr>
          <w:lang w:val="en-GB"/>
        </w:rPr>
        <w:tab/>
      </w:r>
      <w:r w:rsidR="00E63DCC" w:rsidRPr="00E63DCC">
        <w:rPr>
          <w:lang w:val="en-GB"/>
        </w:rPr>
        <w:fldChar w:fldCharType="begin"/>
      </w:r>
      <w:r w:rsidR="00E63DCC" w:rsidRPr="00E63DCC">
        <w:rPr>
          <w:lang w:val="en-GB"/>
        </w:rPr>
        <w:instrText xml:space="preserve"> PAGEREF _Toc475116178 \h </w:instrText>
      </w:r>
      <w:r w:rsidR="00E63DCC" w:rsidRPr="00E63DCC">
        <w:rPr>
          <w:lang w:val="en-GB"/>
        </w:rPr>
      </w:r>
      <w:r w:rsidR="00E63DCC" w:rsidRPr="00E63DCC">
        <w:rPr>
          <w:lang w:val="en-GB"/>
        </w:rPr>
        <w:fldChar w:fldCharType="separate"/>
      </w:r>
      <w:r w:rsidR="00DB50D1">
        <w:rPr>
          <w:noProof/>
          <w:lang w:val="en-GB"/>
        </w:rPr>
        <w:t>15</w:t>
      </w:r>
      <w:r w:rsidR="00E63DCC" w:rsidRPr="00E63DCC">
        <w:rPr>
          <w:lang w:val="en-GB"/>
        </w:rPr>
        <w:fldChar w:fldCharType="end"/>
      </w:r>
    </w:p>
    <w:p w14:paraId="2DF4A716" w14:textId="77777777" w:rsidR="00E63DCC" w:rsidRPr="00E63DCC" w:rsidRDefault="00E63DCC">
      <w:pPr>
        <w:pStyle w:val="TableofFigures"/>
        <w:tabs>
          <w:tab w:val="right" w:leader="dot" w:pos="9016"/>
        </w:tabs>
        <w:rPr>
          <w:rFonts w:asciiTheme="minorHAnsi" w:eastAsia="SimSun" w:hAnsiTheme="minorHAnsi" w:cstheme="minorBidi"/>
          <w:szCs w:val="24"/>
          <w:lang w:val="en-GB" w:eastAsia="ja-JP"/>
        </w:rPr>
      </w:pPr>
      <w:r w:rsidRPr="00E63DCC">
        <w:rPr>
          <w:lang w:val="en-GB"/>
        </w:rPr>
        <w:t>Table 2. Target participant groups and target health facilities</w:t>
      </w:r>
      <w:r w:rsidRPr="00E63DCC">
        <w:rPr>
          <w:lang w:val="en-GB"/>
        </w:rPr>
        <w:tab/>
      </w:r>
      <w:r w:rsidRPr="00E63DCC">
        <w:rPr>
          <w:lang w:val="en-GB"/>
        </w:rPr>
        <w:fldChar w:fldCharType="begin"/>
      </w:r>
      <w:r w:rsidRPr="00E63DCC">
        <w:rPr>
          <w:lang w:val="en-GB"/>
        </w:rPr>
        <w:instrText xml:space="preserve"> PAGEREF _Toc475116179 \h </w:instrText>
      </w:r>
      <w:r w:rsidRPr="00E63DCC">
        <w:rPr>
          <w:lang w:val="en-GB"/>
        </w:rPr>
      </w:r>
      <w:r w:rsidRPr="00E63DCC">
        <w:rPr>
          <w:lang w:val="en-GB"/>
        </w:rPr>
        <w:fldChar w:fldCharType="separate"/>
      </w:r>
      <w:r w:rsidR="00DB50D1">
        <w:rPr>
          <w:noProof/>
          <w:lang w:val="en-GB"/>
        </w:rPr>
        <w:t>16</w:t>
      </w:r>
      <w:r w:rsidRPr="00E63DCC">
        <w:rPr>
          <w:lang w:val="en-GB"/>
        </w:rPr>
        <w:fldChar w:fldCharType="end"/>
      </w:r>
    </w:p>
    <w:p w14:paraId="1DBAB2B6" w14:textId="77777777" w:rsidR="00E63DCC" w:rsidRPr="00E63DCC" w:rsidRDefault="00E63DCC">
      <w:pPr>
        <w:pStyle w:val="TableofFigures"/>
        <w:tabs>
          <w:tab w:val="right" w:leader="dot" w:pos="9016"/>
        </w:tabs>
        <w:rPr>
          <w:rFonts w:asciiTheme="minorHAnsi" w:eastAsia="SimSun" w:hAnsiTheme="minorHAnsi" w:cstheme="minorBidi"/>
          <w:szCs w:val="24"/>
          <w:lang w:val="en-GB" w:eastAsia="ja-JP"/>
        </w:rPr>
      </w:pPr>
      <w:r w:rsidRPr="00E63DCC">
        <w:rPr>
          <w:lang w:val="en-GB"/>
        </w:rPr>
        <w:t>Table 3. Estimated sample sizes</w:t>
      </w:r>
      <w:r w:rsidRPr="00E63DCC">
        <w:rPr>
          <w:lang w:val="en-GB"/>
        </w:rPr>
        <w:tab/>
      </w:r>
      <w:r w:rsidRPr="00E63DCC">
        <w:rPr>
          <w:lang w:val="en-GB"/>
        </w:rPr>
        <w:fldChar w:fldCharType="begin"/>
      </w:r>
      <w:r w:rsidRPr="00E63DCC">
        <w:rPr>
          <w:lang w:val="en-GB"/>
        </w:rPr>
        <w:instrText xml:space="preserve"> PAGEREF _Toc475116180 \h </w:instrText>
      </w:r>
      <w:r w:rsidRPr="00E63DCC">
        <w:rPr>
          <w:lang w:val="en-GB"/>
        </w:rPr>
      </w:r>
      <w:r w:rsidRPr="00E63DCC">
        <w:rPr>
          <w:lang w:val="en-GB"/>
        </w:rPr>
        <w:fldChar w:fldCharType="separate"/>
      </w:r>
      <w:r w:rsidR="00DB50D1">
        <w:rPr>
          <w:noProof/>
          <w:lang w:val="en-GB"/>
        </w:rPr>
        <w:t>18</w:t>
      </w:r>
      <w:r w:rsidRPr="00E63DCC">
        <w:rPr>
          <w:lang w:val="en-GB"/>
        </w:rPr>
        <w:fldChar w:fldCharType="end"/>
      </w:r>
    </w:p>
    <w:p w14:paraId="1E66C10B" w14:textId="77777777" w:rsidR="00E63DCC" w:rsidRPr="00E63DCC" w:rsidRDefault="00E63DCC">
      <w:pPr>
        <w:pStyle w:val="TableofFigures"/>
        <w:tabs>
          <w:tab w:val="right" w:leader="dot" w:pos="9016"/>
        </w:tabs>
        <w:rPr>
          <w:rFonts w:asciiTheme="minorHAnsi" w:eastAsia="SimSun" w:hAnsiTheme="minorHAnsi" w:cstheme="minorBidi"/>
          <w:szCs w:val="24"/>
          <w:lang w:val="en-GB" w:eastAsia="ja-JP"/>
        </w:rPr>
      </w:pPr>
      <w:r w:rsidRPr="00E63DCC">
        <w:rPr>
          <w:lang w:val="en-GB"/>
        </w:rPr>
        <w:t>Table 4. Data collection summary table</w:t>
      </w:r>
      <w:r w:rsidRPr="00E63DCC">
        <w:rPr>
          <w:lang w:val="en-GB"/>
        </w:rPr>
        <w:tab/>
      </w:r>
      <w:r w:rsidRPr="00E63DCC">
        <w:rPr>
          <w:lang w:val="en-GB"/>
        </w:rPr>
        <w:fldChar w:fldCharType="begin"/>
      </w:r>
      <w:r w:rsidRPr="00E63DCC">
        <w:rPr>
          <w:lang w:val="en-GB"/>
        </w:rPr>
        <w:instrText xml:space="preserve"> PAGEREF _Toc475116181 \h </w:instrText>
      </w:r>
      <w:r w:rsidRPr="00E63DCC">
        <w:rPr>
          <w:lang w:val="en-GB"/>
        </w:rPr>
      </w:r>
      <w:r w:rsidRPr="00E63DCC">
        <w:rPr>
          <w:lang w:val="en-GB"/>
        </w:rPr>
        <w:fldChar w:fldCharType="separate"/>
      </w:r>
      <w:r w:rsidR="00DB50D1">
        <w:rPr>
          <w:noProof/>
          <w:lang w:val="en-GB"/>
        </w:rPr>
        <w:t>23</w:t>
      </w:r>
      <w:r w:rsidRPr="00E63DCC">
        <w:rPr>
          <w:lang w:val="en-GB"/>
        </w:rPr>
        <w:fldChar w:fldCharType="end"/>
      </w:r>
    </w:p>
    <w:p w14:paraId="67087D10" w14:textId="77777777" w:rsidR="00E63DCC" w:rsidRPr="00E63DCC" w:rsidRDefault="00E63DCC">
      <w:pPr>
        <w:pStyle w:val="TableofFigures"/>
        <w:tabs>
          <w:tab w:val="right" w:leader="dot" w:pos="9016"/>
        </w:tabs>
        <w:rPr>
          <w:rFonts w:asciiTheme="minorHAnsi" w:eastAsia="SimSun" w:hAnsiTheme="minorHAnsi" w:cstheme="minorBidi"/>
          <w:szCs w:val="24"/>
          <w:lang w:val="en-GB" w:eastAsia="ja-JP"/>
        </w:rPr>
      </w:pPr>
      <w:r w:rsidRPr="00E63DCC">
        <w:rPr>
          <w:lang w:val="en-GB"/>
        </w:rPr>
        <w:t>Table 5. Study schedule</w:t>
      </w:r>
      <w:r w:rsidRPr="00E63DCC">
        <w:rPr>
          <w:lang w:val="en-GB"/>
        </w:rPr>
        <w:tab/>
      </w:r>
      <w:r w:rsidRPr="00E63DCC">
        <w:rPr>
          <w:lang w:val="en-GB"/>
        </w:rPr>
        <w:fldChar w:fldCharType="begin"/>
      </w:r>
      <w:r w:rsidRPr="00E63DCC">
        <w:rPr>
          <w:lang w:val="en-GB"/>
        </w:rPr>
        <w:instrText xml:space="preserve"> PAGEREF _Toc475116182 \h </w:instrText>
      </w:r>
      <w:r w:rsidRPr="00E63DCC">
        <w:rPr>
          <w:lang w:val="en-GB"/>
        </w:rPr>
      </w:r>
      <w:r w:rsidRPr="00E63DCC">
        <w:rPr>
          <w:lang w:val="en-GB"/>
        </w:rPr>
        <w:fldChar w:fldCharType="separate"/>
      </w:r>
      <w:r w:rsidR="00DB50D1">
        <w:rPr>
          <w:noProof/>
          <w:lang w:val="en-GB"/>
        </w:rPr>
        <w:t>37</w:t>
      </w:r>
      <w:r w:rsidRPr="00E63DCC">
        <w:rPr>
          <w:lang w:val="en-GB"/>
        </w:rPr>
        <w:fldChar w:fldCharType="end"/>
      </w:r>
    </w:p>
    <w:p w14:paraId="08B98155" w14:textId="07E9343F" w:rsidR="00861493" w:rsidRPr="00E63DCC" w:rsidRDefault="00516C62" w:rsidP="00A5640C">
      <w:pPr>
        <w:rPr>
          <w:lang w:val="en-GB"/>
        </w:rPr>
      </w:pPr>
      <w:r w:rsidRPr="00E63DCC">
        <w:rPr>
          <w:lang w:val="en-GB"/>
        </w:rPr>
        <w:fldChar w:fldCharType="end"/>
      </w:r>
    </w:p>
    <w:p w14:paraId="670D7982" w14:textId="77777777" w:rsidR="00E63DCC" w:rsidRPr="00E63DCC" w:rsidRDefault="00E25FA8" w:rsidP="00E25FA8">
      <w:pPr>
        <w:pStyle w:val="Normalboldhead"/>
      </w:pPr>
      <w:r w:rsidRPr="00E63DCC">
        <w:t>F</w:t>
      </w:r>
      <w:r w:rsidR="00861493" w:rsidRPr="00E63DCC">
        <w:t>igures</w:t>
      </w:r>
      <w:r w:rsidR="00DA0F5E" w:rsidRPr="00E63DCC">
        <w:fldChar w:fldCharType="begin"/>
      </w:r>
      <w:r w:rsidR="00DA0F5E" w:rsidRPr="00E63DCC">
        <w:instrText xml:space="preserve"> TOC \t "Figure head" \c </w:instrText>
      </w:r>
      <w:r w:rsidR="00DA0F5E" w:rsidRPr="00E63DCC">
        <w:fldChar w:fldCharType="separate"/>
      </w:r>
    </w:p>
    <w:p w14:paraId="0AFB67E4" w14:textId="77777777" w:rsidR="00E63DCC" w:rsidRPr="00E63DCC" w:rsidRDefault="00E63DCC">
      <w:pPr>
        <w:pStyle w:val="TableofFigures"/>
        <w:tabs>
          <w:tab w:val="right" w:leader="dot" w:pos="9016"/>
        </w:tabs>
        <w:rPr>
          <w:rFonts w:asciiTheme="minorHAnsi" w:eastAsia="SimSun" w:hAnsiTheme="minorHAnsi" w:cstheme="minorBidi"/>
          <w:szCs w:val="24"/>
          <w:lang w:val="en-GB" w:eastAsia="ja-JP"/>
        </w:rPr>
      </w:pPr>
      <w:r w:rsidRPr="00E63DCC">
        <w:rPr>
          <w:lang w:val="en-GB"/>
        </w:rPr>
        <w:t>Figure 1. Methodological triangulation</w:t>
      </w:r>
      <w:r w:rsidRPr="00E63DCC">
        <w:rPr>
          <w:lang w:val="en-GB"/>
        </w:rPr>
        <w:tab/>
      </w:r>
      <w:r w:rsidRPr="00E63DCC">
        <w:rPr>
          <w:lang w:val="en-GB"/>
        </w:rPr>
        <w:fldChar w:fldCharType="begin"/>
      </w:r>
      <w:r w:rsidRPr="00E63DCC">
        <w:rPr>
          <w:lang w:val="en-GB"/>
        </w:rPr>
        <w:instrText xml:space="preserve"> PAGEREF _Toc475116177 \h </w:instrText>
      </w:r>
      <w:r w:rsidRPr="00E63DCC">
        <w:rPr>
          <w:lang w:val="en-GB"/>
        </w:rPr>
      </w:r>
      <w:r w:rsidRPr="00E63DCC">
        <w:rPr>
          <w:lang w:val="en-GB"/>
        </w:rPr>
        <w:fldChar w:fldCharType="separate"/>
      </w:r>
      <w:r w:rsidR="00DB50D1">
        <w:rPr>
          <w:noProof/>
          <w:lang w:val="en-GB"/>
        </w:rPr>
        <w:t>14</w:t>
      </w:r>
      <w:r w:rsidRPr="00E63DCC">
        <w:rPr>
          <w:lang w:val="en-GB"/>
        </w:rPr>
        <w:fldChar w:fldCharType="end"/>
      </w:r>
    </w:p>
    <w:p w14:paraId="4FA352D3" w14:textId="6D93C30C" w:rsidR="00861493" w:rsidRPr="00E63DCC" w:rsidRDefault="00DA0F5E" w:rsidP="00E25FA8">
      <w:pPr>
        <w:pStyle w:val="Normalboldhead"/>
      </w:pPr>
      <w:r w:rsidRPr="00E63DCC">
        <w:fldChar w:fldCharType="end"/>
      </w:r>
    </w:p>
    <w:p w14:paraId="6F90B52D" w14:textId="77777777" w:rsidR="00B973D8" w:rsidRPr="00E63DCC" w:rsidRDefault="00B973D8" w:rsidP="00A5640C">
      <w:pPr>
        <w:rPr>
          <w:kern w:val="32"/>
          <w:sz w:val="28"/>
          <w:szCs w:val="28"/>
          <w:lang w:val="en-GB"/>
        </w:rPr>
      </w:pPr>
      <w:r w:rsidRPr="00E63DCC">
        <w:rPr>
          <w:lang w:val="en-GB"/>
        </w:rPr>
        <w:br w:type="page"/>
      </w:r>
    </w:p>
    <w:p w14:paraId="1D837CEE" w14:textId="77777777" w:rsidR="00EF3A02" w:rsidRPr="00E63DCC" w:rsidRDefault="00EF3A02" w:rsidP="00A5640C">
      <w:pPr>
        <w:pStyle w:val="Heading1"/>
        <w:ind w:left="709" w:hanging="709"/>
      </w:pPr>
      <w:bookmarkStart w:id="2" w:name="_Toc283557221"/>
      <w:bookmarkStart w:id="3" w:name="_Toc70926735"/>
      <w:bookmarkStart w:id="4" w:name="_Toc70926796"/>
      <w:r w:rsidRPr="00E63DCC">
        <w:lastRenderedPageBreak/>
        <w:t>A</w:t>
      </w:r>
      <w:r w:rsidR="00233D9A" w:rsidRPr="00E63DCC">
        <w:t>bbreviations</w:t>
      </w:r>
      <w:bookmarkEnd w:id="2"/>
      <w:bookmarkEnd w:id="3"/>
      <w:bookmarkEnd w:id="4"/>
    </w:p>
    <w:p w14:paraId="6B11FB66" w14:textId="77777777" w:rsidR="006703F4" w:rsidRPr="00E63DCC" w:rsidRDefault="006703F4" w:rsidP="006703F4">
      <w:pPr>
        <w:pStyle w:val="SGabbrevs"/>
      </w:pPr>
      <w:r w:rsidRPr="00E63DCC">
        <w:t>ASGM</w:t>
      </w:r>
      <w:r w:rsidRPr="00E63DCC">
        <w:tab/>
        <w:t>artisanal and small-scale gold mining</w:t>
      </w:r>
    </w:p>
    <w:p w14:paraId="2BE66F31" w14:textId="77777777" w:rsidR="006703F4" w:rsidRPr="00E63DCC" w:rsidRDefault="006703F4" w:rsidP="006703F4">
      <w:pPr>
        <w:pStyle w:val="SGabbrevs"/>
      </w:pPr>
      <w:r w:rsidRPr="00E63DCC">
        <w:t>CIOMS</w:t>
      </w:r>
      <w:r w:rsidRPr="00E63DCC">
        <w:tab/>
        <w:t>Council for International Organizations of Medical Sciences</w:t>
      </w:r>
    </w:p>
    <w:p w14:paraId="42447D72" w14:textId="77777777" w:rsidR="006703F4" w:rsidRPr="00E63DCC" w:rsidRDefault="006703F4" w:rsidP="006703F4">
      <w:pPr>
        <w:pStyle w:val="SGabbrevs"/>
      </w:pPr>
      <w:r w:rsidRPr="00E63DCC">
        <w:t>FGD</w:t>
      </w:r>
      <w:r w:rsidRPr="00E63DCC">
        <w:tab/>
        <w:t>focus group discussion</w:t>
      </w:r>
    </w:p>
    <w:p w14:paraId="588D65AA" w14:textId="77777777" w:rsidR="006703F4" w:rsidRPr="00E63DCC" w:rsidRDefault="006703F4" w:rsidP="006703F4">
      <w:pPr>
        <w:pStyle w:val="SGabbrevs"/>
      </w:pPr>
      <w:r w:rsidRPr="00E63DCC">
        <w:t>HFA</w:t>
      </w:r>
      <w:r w:rsidRPr="00E63DCC">
        <w:tab/>
        <w:t>health facility assessment</w:t>
      </w:r>
    </w:p>
    <w:p w14:paraId="43821023" w14:textId="77777777" w:rsidR="006703F4" w:rsidRPr="00E63DCC" w:rsidRDefault="006703F4" w:rsidP="006703F4">
      <w:pPr>
        <w:pStyle w:val="SGabbrevs"/>
      </w:pPr>
      <w:r w:rsidRPr="00E63DCC">
        <w:t>KII</w:t>
      </w:r>
      <w:r w:rsidRPr="00E63DCC">
        <w:tab/>
        <w:t>key informant interview</w:t>
      </w:r>
    </w:p>
    <w:p w14:paraId="6FB1DF56" w14:textId="77777777" w:rsidR="006703F4" w:rsidRPr="00E63DCC" w:rsidRDefault="006703F4" w:rsidP="006703F4">
      <w:pPr>
        <w:pStyle w:val="SGabbrevs"/>
      </w:pPr>
      <w:r w:rsidRPr="00E63DCC">
        <w:t>NAP</w:t>
      </w:r>
      <w:r w:rsidRPr="00E63DCC">
        <w:tab/>
        <w:t>national action plan</w:t>
      </w:r>
    </w:p>
    <w:p w14:paraId="15D1D12B" w14:textId="77777777" w:rsidR="006703F4" w:rsidRPr="00E63DCC" w:rsidRDefault="006703F4" w:rsidP="006703F4">
      <w:pPr>
        <w:pStyle w:val="SGabbrevs"/>
      </w:pPr>
      <w:r w:rsidRPr="00E63DCC">
        <w:t>NGO</w:t>
      </w:r>
      <w:r w:rsidRPr="00E63DCC">
        <w:tab/>
        <w:t>nongovernmental organization</w:t>
      </w:r>
    </w:p>
    <w:p w14:paraId="2D5219E4" w14:textId="77777777" w:rsidR="006703F4" w:rsidRPr="00E63DCC" w:rsidRDefault="006703F4" w:rsidP="006703F4">
      <w:pPr>
        <w:pStyle w:val="SGabbrevs"/>
      </w:pPr>
      <w:r w:rsidRPr="00E63DCC">
        <w:t>UNEP</w:t>
      </w:r>
      <w:r w:rsidRPr="00E63DCC">
        <w:tab/>
        <w:t>United Nations Environment Programme</w:t>
      </w:r>
    </w:p>
    <w:p w14:paraId="41B80D4E" w14:textId="77777777" w:rsidR="006703F4" w:rsidRPr="00E63DCC" w:rsidRDefault="006703F4" w:rsidP="006703F4">
      <w:pPr>
        <w:pStyle w:val="SGabbrevs"/>
      </w:pPr>
      <w:r w:rsidRPr="00E63DCC">
        <w:t>UNIDO</w:t>
      </w:r>
      <w:r w:rsidRPr="00E63DCC">
        <w:tab/>
        <w:t>United Nations Industrial Development Organization</w:t>
      </w:r>
    </w:p>
    <w:p w14:paraId="4CE33C22" w14:textId="77777777" w:rsidR="006703F4" w:rsidRPr="00E63DCC" w:rsidRDefault="006703F4" w:rsidP="006703F4">
      <w:pPr>
        <w:pStyle w:val="SGabbrevs"/>
      </w:pPr>
      <w:r w:rsidRPr="00E63DCC">
        <w:t>WHO</w:t>
      </w:r>
      <w:r w:rsidRPr="00E63DCC">
        <w:tab/>
        <w:t>World Health Organization</w:t>
      </w:r>
    </w:p>
    <w:p w14:paraId="2AE565E8" w14:textId="77777777" w:rsidR="005D72F7" w:rsidRPr="00E63DCC" w:rsidRDefault="005D72F7" w:rsidP="00A5640C">
      <w:pPr>
        <w:rPr>
          <w:lang w:val="en-GB"/>
        </w:rPr>
      </w:pPr>
    </w:p>
    <w:p w14:paraId="3D834A53" w14:textId="77777777" w:rsidR="00EF3A02" w:rsidRPr="00E63DCC" w:rsidRDefault="00EF3A02" w:rsidP="00A5640C">
      <w:pPr>
        <w:rPr>
          <w:lang w:val="en-GB"/>
        </w:rPr>
      </w:pPr>
      <w:r w:rsidRPr="00E63DCC">
        <w:rPr>
          <w:lang w:val="en-GB"/>
        </w:rPr>
        <w:br w:type="page"/>
      </w:r>
    </w:p>
    <w:p w14:paraId="70C73235" w14:textId="77777777" w:rsidR="00A62394" w:rsidRPr="00E63DCC" w:rsidRDefault="00FD7BCA" w:rsidP="00A5640C">
      <w:pPr>
        <w:pStyle w:val="Heading1"/>
        <w:ind w:left="709" w:hanging="709"/>
      </w:pPr>
      <w:bookmarkStart w:id="5" w:name="_Toc245371476"/>
      <w:bookmarkStart w:id="6" w:name="_Toc283557223"/>
      <w:bookmarkStart w:id="7" w:name="_Toc70926736"/>
      <w:bookmarkStart w:id="8" w:name="_Toc70926797"/>
      <w:bookmarkStart w:id="9" w:name="_Toc283557222"/>
      <w:r w:rsidRPr="00E63DCC">
        <w:lastRenderedPageBreak/>
        <w:t>S</w:t>
      </w:r>
      <w:r w:rsidR="00233D9A" w:rsidRPr="00E63DCC">
        <w:t>tudy team and administrative structure</w:t>
      </w:r>
      <w:bookmarkEnd w:id="5"/>
      <w:bookmarkEnd w:id="6"/>
      <w:bookmarkEnd w:id="7"/>
      <w:bookmarkEnd w:id="8"/>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524"/>
        <w:gridCol w:w="4492"/>
      </w:tblGrid>
      <w:tr w:rsidR="00A62394" w:rsidRPr="00E63DCC" w14:paraId="299C2079" w14:textId="77777777" w:rsidTr="000F7CFC">
        <w:tc>
          <w:tcPr>
            <w:tcW w:w="4628" w:type="dxa"/>
            <w:shd w:val="clear" w:color="auto" w:fill="auto"/>
            <w:vAlign w:val="center"/>
          </w:tcPr>
          <w:p w14:paraId="608A6842" w14:textId="51AEB58D" w:rsidR="00A62394" w:rsidRPr="00E63DCC" w:rsidRDefault="0010675A" w:rsidP="00C13ECC">
            <w:pPr>
              <w:rPr>
                <w:szCs w:val="24"/>
                <w:lang w:val="en-GB"/>
              </w:rPr>
            </w:pPr>
            <w:r w:rsidRPr="00E63DCC">
              <w:rPr>
                <w:szCs w:val="24"/>
                <w:lang w:val="en-GB"/>
              </w:rPr>
              <w:t xml:space="preserve">Principle </w:t>
            </w:r>
            <w:r w:rsidR="00B80CF5" w:rsidRPr="00E63DCC">
              <w:rPr>
                <w:szCs w:val="24"/>
                <w:lang w:val="en-GB"/>
              </w:rPr>
              <w:t>i</w:t>
            </w:r>
            <w:r w:rsidRPr="00E63DCC">
              <w:rPr>
                <w:szCs w:val="24"/>
                <w:lang w:val="en-GB"/>
              </w:rPr>
              <w:t>nvestigator</w:t>
            </w:r>
            <w:r w:rsidR="002A0CCC" w:rsidRPr="00E63DCC">
              <w:rPr>
                <w:szCs w:val="24"/>
                <w:lang w:val="en-GB"/>
              </w:rPr>
              <w:t xml:space="preserve">, lead health assessment, </w:t>
            </w:r>
            <w:r w:rsidR="00FD7BCA" w:rsidRPr="00E63DCC">
              <w:rPr>
                <w:szCs w:val="24"/>
                <w:lang w:val="en-GB"/>
              </w:rPr>
              <w:t>technical exper</w:t>
            </w:r>
            <w:r w:rsidR="00A44FCA" w:rsidRPr="00E63DCC">
              <w:rPr>
                <w:szCs w:val="24"/>
                <w:lang w:val="en-GB"/>
              </w:rPr>
              <w:t>t</w:t>
            </w:r>
          </w:p>
        </w:tc>
        <w:tc>
          <w:tcPr>
            <w:tcW w:w="4614" w:type="dxa"/>
            <w:shd w:val="clear" w:color="auto" w:fill="auto"/>
          </w:tcPr>
          <w:p w14:paraId="7F255A02" w14:textId="61B9809E" w:rsidR="00A44FCA" w:rsidRPr="00E63DCC" w:rsidRDefault="00A44FCA" w:rsidP="00C13ECC">
            <w:pPr>
              <w:rPr>
                <w:szCs w:val="24"/>
                <w:lang w:val="en-GB"/>
              </w:rPr>
            </w:pPr>
            <w:r w:rsidRPr="00E63DCC">
              <w:rPr>
                <w:szCs w:val="24"/>
                <w:lang w:val="en-GB"/>
              </w:rPr>
              <w:t>[</w:t>
            </w:r>
            <w:r w:rsidR="00D41440" w:rsidRPr="00E63DCC">
              <w:rPr>
                <w:szCs w:val="24"/>
                <w:lang w:val="en-GB"/>
              </w:rPr>
              <w:t>n</w:t>
            </w:r>
            <w:r w:rsidR="0017471F" w:rsidRPr="00E63DCC">
              <w:rPr>
                <w:szCs w:val="24"/>
                <w:lang w:val="en-GB"/>
              </w:rPr>
              <w:t>ame</w:t>
            </w:r>
            <w:r w:rsidRPr="00E63DCC">
              <w:rPr>
                <w:szCs w:val="24"/>
                <w:lang w:val="en-GB"/>
              </w:rPr>
              <w:t>]</w:t>
            </w:r>
          </w:p>
          <w:p w14:paraId="2E4509F7" w14:textId="1B168EAB" w:rsidR="00A62394" w:rsidRPr="00E63DCC" w:rsidRDefault="00A44FCA" w:rsidP="00C13ECC">
            <w:pPr>
              <w:rPr>
                <w:szCs w:val="24"/>
                <w:lang w:val="en-GB"/>
              </w:rPr>
            </w:pPr>
            <w:r w:rsidRPr="00E63DCC">
              <w:rPr>
                <w:szCs w:val="24"/>
                <w:lang w:val="en-GB"/>
              </w:rPr>
              <w:t>[</w:t>
            </w:r>
            <w:r w:rsidR="00D41440" w:rsidRPr="00E63DCC">
              <w:rPr>
                <w:szCs w:val="24"/>
                <w:lang w:val="en-GB"/>
              </w:rPr>
              <w:t>o</w:t>
            </w:r>
            <w:r w:rsidRPr="00E63DCC">
              <w:rPr>
                <w:szCs w:val="24"/>
                <w:lang w:val="en-GB"/>
              </w:rPr>
              <w:t>rganization</w:t>
            </w:r>
            <w:r w:rsidR="00C13ECC" w:rsidRPr="00E63DCC">
              <w:rPr>
                <w:szCs w:val="24"/>
                <w:lang w:val="en-GB"/>
              </w:rPr>
              <w:t xml:space="preserve"> or </w:t>
            </w:r>
            <w:r w:rsidR="00D41440" w:rsidRPr="00E63DCC">
              <w:rPr>
                <w:szCs w:val="24"/>
                <w:lang w:val="en-GB"/>
              </w:rPr>
              <w:t>i</w:t>
            </w:r>
            <w:r w:rsidRPr="00E63DCC">
              <w:rPr>
                <w:szCs w:val="24"/>
                <w:lang w:val="en-GB"/>
              </w:rPr>
              <w:t>nstitut</w:t>
            </w:r>
            <w:r w:rsidR="00C13ECC" w:rsidRPr="00E63DCC">
              <w:rPr>
                <w:szCs w:val="24"/>
                <w:lang w:val="en-GB"/>
              </w:rPr>
              <w:t>ion</w:t>
            </w:r>
            <w:r w:rsidR="0017471F" w:rsidRPr="00E63DCC">
              <w:rPr>
                <w:szCs w:val="24"/>
                <w:lang w:val="en-GB"/>
              </w:rPr>
              <w:t xml:space="preserve"> </w:t>
            </w:r>
            <w:r w:rsidRPr="00E63DCC">
              <w:rPr>
                <w:szCs w:val="24"/>
                <w:lang w:val="en-GB"/>
              </w:rPr>
              <w:t>(incl</w:t>
            </w:r>
            <w:r w:rsidR="00C13ECC" w:rsidRPr="00E63DCC">
              <w:rPr>
                <w:szCs w:val="24"/>
                <w:lang w:val="en-GB"/>
              </w:rPr>
              <w:t>uding</w:t>
            </w:r>
            <w:r w:rsidRPr="00E63DCC">
              <w:rPr>
                <w:szCs w:val="24"/>
                <w:lang w:val="en-GB"/>
              </w:rPr>
              <w:t xml:space="preserve"> </w:t>
            </w:r>
            <w:r w:rsidR="0017471F" w:rsidRPr="00E63DCC">
              <w:rPr>
                <w:szCs w:val="24"/>
                <w:lang w:val="en-GB"/>
              </w:rPr>
              <w:t>address</w:t>
            </w:r>
            <w:r w:rsidR="000F7CFC" w:rsidRPr="00E63DCC">
              <w:rPr>
                <w:szCs w:val="24"/>
                <w:lang w:val="en-GB"/>
              </w:rPr>
              <w:t>) and</w:t>
            </w:r>
            <w:r w:rsidRPr="00E63DCC">
              <w:rPr>
                <w:szCs w:val="24"/>
                <w:lang w:val="en-GB"/>
              </w:rPr>
              <w:t xml:space="preserve"> contact details</w:t>
            </w:r>
            <w:r w:rsidR="0017471F" w:rsidRPr="00E63DCC">
              <w:rPr>
                <w:szCs w:val="24"/>
                <w:lang w:val="en-GB"/>
              </w:rPr>
              <w:t xml:space="preserve"> </w:t>
            </w:r>
            <w:r w:rsidRPr="00E63DCC">
              <w:rPr>
                <w:szCs w:val="24"/>
                <w:lang w:val="en-GB"/>
              </w:rPr>
              <w:t>(</w:t>
            </w:r>
            <w:r w:rsidR="0017471F" w:rsidRPr="00E63DCC">
              <w:rPr>
                <w:szCs w:val="24"/>
                <w:lang w:val="en-GB"/>
              </w:rPr>
              <w:t>email and telephone number</w:t>
            </w:r>
            <w:r w:rsidRPr="00E63DCC">
              <w:rPr>
                <w:szCs w:val="24"/>
                <w:lang w:val="en-GB"/>
              </w:rPr>
              <w:t>) of each team member]</w:t>
            </w:r>
          </w:p>
        </w:tc>
      </w:tr>
      <w:tr w:rsidR="00A62394" w:rsidRPr="00E63DCC" w14:paraId="3B8D63D6" w14:textId="77777777" w:rsidTr="000F7CFC">
        <w:trPr>
          <w:trHeight w:val="680"/>
        </w:trPr>
        <w:tc>
          <w:tcPr>
            <w:tcW w:w="4628" w:type="dxa"/>
            <w:shd w:val="clear" w:color="auto" w:fill="auto"/>
            <w:vAlign w:val="center"/>
          </w:tcPr>
          <w:p w14:paraId="65969054" w14:textId="454CDB41" w:rsidR="005131CE" w:rsidRPr="00E63DCC" w:rsidRDefault="000256A1" w:rsidP="000F7CFC">
            <w:pPr>
              <w:spacing w:line="240" w:lineRule="auto"/>
              <w:rPr>
                <w:szCs w:val="24"/>
                <w:lang w:val="en-GB"/>
              </w:rPr>
            </w:pPr>
            <w:r w:rsidRPr="00E63DCC">
              <w:rPr>
                <w:szCs w:val="24"/>
                <w:lang w:val="en-GB"/>
              </w:rPr>
              <w:t>Co-in</w:t>
            </w:r>
            <w:r w:rsidR="002F071E" w:rsidRPr="00E63DCC">
              <w:rPr>
                <w:szCs w:val="24"/>
                <w:lang w:val="en-GB"/>
              </w:rPr>
              <w:t>v</w:t>
            </w:r>
            <w:r w:rsidRPr="00E63DCC">
              <w:rPr>
                <w:szCs w:val="24"/>
                <w:lang w:val="en-GB"/>
              </w:rPr>
              <w:t>estigator</w:t>
            </w:r>
            <w:r w:rsidR="00FD7BCA" w:rsidRPr="00E63DCC">
              <w:rPr>
                <w:szCs w:val="24"/>
                <w:lang w:val="en-GB"/>
              </w:rPr>
              <w:t>, technical expert</w:t>
            </w:r>
          </w:p>
        </w:tc>
        <w:tc>
          <w:tcPr>
            <w:tcW w:w="4614" w:type="dxa"/>
            <w:shd w:val="clear" w:color="auto" w:fill="auto"/>
            <w:vAlign w:val="center"/>
          </w:tcPr>
          <w:p w14:paraId="67B8E746" w14:textId="77777777" w:rsidR="00FD7BCA" w:rsidRPr="00E63DCC" w:rsidRDefault="00FD7BCA" w:rsidP="000F7CFC">
            <w:pPr>
              <w:spacing w:line="240" w:lineRule="auto"/>
              <w:rPr>
                <w:szCs w:val="24"/>
                <w:lang w:val="en-GB"/>
              </w:rPr>
            </w:pPr>
          </w:p>
        </w:tc>
      </w:tr>
      <w:tr w:rsidR="00FD067F" w:rsidRPr="00E63DCC" w14:paraId="1CACDF31" w14:textId="77777777" w:rsidTr="000F7CFC">
        <w:trPr>
          <w:trHeight w:val="680"/>
        </w:trPr>
        <w:tc>
          <w:tcPr>
            <w:tcW w:w="4628" w:type="dxa"/>
            <w:shd w:val="clear" w:color="auto" w:fill="auto"/>
            <w:vAlign w:val="center"/>
          </w:tcPr>
          <w:p w14:paraId="3A3BE8CD" w14:textId="77777777" w:rsidR="00FD067F" w:rsidRPr="00E63DCC" w:rsidRDefault="00FD067F" w:rsidP="000F7CFC">
            <w:pPr>
              <w:spacing w:line="240" w:lineRule="auto"/>
              <w:rPr>
                <w:szCs w:val="24"/>
                <w:lang w:val="en-GB"/>
              </w:rPr>
            </w:pPr>
            <w:r w:rsidRPr="00E63DCC">
              <w:rPr>
                <w:szCs w:val="24"/>
                <w:lang w:val="en-GB"/>
              </w:rPr>
              <w:t>Local investigator</w:t>
            </w:r>
          </w:p>
        </w:tc>
        <w:tc>
          <w:tcPr>
            <w:tcW w:w="4614" w:type="dxa"/>
            <w:shd w:val="clear" w:color="auto" w:fill="auto"/>
            <w:vAlign w:val="center"/>
          </w:tcPr>
          <w:p w14:paraId="4D2EEFA8" w14:textId="77777777" w:rsidR="00BF5831" w:rsidRPr="00E63DCC" w:rsidRDefault="00BF5831" w:rsidP="000F7CFC">
            <w:pPr>
              <w:spacing w:line="240" w:lineRule="auto"/>
              <w:rPr>
                <w:b/>
                <w:szCs w:val="24"/>
                <w:lang w:val="en-GB"/>
              </w:rPr>
            </w:pPr>
          </w:p>
        </w:tc>
      </w:tr>
      <w:tr w:rsidR="00C13ECC" w:rsidRPr="00E63DCC" w14:paraId="25169D1F" w14:textId="77777777" w:rsidTr="000F7CFC">
        <w:trPr>
          <w:trHeight w:val="680"/>
        </w:trPr>
        <w:tc>
          <w:tcPr>
            <w:tcW w:w="4628" w:type="dxa"/>
            <w:shd w:val="clear" w:color="auto" w:fill="auto"/>
            <w:vAlign w:val="center"/>
          </w:tcPr>
          <w:p w14:paraId="26FD6A9D" w14:textId="0A8ACF1B" w:rsidR="00C13ECC" w:rsidRPr="00E63DCC" w:rsidRDefault="00C13ECC" w:rsidP="000F7CFC">
            <w:pPr>
              <w:spacing w:line="240" w:lineRule="auto"/>
              <w:rPr>
                <w:szCs w:val="24"/>
                <w:lang w:val="en-GB"/>
              </w:rPr>
            </w:pPr>
            <w:r w:rsidRPr="00E63DCC">
              <w:rPr>
                <w:szCs w:val="24"/>
                <w:lang w:val="en-GB"/>
              </w:rPr>
              <w:t>Technical adviser</w:t>
            </w:r>
          </w:p>
        </w:tc>
        <w:tc>
          <w:tcPr>
            <w:tcW w:w="4614" w:type="dxa"/>
            <w:shd w:val="clear" w:color="auto" w:fill="auto"/>
            <w:vAlign w:val="center"/>
          </w:tcPr>
          <w:p w14:paraId="62EFD04A" w14:textId="77777777" w:rsidR="00C13ECC" w:rsidRPr="00E63DCC" w:rsidRDefault="00C13ECC" w:rsidP="000F7CFC">
            <w:pPr>
              <w:spacing w:line="240" w:lineRule="auto"/>
              <w:rPr>
                <w:b/>
                <w:szCs w:val="24"/>
                <w:lang w:val="en-GB"/>
              </w:rPr>
            </w:pPr>
          </w:p>
        </w:tc>
      </w:tr>
      <w:tr w:rsidR="00C13ECC" w:rsidRPr="00E63DCC" w14:paraId="1AA73C57" w14:textId="77777777" w:rsidTr="000F7CFC">
        <w:trPr>
          <w:trHeight w:val="680"/>
        </w:trPr>
        <w:tc>
          <w:tcPr>
            <w:tcW w:w="4628" w:type="dxa"/>
            <w:shd w:val="clear" w:color="auto" w:fill="auto"/>
            <w:vAlign w:val="center"/>
          </w:tcPr>
          <w:p w14:paraId="51A56CF3" w14:textId="1E6816EE" w:rsidR="00C13ECC" w:rsidRPr="00E63DCC" w:rsidRDefault="00C13ECC" w:rsidP="000F7CFC">
            <w:pPr>
              <w:spacing w:line="240" w:lineRule="auto"/>
              <w:rPr>
                <w:rFonts w:cs="Arial"/>
                <w:szCs w:val="24"/>
                <w:lang w:val="en-GB"/>
              </w:rPr>
            </w:pPr>
            <w:r w:rsidRPr="00E63DCC">
              <w:rPr>
                <w:rFonts w:cs="Arial"/>
                <w:szCs w:val="24"/>
                <w:lang w:val="en-GB"/>
              </w:rPr>
              <w:t>Support assistant, United Nations agencies</w:t>
            </w:r>
          </w:p>
        </w:tc>
        <w:tc>
          <w:tcPr>
            <w:tcW w:w="4614" w:type="dxa"/>
            <w:shd w:val="clear" w:color="auto" w:fill="auto"/>
            <w:vAlign w:val="center"/>
          </w:tcPr>
          <w:p w14:paraId="5251794C" w14:textId="77777777" w:rsidR="00C13ECC" w:rsidRPr="00E63DCC" w:rsidRDefault="00C13ECC" w:rsidP="000F7CFC">
            <w:pPr>
              <w:spacing w:line="240" w:lineRule="auto"/>
              <w:rPr>
                <w:b/>
                <w:szCs w:val="24"/>
                <w:lang w:val="en-GB"/>
              </w:rPr>
            </w:pPr>
          </w:p>
        </w:tc>
      </w:tr>
      <w:tr w:rsidR="00C13ECC" w:rsidRPr="00E63DCC" w14:paraId="1FDB1E0E" w14:textId="77777777" w:rsidTr="000F7CFC">
        <w:trPr>
          <w:trHeight w:val="680"/>
        </w:trPr>
        <w:tc>
          <w:tcPr>
            <w:tcW w:w="4628" w:type="dxa"/>
            <w:shd w:val="clear" w:color="auto" w:fill="auto"/>
            <w:vAlign w:val="center"/>
          </w:tcPr>
          <w:p w14:paraId="053994A8" w14:textId="4AFAFE32" w:rsidR="00C13ECC" w:rsidRPr="00E63DCC" w:rsidRDefault="00C13ECC" w:rsidP="000F7CFC">
            <w:pPr>
              <w:spacing w:line="240" w:lineRule="auto"/>
              <w:rPr>
                <w:rFonts w:cs="Arial"/>
                <w:szCs w:val="24"/>
                <w:lang w:val="en-GB"/>
              </w:rPr>
            </w:pPr>
            <w:r w:rsidRPr="00E63DCC">
              <w:rPr>
                <w:rFonts w:cs="Arial"/>
                <w:szCs w:val="24"/>
                <w:lang w:val="en-GB"/>
              </w:rPr>
              <w:t>Social mobilization officer I</w:t>
            </w:r>
          </w:p>
        </w:tc>
        <w:tc>
          <w:tcPr>
            <w:tcW w:w="4614" w:type="dxa"/>
            <w:shd w:val="clear" w:color="auto" w:fill="auto"/>
            <w:vAlign w:val="center"/>
          </w:tcPr>
          <w:p w14:paraId="0D08A629" w14:textId="77777777" w:rsidR="00C13ECC" w:rsidRPr="00E63DCC" w:rsidRDefault="00C13ECC" w:rsidP="000F7CFC">
            <w:pPr>
              <w:spacing w:line="240" w:lineRule="auto"/>
              <w:rPr>
                <w:b/>
                <w:szCs w:val="24"/>
                <w:lang w:val="en-GB"/>
              </w:rPr>
            </w:pPr>
          </w:p>
        </w:tc>
      </w:tr>
      <w:tr w:rsidR="00C13ECC" w:rsidRPr="00E63DCC" w14:paraId="36B53D21" w14:textId="77777777" w:rsidTr="000F7CFC">
        <w:trPr>
          <w:trHeight w:val="680"/>
        </w:trPr>
        <w:tc>
          <w:tcPr>
            <w:tcW w:w="4628" w:type="dxa"/>
            <w:shd w:val="clear" w:color="auto" w:fill="auto"/>
            <w:vAlign w:val="center"/>
          </w:tcPr>
          <w:p w14:paraId="3C81DB5E" w14:textId="268B2D5B" w:rsidR="00C13ECC" w:rsidRPr="00E63DCC" w:rsidRDefault="00C13ECC" w:rsidP="000F7CFC">
            <w:pPr>
              <w:spacing w:line="240" w:lineRule="auto"/>
              <w:rPr>
                <w:rFonts w:cs="Arial"/>
                <w:szCs w:val="24"/>
                <w:lang w:val="en-GB"/>
              </w:rPr>
            </w:pPr>
            <w:r w:rsidRPr="00E63DCC">
              <w:rPr>
                <w:rFonts w:cs="Arial"/>
                <w:szCs w:val="24"/>
                <w:lang w:val="en-GB"/>
              </w:rPr>
              <w:t>Social mobilization officer II</w:t>
            </w:r>
          </w:p>
        </w:tc>
        <w:tc>
          <w:tcPr>
            <w:tcW w:w="4614" w:type="dxa"/>
            <w:shd w:val="clear" w:color="auto" w:fill="auto"/>
            <w:vAlign w:val="center"/>
          </w:tcPr>
          <w:p w14:paraId="5CC96F07" w14:textId="77777777" w:rsidR="00C13ECC" w:rsidRPr="00E63DCC" w:rsidRDefault="00C13ECC" w:rsidP="000F7CFC">
            <w:pPr>
              <w:spacing w:line="240" w:lineRule="auto"/>
              <w:rPr>
                <w:b/>
                <w:szCs w:val="24"/>
                <w:lang w:val="en-GB"/>
              </w:rPr>
            </w:pPr>
          </w:p>
        </w:tc>
      </w:tr>
      <w:tr w:rsidR="00C13ECC" w:rsidRPr="00E63DCC" w14:paraId="306EF9B9" w14:textId="77777777" w:rsidTr="000F7CFC">
        <w:trPr>
          <w:trHeight w:val="680"/>
        </w:trPr>
        <w:tc>
          <w:tcPr>
            <w:tcW w:w="4628" w:type="dxa"/>
            <w:shd w:val="clear" w:color="auto" w:fill="auto"/>
            <w:vAlign w:val="center"/>
          </w:tcPr>
          <w:p w14:paraId="3AC35E26" w14:textId="73B683C6" w:rsidR="00C13ECC" w:rsidRPr="00E63DCC" w:rsidRDefault="00C13ECC" w:rsidP="000F7CFC">
            <w:pPr>
              <w:spacing w:line="240" w:lineRule="auto"/>
              <w:rPr>
                <w:rFonts w:cs="Arial"/>
                <w:szCs w:val="24"/>
                <w:lang w:val="en-GB"/>
              </w:rPr>
            </w:pPr>
            <w:r w:rsidRPr="00E63DCC">
              <w:rPr>
                <w:rFonts w:cs="Arial"/>
                <w:szCs w:val="24"/>
                <w:lang w:val="en-GB"/>
              </w:rPr>
              <w:t>Local logistics officer</w:t>
            </w:r>
          </w:p>
        </w:tc>
        <w:tc>
          <w:tcPr>
            <w:tcW w:w="4614" w:type="dxa"/>
            <w:shd w:val="clear" w:color="auto" w:fill="auto"/>
            <w:vAlign w:val="center"/>
          </w:tcPr>
          <w:p w14:paraId="73FF9E76" w14:textId="77777777" w:rsidR="00C13ECC" w:rsidRPr="00E63DCC" w:rsidRDefault="00C13ECC" w:rsidP="000F7CFC">
            <w:pPr>
              <w:spacing w:line="240" w:lineRule="auto"/>
              <w:rPr>
                <w:b/>
                <w:szCs w:val="24"/>
                <w:lang w:val="en-GB"/>
              </w:rPr>
            </w:pPr>
          </w:p>
        </w:tc>
      </w:tr>
      <w:tr w:rsidR="00C13ECC" w:rsidRPr="00E63DCC" w14:paraId="20F81DF9" w14:textId="77777777" w:rsidTr="000F7CFC">
        <w:trPr>
          <w:trHeight w:val="680"/>
        </w:trPr>
        <w:tc>
          <w:tcPr>
            <w:tcW w:w="4628" w:type="dxa"/>
            <w:shd w:val="clear" w:color="auto" w:fill="auto"/>
            <w:vAlign w:val="center"/>
          </w:tcPr>
          <w:p w14:paraId="4DE3F27C" w14:textId="7D431A44" w:rsidR="00C13ECC" w:rsidRPr="00E63DCC" w:rsidRDefault="00C13ECC" w:rsidP="000F7CFC">
            <w:pPr>
              <w:spacing w:line="240" w:lineRule="auto"/>
              <w:rPr>
                <w:rFonts w:cs="Arial"/>
                <w:szCs w:val="24"/>
                <w:lang w:val="en-GB"/>
              </w:rPr>
            </w:pPr>
            <w:r w:rsidRPr="00E63DCC">
              <w:rPr>
                <w:rFonts w:cs="Arial"/>
                <w:szCs w:val="24"/>
                <w:lang w:val="en-GB"/>
              </w:rPr>
              <w:t>Local academic liaison officer</w:t>
            </w:r>
          </w:p>
        </w:tc>
        <w:tc>
          <w:tcPr>
            <w:tcW w:w="4614" w:type="dxa"/>
            <w:shd w:val="clear" w:color="auto" w:fill="auto"/>
            <w:vAlign w:val="center"/>
          </w:tcPr>
          <w:p w14:paraId="3CDA6241" w14:textId="77777777" w:rsidR="00C13ECC" w:rsidRPr="00E63DCC" w:rsidRDefault="00C13ECC" w:rsidP="000F7CFC">
            <w:pPr>
              <w:spacing w:line="240" w:lineRule="auto"/>
              <w:rPr>
                <w:b/>
                <w:szCs w:val="24"/>
                <w:lang w:val="en-GB"/>
              </w:rPr>
            </w:pPr>
          </w:p>
        </w:tc>
      </w:tr>
      <w:tr w:rsidR="00FD067F" w:rsidRPr="00E63DCC" w14:paraId="5C0102BE" w14:textId="77777777" w:rsidTr="000F7CFC">
        <w:trPr>
          <w:trHeight w:val="680"/>
        </w:trPr>
        <w:tc>
          <w:tcPr>
            <w:tcW w:w="4628" w:type="dxa"/>
            <w:shd w:val="clear" w:color="auto" w:fill="auto"/>
            <w:vAlign w:val="center"/>
          </w:tcPr>
          <w:p w14:paraId="4BC47112" w14:textId="51834FEE" w:rsidR="00A44FCA" w:rsidRPr="00E63DCC" w:rsidRDefault="0001157E" w:rsidP="000F7CFC">
            <w:pPr>
              <w:spacing w:line="240" w:lineRule="auto"/>
              <w:rPr>
                <w:rFonts w:cs="Arial"/>
                <w:szCs w:val="24"/>
                <w:lang w:val="en-GB"/>
              </w:rPr>
            </w:pPr>
            <w:r w:rsidRPr="00E63DCC">
              <w:rPr>
                <w:rFonts w:cs="Arial"/>
                <w:szCs w:val="24"/>
                <w:lang w:val="en-GB"/>
              </w:rPr>
              <w:t xml:space="preserve">Local </w:t>
            </w:r>
            <w:r w:rsidR="00C13ECC" w:rsidRPr="00E63DCC">
              <w:rPr>
                <w:rFonts w:cs="Arial"/>
                <w:szCs w:val="24"/>
                <w:lang w:val="en-GB"/>
              </w:rPr>
              <w:t>i</w:t>
            </w:r>
            <w:r w:rsidR="00341A61" w:rsidRPr="00E63DCC">
              <w:rPr>
                <w:rFonts w:cs="Arial"/>
                <w:szCs w:val="24"/>
                <w:lang w:val="en-GB"/>
              </w:rPr>
              <w:t xml:space="preserve">ntergovernmental </w:t>
            </w:r>
            <w:r w:rsidR="00C13ECC" w:rsidRPr="00E63DCC">
              <w:rPr>
                <w:rFonts w:cs="Arial"/>
                <w:szCs w:val="24"/>
                <w:lang w:val="en-GB"/>
              </w:rPr>
              <w:t>c</w:t>
            </w:r>
            <w:r w:rsidR="00341A61" w:rsidRPr="00E63DCC">
              <w:rPr>
                <w:rFonts w:cs="Arial"/>
                <w:szCs w:val="24"/>
                <w:lang w:val="en-GB"/>
              </w:rPr>
              <w:t xml:space="preserve">oordination </w:t>
            </w:r>
            <w:r w:rsidR="00C13ECC" w:rsidRPr="00E63DCC">
              <w:rPr>
                <w:rFonts w:cs="Arial"/>
                <w:szCs w:val="24"/>
                <w:lang w:val="en-GB"/>
              </w:rPr>
              <w:t>o</w:t>
            </w:r>
            <w:r w:rsidR="00341A61" w:rsidRPr="00E63DCC">
              <w:rPr>
                <w:rFonts w:cs="Arial"/>
                <w:szCs w:val="24"/>
                <w:lang w:val="en-GB"/>
              </w:rPr>
              <w:t>fficer</w:t>
            </w:r>
          </w:p>
        </w:tc>
        <w:tc>
          <w:tcPr>
            <w:tcW w:w="4614" w:type="dxa"/>
            <w:shd w:val="clear" w:color="auto" w:fill="auto"/>
            <w:vAlign w:val="center"/>
          </w:tcPr>
          <w:p w14:paraId="39751706" w14:textId="77777777" w:rsidR="00BE23D5" w:rsidRPr="00E63DCC" w:rsidRDefault="00BE23D5" w:rsidP="000F7CFC">
            <w:pPr>
              <w:spacing w:line="240" w:lineRule="auto"/>
              <w:rPr>
                <w:b/>
                <w:szCs w:val="24"/>
                <w:lang w:val="en-GB"/>
              </w:rPr>
            </w:pPr>
          </w:p>
        </w:tc>
      </w:tr>
      <w:tr w:rsidR="00A62394" w:rsidRPr="00E63DCC" w14:paraId="0E02DF48" w14:textId="77777777" w:rsidTr="000F7CFC">
        <w:trPr>
          <w:trHeight w:val="680"/>
        </w:trPr>
        <w:tc>
          <w:tcPr>
            <w:tcW w:w="4628" w:type="dxa"/>
            <w:shd w:val="clear" w:color="auto" w:fill="auto"/>
            <w:vAlign w:val="center"/>
          </w:tcPr>
          <w:p w14:paraId="2DD30A64" w14:textId="01CA3481" w:rsidR="00A62394" w:rsidRPr="00E63DCC" w:rsidRDefault="00FD7BCA" w:rsidP="000F7CFC">
            <w:pPr>
              <w:spacing w:line="240" w:lineRule="auto"/>
              <w:rPr>
                <w:szCs w:val="24"/>
                <w:lang w:val="en-GB"/>
              </w:rPr>
            </w:pPr>
            <w:r w:rsidRPr="00E63DCC">
              <w:rPr>
                <w:szCs w:val="24"/>
                <w:lang w:val="en-GB"/>
              </w:rPr>
              <w:t>Technical expert</w:t>
            </w:r>
            <w:r w:rsidR="00C13ECC" w:rsidRPr="00E63DCC">
              <w:rPr>
                <w:szCs w:val="24"/>
                <w:lang w:val="en-GB"/>
              </w:rPr>
              <w:t>,</w:t>
            </w:r>
            <w:r w:rsidRPr="00E63DCC">
              <w:rPr>
                <w:szCs w:val="24"/>
                <w:lang w:val="en-GB"/>
              </w:rPr>
              <w:t xml:space="preserve"> health assessment</w:t>
            </w:r>
          </w:p>
        </w:tc>
        <w:tc>
          <w:tcPr>
            <w:tcW w:w="4614" w:type="dxa"/>
            <w:shd w:val="clear" w:color="auto" w:fill="auto"/>
            <w:vAlign w:val="center"/>
          </w:tcPr>
          <w:p w14:paraId="26B878E6" w14:textId="77777777" w:rsidR="00A62394" w:rsidRPr="00E63DCC" w:rsidRDefault="00A62394" w:rsidP="000F7CFC">
            <w:pPr>
              <w:spacing w:line="240" w:lineRule="auto"/>
              <w:rPr>
                <w:szCs w:val="24"/>
                <w:lang w:val="en-GB"/>
              </w:rPr>
            </w:pPr>
          </w:p>
        </w:tc>
      </w:tr>
      <w:tr w:rsidR="00A62394" w:rsidRPr="00E63DCC" w14:paraId="7558B496" w14:textId="77777777" w:rsidTr="000F7CFC">
        <w:trPr>
          <w:trHeight w:val="680"/>
        </w:trPr>
        <w:tc>
          <w:tcPr>
            <w:tcW w:w="4628" w:type="dxa"/>
            <w:shd w:val="clear" w:color="auto" w:fill="auto"/>
            <w:vAlign w:val="center"/>
          </w:tcPr>
          <w:p w14:paraId="1F3C8AD3" w14:textId="359E36A0" w:rsidR="00A62394" w:rsidRPr="00E63DCC" w:rsidRDefault="00063D95" w:rsidP="000F7CFC">
            <w:pPr>
              <w:spacing w:line="240" w:lineRule="auto"/>
              <w:rPr>
                <w:szCs w:val="24"/>
                <w:lang w:val="en-GB"/>
              </w:rPr>
            </w:pPr>
            <w:r w:rsidRPr="00E63DCC">
              <w:rPr>
                <w:szCs w:val="24"/>
                <w:lang w:val="en-GB"/>
              </w:rPr>
              <w:t xml:space="preserve">Project </w:t>
            </w:r>
            <w:r w:rsidR="00C13ECC" w:rsidRPr="00E63DCC">
              <w:rPr>
                <w:szCs w:val="24"/>
                <w:lang w:val="en-GB"/>
              </w:rPr>
              <w:t>c</w:t>
            </w:r>
            <w:r w:rsidR="009F1A4A" w:rsidRPr="00E63DCC">
              <w:rPr>
                <w:szCs w:val="24"/>
                <w:lang w:val="en-GB"/>
              </w:rPr>
              <w:t>oordinator</w:t>
            </w:r>
          </w:p>
        </w:tc>
        <w:tc>
          <w:tcPr>
            <w:tcW w:w="4614" w:type="dxa"/>
            <w:shd w:val="clear" w:color="auto" w:fill="auto"/>
            <w:vAlign w:val="center"/>
          </w:tcPr>
          <w:p w14:paraId="2FB2B1B8" w14:textId="42025BC0" w:rsidR="00FD7BCA" w:rsidRPr="00E63DCC" w:rsidRDefault="00FD7BCA" w:rsidP="000F7CFC">
            <w:pPr>
              <w:spacing w:line="240" w:lineRule="auto"/>
              <w:rPr>
                <w:b/>
                <w:szCs w:val="24"/>
                <w:lang w:val="en-GB"/>
              </w:rPr>
            </w:pPr>
          </w:p>
        </w:tc>
      </w:tr>
    </w:tbl>
    <w:p w14:paraId="2FACEE43" w14:textId="77777777" w:rsidR="00A62394" w:rsidRPr="00E63DCC" w:rsidRDefault="00A62394" w:rsidP="00A5640C">
      <w:pPr>
        <w:rPr>
          <w:lang w:val="en-GB"/>
        </w:rPr>
      </w:pPr>
    </w:p>
    <w:p w14:paraId="183D3AC9" w14:textId="77777777" w:rsidR="00A62394" w:rsidRPr="00E63DCC" w:rsidRDefault="00A62394" w:rsidP="00A5640C">
      <w:pPr>
        <w:rPr>
          <w:lang w:val="en-GB"/>
        </w:rPr>
      </w:pPr>
      <w:r w:rsidRPr="00E63DCC">
        <w:rPr>
          <w:lang w:val="en-GB"/>
        </w:rPr>
        <w:br w:type="page"/>
      </w:r>
    </w:p>
    <w:p w14:paraId="0004FE93" w14:textId="78730B42" w:rsidR="008C07CF" w:rsidRPr="00E63DCC" w:rsidRDefault="00291AF5" w:rsidP="00A5640C">
      <w:pPr>
        <w:pStyle w:val="Heading1"/>
      </w:pPr>
      <w:bookmarkStart w:id="10" w:name="_Toc70926737"/>
      <w:bookmarkStart w:id="11" w:name="_Toc70926798"/>
      <w:r w:rsidRPr="00E63DCC">
        <w:lastRenderedPageBreak/>
        <w:t>1.</w:t>
      </w:r>
      <w:r w:rsidRPr="00E63DCC">
        <w:tab/>
        <w:t>I</w:t>
      </w:r>
      <w:r w:rsidR="003F6E11" w:rsidRPr="00E63DCC">
        <w:t>ntroduction</w:t>
      </w:r>
      <w:bookmarkEnd w:id="10"/>
      <w:bookmarkEnd w:id="11"/>
    </w:p>
    <w:p w14:paraId="5AA700CD" w14:textId="7D83FEBC" w:rsidR="008C07CF" w:rsidRPr="00E63DCC" w:rsidRDefault="00CD5662" w:rsidP="003E5366">
      <w:pPr>
        <w:pStyle w:val="Heading2"/>
        <w:rPr>
          <w:lang w:val="en-GB"/>
        </w:rPr>
      </w:pPr>
      <w:bookmarkStart w:id="12" w:name="_Toc70926799"/>
      <w:r w:rsidRPr="00E63DCC">
        <w:rPr>
          <w:lang w:val="en-GB"/>
        </w:rPr>
        <w:t>1.1</w:t>
      </w:r>
      <w:r w:rsidRPr="00E63DCC">
        <w:rPr>
          <w:lang w:val="en-GB"/>
        </w:rPr>
        <w:tab/>
        <w:t>A</w:t>
      </w:r>
      <w:r w:rsidR="003F6E11" w:rsidRPr="00E63DCC">
        <w:rPr>
          <w:lang w:val="en-GB"/>
        </w:rPr>
        <w:t>rtisanal and small-scale gold mining</w:t>
      </w:r>
      <w:r w:rsidR="005D12D9" w:rsidRPr="00E63DCC">
        <w:rPr>
          <w:lang w:val="en-GB"/>
        </w:rPr>
        <w:t xml:space="preserve"> and health</w:t>
      </w:r>
      <w:bookmarkEnd w:id="12"/>
    </w:p>
    <w:p w14:paraId="42C3D519" w14:textId="4D9B1A70" w:rsidR="00D41440" w:rsidRPr="00E63DCC" w:rsidRDefault="008C07CF" w:rsidP="00A5640C">
      <w:pPr>
        <w:rPr>
          <w:lang w:val="en-GB"/>
        </w:rPr>
      </w:pPr>
      <w:r w:rsidRPr="00E63DCC">
        <w:rPr>
          <w:lang w:val="en-GB"/>
        </w:rPr>
        <w:t>Artisanal and small-scale gold mining (ASGM) is</w:t>
      </w:r>
      <w:r w:rsidR="00AF6321" w:rsidRPr="00E63DCC">
        <w:rPr>
          <w:lang w:val="en-GB"/>
        </w:rPr>
        <w:t>,</w:t>
      </w:r>
      <w:r w:rsidRPr="00E63DCC">
        <w:rPr>
          <w:lang w:val="en-GB"/>
        </w:rPr>
        <w:t xml:space="preserve"> broadly speaking</w:t>
      </w:r>
      <w:r w:rsidR="00AF6321" w:rsidRPr="00E63DCC">
        <w:rPr>
          <w:lang w:val="en-GB"/>
        </w:rPr>
        <w:t>,</w:t>
      </w:r>
      <w:r w:rsidRPr="00E63DCC">
        <w:rPr>
          <w:lang w:val="en-GB"/>
        </w:rPr>
        <w:t xml:space="preserve"> the exploitation of smaller </w:t>
      </w:r>
      <w:r w:rsidR="00BF4A5E" w:rsidRPr="00E63DCC">
        <w:rPr>
          <w:lang w:val="en-GB"/>
        </w:rPr>
        <w:t>gold</w:t>
      </w:r>
      <w:r w:rsidRPr="00E63DCC">
        <w:rPr>
          <w:lang w:val="en-GB"/>
        </w:rPr>
        <w:t xml:space="preserve"> deposits by individuals, small groups or </w:t>
      </w:r>
      <w:r w:rsidR="00BF4A5E" w:rsidRPr="00E63DCC">
        <w:rPr>
          <w:lang w:val="en-GB"/>
        </w:rPr>
        <w:t xml:space="preserve">small </w:t>
      </w:r>
      <w:r w:rsidRPr="00E63DCC">
        <w:rPr>
          <w:lang w:val="en-GB"/>
        </w:rPr>
        <w:t>cooperatives</w:t>
      </w:r>
      <w:r w:rsidR="00CD5662" w:rsidRPr="00E63DCC">
        <w:rPr>
          <w:lang w:val="en-GB"/>
        </w:rPr>
        <w:t xml:space="preserve"> </w:t>
      </w:r>
      <w:r w:rsidR="00CD5662" w:rsidRPr="00E63DCC">
        <w:rPr>
          <w:i/>
          <w:lang w:val="en-GB"/>
        </w:rPr>
        <w:t>(1)</w:t>
      </w:r>
      <w:r w:rsidR="00D95825" w:rsidRPr="00E63DCC">
        <w:rPr>
          <w:lang w:val="en-GB"/>
        </w:rPr>
        <w:t>.</w:t>
      </w:r>
      <w:r w:rsidRPr="00E63DCC">
        <w:rPr>
          <w:lang w:val="en-GB"/>
        </w:rPr>
        <w:t xml:space="preserve"> ASGM</w:t>
      </w:r>
      <w:r w:rsidR="00CD5662" w:rsidRPr="00E63DCC">
        <w:rPr>
          <w:lang w:val="en-GB"/>
        </w:rPr>
        <w:t xml:space="preserve"> is</w:t>
      </w:r>
      <w:r w:rsidRPr="00E63DCC">
        <w:rPr>
          <w:lang w:val="en-GB"/>
        </w:rPr>
        <w:t xml:space="preserve"> </w:t>
      </w:r>
      <w:r w:rsidR="00EF3F89" w:rsidRPr="00E63DCC">
        <w:rPr>
          <w:lang w:val="en-GB"/>
        </w:rPr>
        <w:t>often</w:t>
      </w:r>
      <w:r w:rsidRPr="00E63DCC">
        <w:rPr>
          <w:lang w:val="en-GB"/>
        </w:rPr>
        <w:t xml:space="preserve"> </w:t>
      </w:r>
      <w:r w:rsidR="00593C35" w:rsidRPr="00E63DCC">
        <w:rPr>
          <w:lang w:val="en-GB"/>
        </w:rPr>
        <w:t>labour</w:t>
      </w:r>
      <w:r w:rsidRPr="00E63DCC">
        <w:rPr>
          <w:lang w:val="en-GB"/>
        </w:rPr>
        <w:t xml:space="preserve">-intensive work using no or limited mechanization </w:t>
      </w:r>
      <w:r w:rsidR="009F1A4A" w:rsidRPr="00E63DCC">
        <w:rPr>
          <w:lang w:val="en-GB"/>
        </w:rPr>
        <w:t xml:space="preserve">and </w:t>
      </w:r>
      <w:r w:rsidR="00EF3F89" w:rsidRPr="00E63DCC">
        <w:rPr>
          <w:lang w:val="en-GB"/>
        </w:rPr>
        <w:t xml:space="preserve">may have </w:t>
      </w:r>
      <w:r w:rsidRPr="00E63DCC">
        <w:rPr>
          <w:lang w:val="en-GB"/>
        </w:rPr>
        <w:t xml:space="preserve">low recovery </w:t>
      </w:r>
      <w:r w:rsidR="00EF3F89" w:rsidRPr="00E63DCC">
        <w:rPr>
          <w:lang w:val="en-GB"/>
        </w:rPr>
        <w:t>rates</w:t>
      </w:r>
      <w:r w:rsidRPr="00E63DCC">
        <w:rPr>
          <w:lang w:val="en-GB"/>
        </w:rPr>
        <w:t xml:space="preserve">. The </w:t>
      </w:r>
      <w:r w:rsidR="00EF3F89" w:rsidRPr="00E63DCC">
        <w:rPr>
          <w:lang w:val="en-GB"/>
        </w:rPr>
        <w:t xml:space="preserve">sector </w:t>
      </w:r>
      <w:r w:rsidRPr="00E63DCC">
        <w:rPr>
          <w:lang w:val="en-GB"/>
        </w:rPr>
        <w:t xml:space="preserve">is </w:t>
      </w:r>
      <w:r w:rsidR="00EF3F89" w:rsidRPr="00E63DCC">
        <w:rPr>
          <w:lang w:val="en-GB"/>
        </w:rPr>
        <w:t xml:space="preserve">often </w:t>
      </w:r>
      <w:r w:rsidRPr="00E63DCC">
        <w:rPr>
          <w:lang w:val="en-GB"/>
        </w:rPr>
        <w:t>characterized by low levels of capital, productivity</w:t>
      </w:r>
      <w:r w:rsidR="00CD5662" w:rsidRPr="00E63DCC">
        <w:rPr>
          <w:lang w:val="en-GB"/>
        </w:rPr>
        <w:t xml:space="preserve"> and</w:t>
      </w:r>
      <w:r w:rsidRPr="00E63DCC">
        <w:rPr>
          <w:lang w:val="en-GB"/>
        </w:rPr>
        <w:t xml:space="preserve"> occupational safety, and limited access to land and trading markets. ASGM is practi</w:t>
      </w:r>
      <w:r w:rsidR="00CD5662" w:rsidRPr="00E63DCC">
        <w:rPr>
          <w:lang w:val="en-GB"/>
        </w:rPr>
        <w:t>s</w:t>
      </w:r>
      <w:r w:rsidRPr="00E63DCC">
        <w:rPr>
          <w:lang w:val="en-GB"/>
        </w:rPr>
        <w:t>ed in over 70 countries. An estimated 10</w:t>
      </w:r>
      <w:r w:rsidR="00CD5662" w:rsidRPr="00E63DCC">
        <w:rPr>
          <w:lang w:val="en-GB"/>
        </w:rPr>
        <w:t>–</w:t>
      </w:r>
      <w:r w:rsidRPr="00E63DCC">
        <w:rPr>
          <w:lang w:val="en-GB"/>
        </w:rPr>
        <w:t>15 million people are involved in ASGM, including 4</w:t>
      </w:r>
      <w:r w:rsidR="00CD5662" w:rsidRPr="00E63DCC">
        <w:rPr>
          <w:lang w:val="en-GB"/>
        </w:rPr>
        <w:t>–</w:t>
      </w:r>
      <w:r w:rsidRPr="00E63DCC">
        <w:rPr>
          <w:lang w:val="en-GB"/>
        </w:rPr>
        <w:t>5</w:t>
      </w:r>
      <w:r w:rsidR="00CD5662" w:rsidRPr="00E63DCC">
        <w:rPr>
          <w:lang w:val="en-GB"/>
        </w:rPr>
        <w:t xml:space="preserve"> million</w:t>
      </w:r>
      <w:r w:rsidRPr="00E63DCC">
        <w:rPr>
          <w:lang w:val="en-GB"/>
        </w:rPr>
        <w:t xml:space="preserve"> women and 1 million children, whereas a further 80</w:t>
      </w:r>
      <w:r w:rsidR="00CD5662" w:rsidRPr="00E63DCC">
        <w:rPr>
          <w:lang w:val="en-GB"/>
        </w:rPr>
        <w:t>–</w:t>
      </w:r>
      <w:r w:rsidRPr="00E63DCC">
        <w:rPr>
          <w:lang w:val="en-GB"/>
        </w:rPr>
        <w:t>100 million people’s livelihoods are affected by ASGM</w:t>
      </w:r>
      <w:r w:rsidR="00CD5662" w:rsidRPr="00E63DCC">
        <w:rPr>
          <w:lang w:val="en-GB"/>
        </w:rPr>
        <w:t xml:space="preserve"> </w:t>
      </w:r>
      <w:r w:rsidR="00CD5662" w:rsidRPr="00E63DCC">
        <w:rPr>
          <w:i/>
          <w:lang w:val="en-GB"/>
        </w:rPr>
        <w:t>(2, 3)</w:t>
      </w:r>
      <w:r w:rsidR="00CD5662" w:rsidRPr="00E63DCC">
        <w:rPr>
          <w:lang w:val="en-GB"/>
        </w:rPr>
        <w:t>.</w:t>
      </w:r>
      <w:r w:rsidRPr="00E63DCC">
        <w:rPr>
          <w:lang w:val="en-GB"/>
        </w:rPr>
        <w:t xml:space="preserve"> ASGM is an important activity in many developing countries</w:t>
      </w:r>
      <w:r w:rsidR="00CD5662" w:rsidRPr="00E63DCC">
        <w:rPr>
          <w:lang w:val="en-GB"/>
        </w:rPr>
        <w:t>,</w:t>
      </w:r>
      <w:r w:rsidRPr="00E63DCC">
        <w:rPr>
          <w:lang w:val="en-GB"/>
        </w:rPr>
        <w:t xml:space="preserve"> as it provides a primary and additional source of income, particularly in rural regions where economic alternatives to agriculture are limited.</w:t>
      </w:r>
      <w:r w:rsidR="00BF4A5E" w:rsidRPr="00E63DCC">
        <w:rPr>
          <w:lang w:val="en-GB"/>
        </w:rPr>
        <w:t xml:space="preserve"> The ASGM sector </w:t>
      </w:r>
      <w:r w:rsidR="00EF3F89" w:rsidRPr="00E63DCC">
        <w:rPr>
          <w:lang w:val="en-GB"/>
        </w:rPr>
        <w:t xml:space="preserve">is estimated to </w:t>
      </w:r>
      <w:r w:rsidR="00593C35" w:rsidRPr="00E63DCC">
        <w:rPr>
          <w:lang w:val="en-GB"/>
        </w:rPr>
        <w:t>contribute</w:t>
      </w:r>
      <w:r w:rsidR="00BF4A5E" w:rsidRPr="00E63DCC">
        <w:rPr>
          <w:lang w:val="en-GB"/>
        </w:rPr>
        <w:t xml:space="preserve"> about </w:t>
      </w:r>
      <w:r w:rsidR="00593C35" w:rsidRPr="00E63DCC">
        <w:rPr>
          <w:lang w:val="en-GB"/>
        </w:rPr>
        <w:t xml:space="preserve">25% of global gold </w:t>
      </w:r>
      <w:r w:rsidR="00CD5662" w:rsidRPr="00E63DCC">
        <w:rPr>
          <w:lang w:val="en-GB"/>
        </w:rPr>
        <w:t xml:space="preserve">production </w:t>
      </w:r>
      <w:r w:rsidR="00CD5662" w:rsidRPr="00E63DCC">
        <w:rPr>
          <w:i/>
          <w:lang w:val="en-GB"/>
        </w:rPr>
        <w:t>(4)</w:t>
      </w:r>
      <w:r w:rsidR="00AF6321" w:rsidRPr="00E63DCC">
        <w:rPr>
          <w:lang w:val="en-GB"/>
        </w:rPr>
        <w:t>.</w:t>
      </w:r>
      <w:r w:rsidR="00CD5662" w:rsidRPr="00E63DCC">
        <w:rPr>
          <w:lang w:val="en-GB"/>
        </w:rPr>
        <w:t xml:space="preserve"> </w:t>
      </w:r>
      <w:r w:rsidR="00D41440" w:rsidRPr="00E63DCC">
        <w:rPr>
          <w:lang w:val="en-GB"/>
        </w:rPr>
        <w:t>[Please further develop this introductory section by modifying the first paragraph and adding an additional paragraph that provides background information on ASGM in the study country (</w:t>
      </w:r>
      <w:r w:rsidR="00CD5662" w:rsidRPr="00E63DCC">
        <w:rPr>
          <w:lang w:val="en-GB"/>
        </w:rPr>
        <w:t xml:space="preserve">for example, </w:t>
      </w:r>
      <w:r w:rsidR="00D41440" w:rsidRPr="00E63DCC">
        <w:rPr>
          <w:lang w:val="en-GB"/>
        </w:rPr>
        <w:t>number of people working in this sector, known health issues associated with ASGM, motivation for further investigation).]</w:t>
      </w:r>
    </w:p>
    <w:p w14:paraId="101DB61A" w14:textId="77777777" w:rsidR="009E4347" w:rsidRPr="00E63DCC" w:rsidRDefault="00172DD3" w:rsidP="009E4347">
      <w:pPr>
        <w:pStyle w:val="Normalboldhead"/>
      </w:pPr>
      <w:r w:rsidRPr="00E63DCC">
        <w:t xml:space="preserve">Example from Nigeria [delete in final version of your study protocol]: </w:t>
      </w:r>
    </w:p>
    <w:p w14:paraId="0310A818" w14:textId="2C29144B" w:rsidR="00172DD3" w:rsidRPr="00E63DCC" w:rsidRDefault="00172DD3" w:rsidP="00A5640C">
      <w:pPr>
        <w:rPr>
          <w:lang w:val="en-GB"/>
        </w:rPr>
      </w:pPr>
      <w:r w:rsidRPr="00E63DCC">
        <w:rPr>
          <w:lang w:val="en-GB"/>
        </w:rPr>
        <w:t xml:space="preserve">ASGM-related health hazards can be categorized </w:t>
      </w:r>
      <w:r w:rsidR="00CD5662" w:rsidRPr="00E63DCC">
        <w:rPr>
          <w:lang w:val="en-GB"/>
        </w:rPr>
        <w:t>as</w:t>
      </w:r>
      <w:r w:rsidRPr="00E63DCC">
        <w:rPr>
          <w:lang w:val="en-GB"/>
        </w:rPr>
        <w:t xml:space="preserve"> chemical (e.g. mercury, cyanide, arsenic, lead), biological (e.g. water- and waste-related diseases, sexually transmitted infections), biomechanical (e.g. traumas, overexertion), physical (e.g. noise, low oxygen levels) and psychosocial (e.g. drug abuse, stress, fatigue)</w:t>
      </w:r>
      <w:r w:rsidR="00CD5662" w:rsidRPr="00E63DCC">
        <w:rPr>
          <w:lang w:val="en-GB"/>
        </w:rPr>
        <w:t xml:space="preserve"> </w:t>
      </w:r>
      <w:r w:rsidR="00CD5662" w:rsidRPr="00E63DCC">
        <w:rPr>
          <w:i/>
          <w:lang w:val="en-GB"/>
        </w:rPr>
        <w:t>(5)</w:t>
      </w:r>
      <w:r w:rsidRPr="00E63DCC">
        <w:rPr>
          <w:lang w:val="en-GB"/>
        </w:rPr>
        <w:t>.</w:t>
      </w:r>
    </w:p>
    <w:p w14:paraId="1B5DB93B" w14:textId="70CB3E59" w:rsidR="00172DD3" w:rsidRPr="00E63DCC" w:rsidRDefault="00172DD3" w:rsidP="00A5640C">
      <w:pPr>
        <w:rPr>
          <w:lang w:val="en-GB"/>
        </w:rPr>
      </w:pPr>
      <w:r w:rsidRPr="00E63DCC">
        <w:rPr>
          <w:lang w:val="en-GB"/>
        </w:rPr>
        <w:t>Many countries are taking active steps to reduce and where possible eliminate the use of mercury in ASGM process</w:t>
      </w:r>
      <w:r w:rsidR="00CD2407" w:rsidRPr="00E63DCC">
        <w:rPr>
          <w:lang w:val="en-GB"/>
        </w:rPr>
        <w:t>es</w:t>
      </w:r>
      <w:r w:rsidRPr="00E63DCC">
        <w:rPr>
          <w:lang w:val="en-GB"/>
        </w:rPr>
        <w:t>. However, due to its low cost, easy use and widespread availability, mercury amalgamation remains the preferred method employed in ASGM to extract gold. Consequently, mercury is used in ASGM in more than 70 countries and represents the largest global demand sector for mercury, with approximately 1600 ton</w:t>
      </w:r>
      <w:r w:rsidR="00CD2407" w:rsidRPr="00E63DCC">
        <w:rPr>
          <w:lang w:val="en-GB"/>
        </w:rPr>
        <w:t>ne</w:t>
      </w:r>
      <w:r w:rsidRPr="00E63DCC">
        <w:rPr>
          <w:lang w:val="en-GB"/>
        </w:rPr>
        <w:t>s per year used. ASGM is also estimated to be the largest source of anthropogenic mercury emissions to the environment</w:t>
      </w:r>
      <w:r w:rsidR="00CD2407" w:rsidRPr="00E63DCC">
        <w:rPr>
          <w:lang w:val="en-GB"/>
        </w:rPr>
        <w:t xml:space="preserve"> </w:t>
      </w:r>
      <w:r w:rsidR="00CD2407" w:rsidRPr="00E63DCC">
        <w:rPr>
          <w:i/>
          <w:lang w:val="en-GB"/>
        </w:rPr>
        <w:t>(4, 6)</w:t>
      </w:r>
      <w:r w:rsidRPr="00E63DCC">
        <w:rPr>
          <w:lang w:val="en-GB"/>
        </w:rPr>
        <w:t>.</w:t>
      </w:r>
    </w:p>
    <w:p w14:paraId="424AB3E9" w14:textId="56E4D03F" w:rsidR="008C07CF" w:rsidRPr="00E63DCC" w:rsidRDefault="00790A06" w:rsidP="00A5640C">
      <w:pPr>
        <w:pStyle w:val="Heading2"/>
        <w:rPr>
          <w:lang w:val="en-GB"/>
        </w:rPr>
      </w:pPr>
      <w:bookmarkStart w:id="13" w:name="_Toc70926800"/>
      <w:r w:rsidRPr="00E63DCC">
        <w:rPr>
          <w:lang w:val="en-GB"/>
        </w:rPr>
        <w:t>1.2</w:t>
      </w:r>
      <w:r w:rsidRPr="00E63DCC">
        <w:rPr>
          <w:lang w:val="en-GB"/>
        </w:rPr>
        <w:tab/>
        <w:t>R</w:t>
      </w:r>
      <w:r w:rsidR="008C07CF" w:rsidRPr="00E63DCC">
        <w:rPr>
          <w:lang w:val="en-GB"/>
        </w:rPr>
        <w:t>ationale for the study</w:t>
      </w:r>
      <w:bookmarkEnd w:id="13"/>
    </w:p>
    <w:p w14:paraId="4847D36B" w14:textId="7BB001E3" w:rsidR="0031708F" w:rsidRPr="00E63DCC" w:rsidRDefault="00D95825" w:rsidP="00A5640C">
      <w:pPr>
        <w:rPr>
          <w:lang w:val="en-GB"/>
        </w:rPr>
      </w:pPr>
      <w:r w:rsidRPr="00E63DCC">
        <w:rPr>
          <w:lang w:val="en-GB"/>
        </w:rPr>
        <w:t>The Minamata Convention on Mercury, adopted in 2013, is an international environmental treaty designed to protect human health and the environment from anthropogenic emissions and releases of mercury and mercury compounds</w:t>
      </w:r>
      <w:r w:rsidR="00790A06" w:rsidRPr="00E63DCC">
        <w:rPr>
          <w:lang w:val="en-GB"/>
        </w:rPr>
        <w:t xml:space="preserve"> </w:t>
      </w:r>
      <w:r w:rsidR="00790A06" w:rsidRPr="00E63DCC">
        <w:rPr>
          <w:i/>
          <w:lang w:val="en-GB"/>
        </w:rPr>
        <w:t>(7)</w:t>
      </w:r>
      <w:r w:rsidRPr="00E63DCC">
        <w:rPr>
          <w:lang w:val="en-GB"/>
        </w:rPr>
        <w:t xml:space="preserve">. The Convention was named after the Japanese city Minamata, which suffered a devastating incident of mercury poisoning. In paragraph 3(a) of </w:t>
      </w:r>
      <w:r w:rsidR="000144F9" w:rsidRPr="00E63DCC">
        <w:rPr>
          <w:lang w:val="en-GB"/>
        </w:rPr>
        <w:t>A</w:t>
      </w:r>
      <w:r w:rsidRPr="00E63DCC">
        <w:rPr>
          <w:lang w:val="en-GB"/>
        </w:rPr>
        <w:t>rticle 7 (see A</w:t>
      </w:r>
      <w:r w:rsidR="009B5E59" w:rsidRPr="00E63DCC">
        <w:rPr>
          <w:lang w:val="en-GB"/>
        </w:rPr>
        <w:t>ppendix</w:t>
      </w:r>
      <w:r w:rsidRPr="00E63DCC">
        <w:rPr>
          <w:lang w:val="en-GB"/>
        </w:rPr>
        <w:t xml:space="preserve"> </w:t>
      </w:r>
      <w:r w:rsidR="002F4516" w:rsidRPr="00E63DCC">
        <w:rPr>
          <w:lang w:val="en-GB"/>
        </w:rPr>
        <w:t>A</w:t>
      </w:r>
      <w:r w:rsidRPr="00E63DCC">
        <w:rPr>
          <w:lang w:val="en-GB"/>
        </w:rPr>
        <w:t xml:space="preserve"> </w:t>
      </w:r>
      <w:r w:rsidR="009B5E59" w:rsidRPr="00E63DCC">
        <w:rPr>
          <w:lang w:val="en-GB"/>
        </w:rPr>
        <w:t>to</w:t>
      </w:r>
      <w:r w:rsidRPr="00E63DCC">
        <w:rPr>
          <w:lang w:val="en-GB"/>
        </w:rPr>
        <w:t xml:space="preserve"> this document), the Minamata Convention on Mercury obligates each Party that has more than insignificant ASGM in its territory to develop and implement a national action</w:t>
      </w:r>
      <w:r w:rsidR="009E4BB6" w:rsidRPr="00E63DCC">
        <w:rPr>
          <w:lang w:val="en-GB"/>
        </w:rPr>
        <w:t xml:space="preserve"> plan (NAP) in accordance with A</w:t>
      </w:r>
      <w:r w:rsidRPr="00E63DCC">
        <w:rPr>
          <w:lang w:val="en-GB"/>
        </w:rPr>
        <w:t>nnex C to the Convention (see A</w:t>
      </w:r>
      <w:r w:rsidR="009B5E59" w:rsidRPr="00E63DCC">
        <w:rPr>
          <w:lang w:val="en-GB"/>
        </w:rPr>
        <w:t>ppendix</w:t>
      </w:r>
      <w:r w:rsidRPr="00E63DCC">
        <w:rPr>
          <w:lang w:val="en-GB"/>
        </w:rPr>
        <w:t xml:space="preserve"> </w:t>
      </w:r>
      <w:r w:rsidR="002F4516" w:rsidRPr="00E63DCC">
        <w:rPr>
          <w:lang w:val="en-GB"/>
        </w:rPr>
        <w:t>B</w:t>
      </w:r>
      <w:r w:rsidRPr="00E63DCC">
        <w:rPr>
          <w:lang w:val="en-GB"/>
        </w:rPr>
        <w:t xml:space="preserve"> </w:t>
      </w:r>
      <w:r w:rsidR="009B5E59" w:rsidRPr="00E63DCC">
        <w:rPr>
          <w:lang w:val="en-GB"/>
        </w:rPr>
        <w:t>to</w:t>
      </w:r>
      <w:r w:rsidRPr="00E63DCC">
        <w:rPr>
          <w:lang w:val="en-GB"/>
        </w:rPr>
        <w:t xml:space="preserve"> this document). </w:t>
      </w:r>
    </w:p>
    <w:p w14:paraId="1AFB4130" w14:textId="3F98F349" w:rsidR="00D95825" w:rsidRPr="00E63DCC" w:rsidRDefault="0035314E" w:rsidP="00A5640C">
      <w:pPr>
        <w:rPr>
          <w:lang w:val="en-GB"/>
        </w:rPr>
      </w:pPr>
      <w:r w:rsidRPr="00E63DCC">
        <w:rPr>
          <w:lang w:val="en-GB"/>
        </w:rPr>
        <w:lastRenderedPageBreak/>
        <w:t>Paragraph 1</w:t>
      </w:r>
      <w:r w:rsidR="009E4BB6" w:rsidRPr="00E63DCC">
        <w:rPr>
          <w:lang w:val="en-GB"/>
        </w:rPr>
        <w:t>(h) of A</w:t>
      </w:r>
      <w:r w:rsidR="00D95825" w:rsidRPr="00E63DCC">
        <w:rPr>
          <w:lang w:val="en-GB"/>
        </w:rPr>
        <w:t>nnex C</w:t>
      </w:r>
      <w:r w:rsidR="00B51BFB" w:rsidRPr="00E63DCC">
        <w:rPr>
          <w:lang w:val="en-GB"/>
        </w:rPr>
        <w:t xml:space="preserve"> states </w:t>
      </w:r>
      <w:r w:rsidR="00D95825" w:rsidRPr="00E63DCC">
        <w:rPr>
          <w:lang w:val="en-GB"/>
        </w:rPr>
        <w:t xml:space="preserve">that </w:t>
      </w:r>
      <w:r w:rsidR="00B51BFB" w:rsidRPr="00E63DCC">
        <w:rPr>
          <w:lang w:val="en-GB"/>
        </w:rPr>
        <w:t>the</w:t>
      </w:r>
      <w:r w:rsidR="00D95825" w:rsidRPr="00E63DCC">
        <w:rPr>
          <w:lang w:val="en-GB"/>
        </w:rPr>
        <w:t xml:space="preserve"> NAP</w:t>
      </w:r>
      <w:r w:rsidR="00B51BFB" w:rsidRPr="00E63DCC">
        <w:rPr>
          <w:lang w:val="en-GB"/>
        </w:rPr>
        <w:t xml:space="preserve"> shall </w:t>
      </w:r>
      <w:r w:rsidR="00D95825" w:rsidRPr="00E63DCC">
        <w:rPr>
          <w:lang w:val="en-GB"/>
        </w:rPr>
        <w:t>include a public health strategy on the exposure of artisanal and small-scale miners and their communities</w:t>
      </w:r>
      <w:r w:rsidR="00B51BFB" w:rsidRPr="00E63DCC">
        <w:rPr>
          <w:lang w:val="en-GB"/>
        </w:rPr>
        <w:t>. The</w:t>
      </w:r>
      <w:r w:rsidR="00D95825" w:rsidRPr="00E63DCC">
        <w:rPr>
          <w:lang w:val="en-GB"/>
        </w:rPr>
        <w:t xml:space="preserve"> public health strateg</w:t>
      </w:r>
      <w:r w:rsidR="00B51BFB" w:rsidRPr="00E63DCC">
        <w:rPr>
          <w:lang w:val="en-GB"/>
        </w:rPr>
        <w:t xml:space="preserve">y should </w:t>
      </w:r>
      <w:r w:rsidR="00D95825" w:rsidRPr="00E63DCC">
        <w:rPr>
          <w:lang w:val="en-GB"/>
        </w:rPr>
        <w:t>include</w:t>
      </w:r>
      <w:r w:rsidR="00B51BFB" w:rsidRPr="00E63DCC">
        <w:rPr>
          <w:lang w:val="en-GB"/>
        </w:rPr>
        <w:t>,</w:t>
      </w:r>
      <w:r w:rsidR="00D95825" w:rsidRPr="00E63DCC">
        <w:rPr>
          <w:lang w:val="en-GB"/>
        </w:rPr>
        <w:t xml:space="preserve"> inter alia, the gathering of health data, training for health care workers, and awareness-raising through health facilities. The World Health Organization (WHO) has developed</w:t>
      </w:r>
      <w:r w:rsidR="00670672" w:rsidRPr="00E63DCC">
        <w:rPr>
          <w:lang w:val="en-GB"/>
        </w:rPr>
        <w:t xml:space="preserve"> the </w:t>
      </w:r>
      <w:r w:rsidR="00670672" w:rsidRPr="00E63DCC">
        <w:rPr>
          <w:i/>
          <w:lang w:val="en-GB"/>
        </w:rPr>
        <w:t>Step-by-step guide for developing a public health strategy for artisanal and small-scale gold mining in the context of the Minamata Convention on Mercury</w:t>
      </w:r>
      <w:r w:rsidR="00D95825" w:rsidRPr="00E63DCC">
        <w:rPr>
          <w:lang w:val="en-GB"/>
        </w:rPr>
        <w:t xml:space="preserve"> for health ministries to support the development of public health strategies on ASGM</w:t>
      </w:r>
      <w:r w:rsidR="002F334F" w:rsidRPr="00E63DCC">
        <w:rPr>
          <w:lang w:val="en-GB"/>
        </w:rPr>
        <w:t xml:space="preserve"> </w:t>
      </w:r>
      <w:r w:rsidR="002F334F" w:rsidRPr="00E63DCC">
        <w:rPr>
          <w:i/>
          <w:lang w:val="en-GB"/>
        </w:rPr>
        <w:t>(</w:t>
      </w:r>
      <w:r w:rsidR="00CB5BDE" w:rsidRPr="00E63DCC">
        <w:rPr>
          <w:i/>
          <w:lang w:val="en-GB"/>
        </w:rPr>
        <w:t>8</w:t>
      </w:r>
      <w:r w:rsidR="002F334F" w:rsidRPr="00E63DCC">
        <w:rPr>
          <w:i/>
          <w:lang w:val="en-GB"/>
        </w:rPr>
        <w:t>)</w:t>
      </w:r>
      <w:r w:rsidR="00D95825" w:rsidRPr="00E63DCC">
        <w:rPr>
          <w:lang w:val="en-GB"/>
        </w:rPr>
        <w:t>. The WHO guid</w:t>
      </w:r>
      <w:r w:rsidR="0051360A" w:rsidRPr="00E63DCC">
        <w:rPr>
          <w:lang w:val="en-GB"/>
        </w:rPr>
        <w:t>ance</w:t>
      </w:r>
      <w:r w:rsidR="00D95825" w:rsidRPr="00E63DCC">
        <w:rPr>
          <w:lang w:val="en-GB"/>
        </w:rPr>
        <w:t xml:space="preserve"> may also aid the development of ot</w:t>
      </w:r>
      <w:r w:rsidR="009E4BB6" w:rsidRPr="00E63DCC">
        <w:rPr>
          <w:lang w:val="en-GB"/>
        </w:rPr>
        <w:t>her NAP content required under A</w:t>
      </w:r>
      <w:r w:rsidR="00D95825" w:rsidRPr="00E63DCC">
        <w:rPr>
          <w:lang w:val="en-GB"/>
        </w:rPr>
        <w:t>nnex C,</w:t>
      </w:r>
      <w:r w:rsidR="0017547E" w:rsidRPr="00E63DCC">
        <w:rPr>
          <w:lang w:val="en-GB"/>
        </w:rPr>
        <w:t xml:space="preserve"> specifically</w:t>
      </w:r>
      <w:r w:rsidR="003E5366" w:rsidRPr="00E63DCC">
        <w:rPr>
          <w:lang w:val="en-GB"/>
        </w:rPr>
        <w:t xml:space="preserve"> </w:t>
      </w:r>
      <w:r w:rsidR="002F334F" w:rsidRPr="00E63DCC">
        <w:rPr>
          <w:lang w:val="en-GB"/>
        </w:rPr>
        <w:t>paragraph 1</w:t>
      </w:r>
      <w:r w:rsidR="00D95825" w:rsidRPr="00E63DCC">
        <w:rPr>
          <w:lang w:val="en-GB"/>
        </w:rPr>
        <w:t>(</w:t>
      </w:r>
      <w:proofErr w:type="spellStart"/>
      <w:r w:rsidR="00D95825" w:rsidRPr="00E63DCC">
        <w:rPr>
          <w:lang w:val="en-GB"/>
        </w:rPr>
        <w:t>i</w:t>
      </w:r>
      <w:proofErr w:type="spellEnd"/>
      <w:r w:rsidR="00D95825" w:rsidRPr="00E63DCC">
        <w:rPr>
          <w:lang w:val="en-GB"/>
        </w:rPr>
        <w:t>)</w:t>
      </w:r>
      <w:r w:rsidR="002F334F" w:rsidRPr="00E63DCC">
        <w:rPr>
          <w:lang w:val="en-GB"/>
        </w:rPr>
        <w:t>,</w:t>
      </w:r>
      <w:r w:rsidR="00D95825" w:rsidRPr="00E63DCC">
        <w:rPr>
          <w:lang w:val="en-GB"/>
        </w:rPr>
        <w:t xml:space="preserve"> which requires</w:t>
      </w:r>
      <w:r w:rsidR="002F334F" w:rsidRPr="00E63DCC">
        <w:rPr>
          <w:lang w:val="en-GB"/>
        </w:rPr>
        <w:t xml:space="preserve"> that the NAP contain</w:t>
      </w:r>
      <w:r w:rsidR="00D95825" w:rsidRPr="00E63DCC">
        <w:rPr>
          <w:lang w:val="en-GB"/>
        </w:rPr>
        <w:t xml:space="preserve"> strategies to prevent the exposure of vulnerable populations, particularly children and women of childbearing age, especially pregnant women, to mercury used in ASGM, and</w:t>
      </w:r>
      <w:r w:rsidR="002F334F" w:rsidRPr="00E63DCC">
        <w:rPr>
          <w:lang w:val="en-GB"/>
        </w:rPr>
        <w:t xml:space="preserve"> paragraph 1</w:t>
      </w:r>
      <w:r w:rsidR="00D95825" w:rsidRPr="00E63DCC">
        <w:rPr>
          <w:lang w:val="en-GB"/>
        </w:rPr>
        <w:t>(j)</w:t>
      </w:r>
      <w:r w:rsidR="002F334F" w:rsidRPr="00E63DCC">
        <w:rPr>
          <w:lang w:val="en-GB"/>
        </w:rPr>
        <w:t>,</w:t>
      </w:r>
      <w:r w:rsidR="00D95825" w:rsidRPr="00E63DCC">
        <w:rPr>
          <w:lang w:val="en-GB"/>
        </w:rPr>
        <w:t xml:space="preserve"> which requires</w:t>
      </w:r>
      <w:r w:rsidR="00487887" w:rsidRPr="00E63DCC">
        <w:rPr>
          <w:lang w:val="en-GB"/>
        </w:rPr>
        <w:t xml:space="preserve"> that the NAP contain</w:t>
      </w:r>
      <w:r w:rsidR="00D95825" w:rsidRPr="00E63DCC">
        <w:rPr>
          <w:lang w:val="en-GB"/>
        </w:rPr>
        <w:t xml:space="preserve"> strategies for providing information to artisanal and small-scale miners and affected communities.</w:t>
      </w:r>
    </w:p>
    <w:p w14:paraId="5EBDCF01" w14:textId="15CCF08E" w:rsidR="00D95825" w:rsidRPr="00E63DCC" w:rsidRDefault="00D95825" w:rsidP="00A5640C">
      <w:pPr>
        <w:rPr>
          <w:lang w:val="en-GB"/>
        </w:rPr>
      </w:pPr>
      <w:r w:rsidRPr="00E63DCC">
        <w:rPr>
          <w:lang w:val="en-GB"/>
        </w:rPr>
        <w:t xml:space="preserve">This WHO initiative has been established in response to World Health Assembly </w:t>
      </w:r>
      <w:r w:rsidR="0017547E" w:rsidRPr="00E63DCC">
        <w:rPr>
          <w:lang w:val="en-GB"/>
        </w:rPr>
        <w:t>r</w:t>
      </w:r>
      <w:r w:rsidRPr="00E63DCC">
        <w:rPr>
          <w:lang w:val="en-GB"/>
        </w:rPr>
        <w:t xml:space="preserve">esolution </w:t>
      </w:r>
      <w:r w:rsidR="0017547E" w:rsidRPr="00E63DCC">
        <w:rPr>
          <w:lang w:val="en-GB"/>
        </w:rPr>
        <w:t>WHA</w:t>
      </w:r>
      <w:r w:rsidRPr="00E63DCC">
        <w:rPr>
          <w:lang w:val="en-GB"/>
        </w:rPr>
        <w:t>67.11</w:t>
      </w:r>
      <w:r w:rsidR="0017547E" w:rsidRPr="00E63DCC">
        <w:rPr>
          <w:lang w:val="en-GB"/>
        </w:rPr>
        <w:t xml:space="preserve"> (2014)</w:t>
      </w:r>
      <w:r w:rsidRPr="00E63DCC">
        <w:rPr>
          <w:lang w:val="en-GB"/>
        </w:rPr>
        <w:t xml:space="preserve">, which recognizes the role of health ministries in supporting the implementation of the Convention and calls upon WHO to provide technical support in this regard. WHO has thus developed a </w:t>
      </w:r>
      <w:r w:rsidR="00BD0144" w:rsidRPr="00E63DCC">
        <w:rPr>
          <w:lang w:val="en-GB"/>
        </w:rPr>
        <w:t>research approach</w:t>
      </w:r>
      <w:r w:rsidRPr="00E63DCC">
        <w:rPr>
          <w:lang w:val="en-GB"/>
        </w:rPr>
        <w:t xml:space="preserve"> comprising a suite of tools to support the development of public health strategies on ASGM. WHO piloted the use of the </w:t>
      </w:r>
      <w:r w:rsidR="00523F6F" w:rsidRPr="00E63DCC">
        <w:rPr>
          <w:lang w:val="en-GB"/>
        </w:rPr>
        <w:t xml:space="preserve">research approach </w:t>
      </w:r>
      <w:r w:rsidRPr="00E63DCC">
        <w:rPr>
          <w:lang w:val="en-GB"/>
        </w:rPr>
        <w:t>and related tools in three African countries that, at the time of the conduct of the pilot studies, (</w:t>
      </w:r>
      <w:r w:rsidR="0017547E" w:rsidRPr="00E63DCC">
        <w:rPr>
          <w:lang w:val="en-GB"/>
        </w:rPr>
        <w:t>a</w:t>
      </w:r>
      <w:r w:rsidRPr="00E63DCC">
        <w:rPr>
          <w:lang w:val="en-GB"/>
        </w:rPr>
        <w:t>) had extensive ASGM activities and (</w:t>
      </w:r>
      <w:r w:rsidR="008D5A0F" w:rsidRPr="00E63DCC">
        <w:rPr>
          <w:lang w:val="en-GB"/>
        </w:rPr>
        <w:t>b</w:t>
      </w:r>
      <w:r w:rsidRPr="00E63DCC">
        <w:rPr>
          <w:lang w:val="en-GB"/>
        </w:rPr>
        <w:t xml:space="preserve">) were in the process of developing a NAP, namely Ghana, Mozambique and Nigeria. </w:t>
      </w:r>
    </w:p>
    <w:p w14:paraId="4C9ACE08" w14:textId="1E58FD42" w:rsidR="00640FBF" w:rsidRPr="00E63DCC" w:rsidRDefault="00640FBF" w:rsidP="00A5640C">
      <w:pPr>
        <w:rPr>
          <w:lang w:val="en-GB"/>
        </w:rPr>
      </w:pPr>
      <w:r w:rsidRPr="00E63DCC">
        <w:rPr>
          <w:lang w:val="en-GB"/>
        </w:rPr>
        <w:t xml:space="preserve">The specific objective of the health situation assessment is to generate initial evidence and information regarding priority health concerns of </w:t>
      </w:r>
      <w:r w:rsidR="00AC50FC" w:rsidRPr="00E63DCC">
        <w:rPr>
          <w:lang w:val="en-GB"/>
        </w:rPr>
        <w:t>artisanal and small-scale gold miners</w:t>
      </w:r>
      <w:r w:rsidRPr="00E63DCC">
        <w:rPr>
          <w:lang w:val="en-GB"/>
        </w:rPr>
        <w:t xml:space="preserve"> and their communities and to provide an initial understanding about available health system capacit</w:t>
      </w:r>
      <w:r w:rsidR="004F3283" w:rsidRPr="00E63DCC">
        <w:rPr>
          <w:lang w:val="en-GB"/>
        </w:rPr>
        <w:t>y</w:t>
      </w:r>
      <w:r w:rsidRPr="00E63DCC">
        <w:rPr>
          <w:lang w:val="en-GB"/>
        </w:rPr>
        <w:t xml:space="preserve"> to respond to those health concerns. This information is then expected to inform the selection of priorities and interventions to be reflected in the public health strategy of the NAP. The health situation assessment is intended to be a preliminary study, and is not expected to provide an in-depth epidemiological overview of the health impacts of ASGM. </w:t>
      </w:r>
    </w:p>
    <w:p w14:paraId="53A1E28B" w14:textId="7B52A666" w:rsidR="00640FBF" w:rsidRPr="00E63DCC" w:rsidRDefault="00640FBF" w:rsidP="00A5640C">
      <w:pPr>
        <w:rPr>
          <w:lang w:val="en-GB"/>
        </w:rPr>
      </w:pPr>
      <w:r w:rsidRPr="00E63DCC">
        <w:rPr>
          <w:lang w:val="en-GB"/>
        </w:rPr>
        <w:t>The current study protocol addresses the methodology of the health situation assessment, which includes community consultations, individual interviews and</w:t>
      </w:r>
      <w:r w:rsidR="0017547E" w:rsidRPr="00E63DCC">
        <w:rPr>
          <w:lang w:val="en-GB"/>
        </w:rPr>
        <w:t xml:space="preserve"> a</w:t>
      </w:r>
      <w:r w:rsidRPr="00E63DCC">
        <w:rPr>
          <w:lang w:val="en-GB"/>
        </w:rPr>
        <w:t xml:space="preserve"> health facility assessment (HFA). An institutional capacity assessment to determine overall health system readiness at the national and subnational – but not local – levels to detect, prevent and address health issues associated with ASGM, including mercury exposure, will be conducted in parallel </w:t>
      </w:r>
      <w:r w:rsidR="00DF54B5" w:rsidRPr="00E63DCC">
        <w:rPr>
          <w:lang w:val="en-GB"/>
        </w:rPr>
        <w:t>with</w:t>
      </w:r>
      <w:r w:rsidRPr="00E63DCC">
        <w:rPr>
          <w:lang w:val="en-GB"/>
        </w:rPr>
        <w:t xml:space="preserve"> the health situation assessment. The institutional capacity assessment is</w:t>
      </w:r>
      <w:r w:rsidR="00DF54B5" w:rsidRPr="00E63DCC">
        <w:rPr>
          <w:lang w:val="en-GB"/>
        </w:rPr>
        <w:t xml:space="preserve"> not</w:t>
      </w:r>
      <w:r w:rsidRPr="00E63DCC">
        <w:rPr>
          <w:lang w:val="en-GB"/>
        </w:rPr>
        <w:t xml:space="preserve"> however addressed in the current study protocol.</w:t>
      </w:r>
    </w:p>
    <w:p w14:paraId="727050E6" w14:textId="551C3C0B" w:rsidR="0051360A" w:rsidRPr="00E63DCC" w:rsidRDefault="0051360A" w:rsidP="00A5640C">
      <w:pPr>
        <w:rPr>
          <w:lang w:val="en-GB"/>
        </w:rPr>
      </w:pPr>
      <w:r w:rsidRPr="00E63DCC">
        <w:rPr>
          <w:lang w:val="en-GB"/>
        </w:rPr>
        <w:t xml:space="preserve">[Please further develop this section by modifying the paragraphs and adding additional </w:t>
      </w:r>
      <w:r w:rsidR="00640FBF" w:rsidRPr="00E63DCC">
        <w:rPr>
          <w:lang w:val="en-GB"/>
        </w:rPr>
        <w:t>information regarding the objectives of your health situation assessment</w:t>
      </w:r>
      <w:r w:rsidR="00BF2106" w:rsidRPr="00E63DCC">
        <w:rPr>
          <w:lang w:val="en-GB"/>
        </w:rPr>
        <w:t xml:space="preserve"> and the use of the WHO step-by-step guide.]</w:t>
      </w:r>
    </w:p>
    <w:p w14:paraId="4825A5B0" w14:textId="6A5F24E2" w:rsidR="00996821" w:rsidRPr="00E63DCC" w:rsidRDefault="00996821" w:rsidP="009E4347">
      <w:pPr>
        <w:pStyle w:val="Normalboldhead"/>
      </w:pPr>
      <w:r w:rsidRPr="00E63DCC">
        <w:t xml:space="preserve">Example </w:t>
      </w:r>
      <w:r w:rsidR="005F2A7F" w:rsidRPr="00E63DCC">
        <w:t xml:space="preserve">from Nigeria </w:t>
      </w:r>
      <w:r w:rsidRPr="00E63DCC">
        <w:t>[</w:t>
      </w:r>
      <w:r w:rsidR="00BF2106" w:rsidRPr="00E63DCC">
        <w:t xml:space="preserve">delete in final version of your study protocol]: </w:t>
      </w:r>
    </w:p>
    <w:p w14:paraId="1501C17C" w14:textId="089D230C" w:rsidR="00BF2106" w:rsidRPr="00E63DCC" w:rsidRDefault="00BF2106" w:rsidP="00A5640C">
      <w:pPr>
        <w:rPr>
          <w:lang w:val="en-GB"/>
        </w:rPr>
      </w:pPr>
      <w:r w:rsidRPr="00E63DCC">
        <w:rPr>
          <w:lang w:val="en-GB"/>
        </w:rPr>
        <w:t xml:space="preserve">The current study aims at piloting the WHO guidance (and in particular the study protocol) being developed to support the conduct of an assessment of public health challenges in an </w:t>
      </w:r>
      <w:r w:rsidRPr="00E63DCC">
        <w:rPr>
          <w:lang w:val="en-GB"/>
        </w:rPr>
        <w:lastRenderedPageBreak/>
        <w:t xml:space="preserve">ASGM context. The specific objective of the health situation assessment is to generate initial evidence and information regarding priority health concerns of </w:t>
      </w:r>
      <w:r w:rsidR="00AC50FC" w:rsidRPr="00E63DCC">
        <w:rPr>
          <w:lang w:val="en-GB"/>
        </w:rPr>
        <w:t>artisanal and small-scale gold miners</w:t>
      </w:r>
      <w:r w:rsidRPr="00E63DCC">
        <w:rPr>
          <w:lang w:val="en-GB"/>
        </w:rPr>
        <w:t xml:space="preserve"> and their communities and to provide an initial understanding about available health system capaci</w:t>
      </w:r>
      <w:r w:rsidR="005C70A1" w:rsidRPr="00E63DCC">
        <w:rPr>
          <w:lang w:val="en-GB"/>
        </w:rPr>
        <w:t>ty</w:t>
      </w:r>
      <w:r w:rsidRPr="00E63DCC">
        <w:rPr>
          <w:lang w:val="en-GB"/>
        </w:rPr>
        <w:t xml:space="preserve"> to respond to those health concerns. This information is then expected to inform the selection of priorities and interventions to be reflected in the public health strategy of the NAP.</w:t>
      </w:r>
    </w:p>
    <w:p w14:paraId="410DF1EF" w14:textId="7A6E36CE" w:rsidR="00BF2106" w:rsidRPr="00E63DCC" w:rsidRDefault="00BF2106" w:rsidP="00A5640C">
      <w:pPr>
        <w:rPr>
          <w:lang w:val="en-GB"/>
        </w:rPr>
      </w:pPr>
      <w:r w:rsidRPr="00E63DCC">
        <w:rPr>
          <w:lang w:val="en-GB"/>
        </w:rPr>
        <w:t>The health situation assessment is intended to be a preliminary study, and is not expected to provide an in-depth epidemiological overview of the health impacts of ASGM. The methods and tools developed to support it are thus geared towards obtaining a preliminary and if possible representative picture of the health challenges of</w:t>
      </w:r>
      <w:r w:rsidR="00AC50FC" w:rsidRPr="00E63DCC">
        <w:rPr>
          <w:lang w:val="en-GB"/>
        </w:rPr>
        <w:t xml:space="preserve"> artisanal and small-scale gold</w:t>
      </w:r>
      <w:r w:rsidRPr="00E63DCC">
        <w:rPr>
          <w:lang w:val="en-GB"/>
        </w:rPr>
        <w:t xml:space="preserve"> miners and their communities and the</w:t>
      </w:r>
      <w:r w:rsidR="001E6B1A" w:rsidRPr="00E63DCC">
        <w:rPr>
          <w:lang w:val="en-GB"/>
        </w:rPr>
        <w:t xml:space="preserve"> capacity of</w:t>
      </w:r>
      <w:r w:rsidRPr="00E63DCC">
        <w:rPr>
          <w:lang w:val="en-GB"/>
        </w:rPr>
        <w:t xml:space="preserve"> health facilities to address and respond to their particular health needs.</w:t>
      </w:r>
    </w:p>
    <w:p w14:paraId="7E45D193" w14:textId="5AB6BA0F" w:rsidR="00BF2106" w:rsidRPr="00E63DCC" w:rsidRDefault="00BF2106" w:rsidP="00A5640C">
      <w:pPr>
        <w:rPr>
          <w:lang w:val="en-GB"/>
        </w:rPr>
      </w:pPr>
      <w:r w:rsidRPr="00E63DCC">
        <w:rPr>
          <w:lang w:val="en-GB"/>
        </w:rPr>
        <w:t>Lessons learned and insights from the pilot experiences in the three countries will be used to enhance the protocol</w:t>
      </w:r>
      <w:r w:rsidR="005761FD" w:rsidRPr="00E63DCC">
        <w:rPr>
          <w:lang w:val="en-GB"/>
        </w:rPr>
        <w:t xml:space="preserve"> and </w:t>
      </w:r>
      <w:r w:rsidRPr="00E63DCC">
        <w:rPr>
          <w:lang w:val="en-GB"/>
        </w:rPr>
        <w:t xml:space="preserve">present a set of tailored recommendations for each country </w:t>
      </w:r>
      <w:r w:rsidR="005761FD" w:rsidRPr="00E63DCC">
        <w:rPr>
          <w:lang w:val="en-GB"/>
        </w:rPr>
        <w:t>that can</w:t>
      </w:r>
      <w:r w:rsidRPr="00E63DCC">
        <w:rPr>
          <w:lang w:val="en-GB"/>
        </w:rPr>
        <w:t xml:space="preserve"> then be used to inform the development of their public health strategies as part of the NAP. The objective</w:t>
      </w:r>
      <w:r w:rsidR="005761FD" w:rsidRPr="00E63DCC">
        <w:rPr>
          <w:lang w:val="en-GB"/>
        </w:rPr>
        <w:t>s</w:t>
      </w:r>
      <w:r w:rsidRPr="00E63DCC">
        <w:rPr>
          <w:lang w:val="en-GB"/>
        </w:rPr>
        <w:t xml:space="preserve"> of the health situation assessment </w:t>
      </w:r>
      <w:r w:rsidR="005761FD" w:rsidRPr="00E63DCC">
        <w:rPr>
          <w:lang w:val="en-GB"/>
        </w:rPr>
        <w:t>are</w:t>
      </w:r>
      <w:r w:rsidRPr="00E63DCC">
        <w:rPr>
          <w:lang w:val="en-GB"/>
        </w:rPr>
        <w:t xml:space="preserve"> to identify </w:t>
      </w:r>
      <w:r w:rsidR="00AC50FC" w:rsidRPr="00E63DCC">
        <w:rPr>
          <w:lang w:val="en-GB"/>
        </w:rPr>
        <w:t>artisanal and small-scale gold miners</w:t>
      </w:r>
      <w:r w:rsidRPr="00E63DCC">
        <w:rPr>
          <w:lang w:val="en-GB"/>
        </w:rPr>
        <w:t>’ health</w:t>
      </w:r>
      <w:r w:rsidR="005761FD" w:rsidRPr="00E63DCC">
        <w:rPr>
          <w:lang w:val="en-GB"/>
        </w:rPr>
        <w:t>-</w:t>
      </w:r>
      <w:r w:rsidRPr="00E63DCC">
        <w:rPr>
          <w:lang w:val="en-GB"/>
        </w:rPr>
        <w:t>seeking behaviour,</w:t>
      </w:r>
      <w:r w:rsidR="005761FD" w:rsidRPr="00E63DCC">
        <w:rPr>
          <w:lang w:val="en-GB"/>
        </w:rPr>
        <w:t xml:space="preserve"> gain</w:t>
      </w:r>
      <w:r w:rsidR="00BB621C" w:rsidRPr="00E63DCC">
        <w:rPr>
          <w:lang w:val="en-GB"/>
        </w:rPr>
        <w:t xml:space="preserve"> insight into </w:t>
      </w:r>
      <w:r w:rsidR="005761FD" w:rsidRPr="00E63DCC">
        <w:rPr>
          <w:lang w:val="en-GB"/>
        </w:rPr>
        <w:t>the perceptions of the</w:t>
      </w:r>
      <w:r w:rsidRPr="00E63DCC">
        <w:rPr>
          <w:lang w:val="en-GB"/>
        </w:rPr>
        <w:t xml:space="preserve"> miner</w:t>
      </w:r>
      <w:r w:rsidR="005761FD" w:rsidRPr="00E63DCC">
        <w:rPr>
          <w:lang w:val="en-GB"/>
        </w:rPr>
        <w:t>s</w:t>
      </w:r>
      <w:r w:rsidRPr="00E63DCC">
        <w:rPr>
          <w:lang w:val="en-GB"/>
        </w:rPr>
        <w:t xml:space="preserve"> and</w:t>
      </w:r>
      <w:r w:rsidR="005761FD" w:rsidRPr="00E63DCC">
        <w:rPr>
          <w:lang w:val="en-GB"/>
        </w:rPr>
        <w:t xml:space="preserve"> their</w:t>
      </w:r>
      <w:r w:rsidRPr="00E63DCC">
        <w:rPr>
          <w:lang w:val="en-GB"/>
        </w:rPr>
        <w:t xml:space="preserve"> family members</w:t>
      </w:r>
      <w:r w:rsidR="005761FD" w:rsidRPr="00E63DCC">
        <w:rPr>
          <w:lang w:val="en-GB"/>
        </w:rPr>
        <w:t xml:space="preserve"> of the </w:t>
      </w:r>
      <w:r w:rsidRPr="00E63DCC">
        <w:rPr>
          <w:lang w:val="en-GB"/>
        </w:rPr>
        <w:t>risks associated with ASGM</w:t>
      </w:r>
      <w:r w:rsidR="005761FD" w:rsidRPr="00E63DCC">
        <w:rPr>
          <w:lang w:val="en-GB"/>
        </w:rPr>
        <w:t xml:space="preserve">, and </w:t>
      </w:r>
      <w:r w:rsidRPr="00E63DCC">
        <w:rPr>
          <w:lang w:val="en-GB"/>
        </w:rPr>
        <w:t xml:space="preserve">assess the relative readiness and capacity of local health systems to respond to ASGM-related health issues. </w:t>
      </w:r>
    </w:p>
    <w:p w14:paraId="5785E744" w14:textId="68E2A3A7" w:rsidR="00BF2106" w:rsidRPr="00E63DCC" w:rsidRDefault="00BF2106" w:rsidP="00A5640C">
      <w:pPr>
        <w:rPr>
          <w:lang w:val="en-GB"/>
        </w:rPr>
      </w:pPr>
      <w:r w:rsidRPr="00E63DCC">
        <w:rPr>
          <w:lang w:val="en-GB"/>
        </w:rPr>
        <w:t>The current study protocol addresses the methodology of the health situation assessment, which includes community consultations, individual interviews and HFAs.</w:t>
      </w:r>
    </w:p>
    <w:p w14:paraId="351500F9" w14:textId="11805599" w:rsidR="00BF2106" w:rsidRPr="00E63DCC" w:rsidRDefault="00BF2106" w:rsidP="00A5640C">
      <w:pPr>
        <w:rPr>
          <w:lang w:val="en-GB"/>
        </w:rPr>
      </w:pPr>
      <w:r w:rsidRPr="00E63DCC">
        <w:rPr>
          <w:lang w:val="en-GB"/>
        </w:rPr>
        <w:t xml:space="preserve">An institutional capacity assessment to determine overall health system readiness at the national and subnational – but not local – levels to detect, prevent and address health issues associated with ASGM, including mercury exposure, will be conducted in parallel </w:t>
      </w:r>
      <w:r w:rsidR="000216FA" w:rsidRPr="00E63DCC">
        <w:rPr>
          <w:lang w:val="en-GB"/>
        </w:rPr>
        <w:t>with</w:t>
      </w:r>
      <w:r w:rsidRPr="00E63DCC">
        <w:rPr>
          <w:lang w:val="en-GB"/>
        </w:rPr>
        <w:t xml:space="preserve"> the health situation assessment. The institutional capacity assessment is however not addressed in the current study protocol.</w:t>
      </w:r>
    </w:p>
    <w:p w14:paraId="2418A9BE" w14:textId="7D5444A3" w:rsidR="008A0373" w:rsidRPr="00E63DCC" w:rsidRDefault="00D61F79" w:rsidP="00A5640C">
      <w:pPr>
        <w:pStyle w:val="Heading2"/>
        <w:rPr>
          <w:lang w:val="en-GB"/>
        </w:rPr>
      </w:pPr>
      <w:bookmarkStart w:id="14" w:name="_Toc70926801"/>
      <w:r w:rsidRPr="00E63DCC">
        <w:rPr>
          <w:lang w:val="en-GB"/>
        </w:rPr>
        <w:t>1.3</w:t>
      </w:r>
      <w:r w:rsidRPr="00E63DCC">
        <w:rPr>
          <w:lang w:val="en-GB"/>
        </w:rPr>
        <w:tab/>
        <w:t>P</w:t>
      </w:r>
      <w:r w:rsidR="003D176B" w:rsidRPr="00E63DCC">
        <w:rPr>
          <w:lang w:val="en-GB"/>
        </w:rPr>
        <w:t>olitical linkages</w:t>
      </w:r>
      <w:r w:rsidR="00ED5106" w:rsidRPr="00E63DCC">
        <w:rPr>
          <w:lang w:val="en-GB"/>
        </w:rPr>
        <w:t xml:space="preserve"> and political involvement</w:t>
      </w:r>
      <w:bookmarkEnd w:id="14"/>
    </w:p>
    <w:p w14:paraId="078E44C8" w14:textId="254FA413" w:rsidR="005F2A7F" w:rsidRPr="00E63DCC" w:rsidRDefault="005F2A7F" w:rsidP="00A5640C">
      <w:pPr>
        <w:rPr>
          <w:lang w:val="en-GB"/>
        </w:rPr>
      </w:pPr>
      <w:r w:rsidRPr="00E63DCC">
        <w:rPr>
          <w:lang w:val="en-GB"/>
        </w:rPr>
        <w:t>[Here, please describe your country’s involvement in the Minamata Convention and the political linkages, roles and responsibilities of all relevant national and international authorities in the context of the Convention (</w:t>
      </w:r>
      <w:r w:rsidR="00FE141B" w:rsidRPr="00E63DCC">
        <w:rPr>
          <w:lang w:val="en-GB"/>
        </w:rPr>
        <w:t>e.g. m</w:t>
      </w:r>
      <w:r w:rsidRPr="00E63DCC">
        <w:rPr>
          <w:lang w:val="en-GB"/>
        </w:rPr>
        <w:t xml:space="preserve">inistries, </w:t>
      </w:r>
      <w:r w:rsidR="00FE141B" w:rsidRPr="00E63DCC">
        <w:rPr>
          <w:lang w:val="en-GB"/>
        </w:rPr>
        <w:t>WHO</w:t>
      </w:r>
      <w:r w:rsidRPr="00E63DCC">
        <w:rPr>
          <w:lang w:val="en-GB"/>
        </w:rPr>
        <w:t xml:space="preserve"> and others).]</w:t>
      </w:r>
    </w:p>
    <w:p w14:paraId="1A18FB61" w14:textId="77777777" w:rsidR="005F2A7F" w:rsidRPr="00E63DCC" w:rsidRDefault="005F2A7F" w:rsidP="009E4347">
      <w:pPr>
        <w:pStyle w:val="Normalboldhead"/>
      </w:pPr>
      <w:r w:rsidRPr="00E63DCC">
        <w:t xml:space="preserve">Example from Nigeria [delete in final version of your study protocol]: </w:t>
      </w:r>
    </w:p>
    <w:p w14:paraId="2BA996C9" w14:textId="5BB76047" w:rsidR="005F2A7F" w:rsidRPr="00E63DCC" w:rsidRDefault="005F2A7F" w:rsidP="00A5640C">
      <w:pPr>
        <w:rPr>
          <w:lang w:val="en-GB"/>
        </w:rPr>
      </w:pPr>
      <w:r w:rsidRPr="00E63DCC">
        <w:rPr>
          <w:lang w:val="en-GB"/>
        </w:rPr>
        <w:t>Nigeria signed the Minamata Convention in 2013. The country has also formally notified the Minamata Convention Secretariat that there is more than insignificant ASGM in its territory. Nigeria is therefore obligated to develop a NAP</w:t>
      </w:r>
      <w:r w:rsidR="00716B10" w:rsidRPr="00E63DCC">
        <w:rPr>
          <w:lang w:val="en-GB"/>
        </w:rPr>
        <w:t>,</w:t>
      </w:r>
      <w:r w:rsidRPr="00E63DCC">
        <w:rPr>
          <w:lang w:val="en-GB"/>
        </w:rPr>
        <w:t xml:space="preserve"> which includes a public health strategy on the exposure to mercury of </w:t>
      </w:r>
      <w:r w:rsidR="00AC50FC" w:rsidRPr="00E63DCC">
        <w:rPr>
          <w:lang w:val="en-GB"/>
        </w:rPr>
        <w:t>artisanal and small-scale gold miners</w:t>
      </w:r>
      <w:r w:rsidRPr="00E63DCC">
        <w:rPr>
          <w:lang w:val="en-GB"/>
        </w:rPr>
        <w:t xml:space="preserve"> and their communities.</w:t>
      </w:r>
    </w:p>
    <w:p w14:paraId="240A639B" w14:textId="78D5CAD1" w:rsidR="005F2A7F" w:rsidRPr="00E63DCC" w:rsidRDefault="005F2A7F" w:rsidP="00A5640C">
      <w:pPr>
        <w:rPr>
          <w:lang w:val="en-GB"/>
        </w:rPr>
      </w:pPr>
      <w:r w:rsidRPr="00E63DCC">
        <w:rPr>
          <w:lang w:val="en-GB"/>
        </w:rPr>
        <w:t>Under the Convention, such NAPs must be formally endorsed by the respective government and submitted to the Convention Secretariat no later than three years after entry into force of the Convention or three years after the notification to the Secretariat, whichever is later. The Minamata Convention on Mercury enter</w:t>
      </w:r>
      <w:r w:rsidR="00E5762C" w:rsidRPr="00E63DCC">
        <w:rPr>
          <w:lang w:val="en-GB"/>
        </w:rPr>
        <w:t>ed</w:t>
      </w:r>
      <w:r w:rsidRPr="00E63DCC">
        <w:rPr>
          <w:lang w:val="en-GB"/>
        </w:rPr>
        <w:t xml:space="preserve"> into force on 16 August 2017. </w:t>
      </w:r>
    </w:p>
    <w:p w14:paraId="32150656" w14:textId="40560E25" w:rsidR="005F2A7F" w:rsidRPr="00E63DCC" w:rsidRDefault="005F2A7F" w:rsidP="00A5640C">
      <w:pPr>
        <w:rPr>
          <w:lang w:val="en-GB"/>
        </w:rPr>
      </w:pPr>
      <w:r w:rsidRPr="00E63DCC">
        <w:rPr>
          <w:lang w:val="en-GB"/>
        </w:rPr>
        <w:lastRenderedPageBreak/>
        <w:t>NAP activities are formally under</w:t>
      </w:r>
      <w:r w:rsidR="00716B10" w:rsidRPr="00E63DCC">
        <w:rPr>
          <w:lang w:val="en-GB"/>
        </w:rPr>
        <w:t xml:space="preserve"> </w:t>
      </w:r>
      <w:r w:rsidRPr="00E63DCC">
        <w:rPr>
          <w:lang w:val="en-GB"/>
        </w:rPr>
        <w:t>way in Nigeria. This process is being supported by the United Nations Industrial</w:t>
      </w:r>
      <w:r w:rsidR="00716B10" w:rsidRPr="00E63DCC">
        <w:rPr>
          <w:lang w:val="en-GB"/>
        </w:rPr>
        <w:t xml:space="preserve"> Development</w:t>
      </w:r>
      <w:r w:rsidRPr="00E63DCC">
        <w:rPr>
          <w:lang w:val="en-GB"/>
        </w:rPr>
        <w:t xml:space="preserve"> Organization (UNIDO) with funding from the Global Environment Facility. At the request of UNIDO, WHO has agreed to co-execute (with the respective health ministry) the health components of the NAP activities being implemented in each country.</w:t>
      </w:r>
    </w:p>
    <w:p w14:paraId="55D953A2" w14:textId="76CE74DD" w:rsidR="005F2A7F" w:rsidRPr="00E63DCC" w:rsidRDefault="005F2A7F" w:rsidP="00A5640C">
      <w:pPr>
        <w:rPr>
          <w:lang w:val="en-GB"/>
        </w:rPr>
      </w:pPr>
      <w:r w:rsidRPr="00E63DCC">
        <w:rPr>
          <w:lang w:val="en-GB"/>
        </w:rPr>
        <w:t xml:space="preserve">UNIDO and the Nigerian Government have designated the Federal Ministry of Environment to be the main national coordinating and executing agency of this project. </w:t>
      </w:r>
      <w:r w:rsidR="006E07C5" w:rsidRPr="00E63DCC">
        <w:rPr>
          <w:lang w:val="en-GB"/>
        </w:rPr>
        <w:t>The Federal Ministry of Environment</w:t>
      </w:r>
      <w:r w:rsidRPr="00E63DCC">
        <w:rPr>
          <w:lang w:val="en-GB"/>
        </w:rPr>
        <w:t xml:space="preserve"> is the administrative authority on environmental protection and the designated national authority on</w:t>
      </w:r>
      <w:r w:rsidR="006E07C5" w:rsidRPr="00E63DCC">
        <w:rPr>
          <w:lang w:val="en-GB"/>
        </w:rPr>
        <w:t xml:space="preserve"> the</w:t>
      </w:r>
      <w:r w:rsidRPr="00E63DCC">
        <w:rPr>
          <w:lang w:val="en-GB"/>
        </w:rPr>
        <w:t xml:space="preserve"> Minamata Convention on </w:t>
      </w:r>
      <w:r w:rsidR="006E07C5" w:rsidRPr="00E63DCC">
        <w:rPr>
          <w:lang w:val="en-GB"/>
        </w:rPr>
        <w:t>M</w:t>
      </w:r>
      <w:r w:rsidRPr="00E63DCC">
        <w:rPr>
          <w:lang w:val="en-GB"/>
        </w:rPr>
        <w:t>ercury.</w:t>
      </w:r>
    </w:p>
    <w:p w14:paraId="0D6A417A" w14:textId="5BEF08E6" w:rsidR="005F2A7F" w:rsidRPr="00E63DCC" w:rsidRDefault="005F2A7F" w:rsidP="00A5640C">
      <w:pPr>
        <w:rPr>
          <w:lang w:val="en-GB"/>
        </w:rPr>
      </w:pPr>
      <w:r w:rsidRPr="00E63DCC">
        <w:rPr>
          <w:lang w:val="en-GB"/>
        </w:rPr>
        <w:t>The Ministry of Solid Minerals Development, the institution responsible for activities related to ASGM in Nigeria, will be responsible for the development of the national ASGM assessment and baseline.</w:t>
      </w:r>
      <w:r w:rsidR="00A5640C" w:rsidRPr="00E63DCC">
        <w:rPr>
          <w:lang w:val="en-GB"/>
        </w:rPr>
        <w:t xml:space="preserve"> </w:t>
      </w:r>
    </w:p>
    <w:p w14:paraId="405E8DB5" w14:textId="69AFA084" w:rsidR="005F2A7F" w:rsidRPr="00E63DCC" w:rsidRDefault="005F2A7F" w:rsidP="00A5640C">
      <w:pPr>
        <w:rPr>
          <w:lang w:val="en-GB"/>
        </w:rPr>
      </w:pPr>
      <w:r w:rsidRPr="00E63DCC">
        <w:rPr>
          <w:lang w:val="en-GB"/>
        </w:rPr>
        <w:t>WHO, working in close coordination and collaboration with the Ministry of Health, is the executing agency for the health components of the project.</w:t>
      </w:r>
      <w:r w:rsidR="00A372F9" w:rsidRPr="00E63DCC">
        <w:rPr>
          <w:lang w:val="en-GB"/>
        </w:rPr>
        <w:t xml:space="preserve"> </w:t>
      </w:r>
    </w:p>
    <w:p w14:paraId="3A98B7EB" w14:textId="45326F57" w:rsidR="005F2A7F" w:rsidRPr="00E63DCC" w:rsidRDefault="005F2A7F" w:rsidP="00A5640C">
      <w:pPr>
        <w:rPr>
          <w:lang w:val="en-GB"/>
        </w:rPr>
      </w:pPr>
      <w:r w:rsidRPr="00E63DCC">
        <w:rPr>
          <w:lang w:val="en-GB"/>
        </w:rPr>
        <w:t>UNIDO is the</w:t>
      </w:r>
      <w:r w:rsidR="00716B10" w:rsidRPr="00E63DCC">
        <w:rPr>
          <w:lang w:val="en-GB"/>
        </w:rPr>
        <w:t xml:space="preserve"> Global Environment Facility</w:t>
      </w:r>
      <w:r w:rsidR="006E07C5" w:rsidRPr="00E63DCC">
        <w:rPr>
          <w:lang w:val="en-GB"/>
        </w:rPr>
        <w:t xml:space="preserve"> implementing agency</w:t>
      </w:r>
      <w:r w:rsidRPr="00E63DCC">
        <w:rPr>
          <w:lang w:val="en-GB"/>
        </w:rPr>
        <w:t xml:space="preserve"> for the project. The UNIDO project manager will provide technical advice</w:t>
      </w:r>
      <w:r w:rsidR="006E07C5" w:rsidRPr="00E63DCC">
        <w:rPr>
          <w:lang w:val="en-GB"/>
        </w:rPr>
        <w:t xml:space="preserve"> and will </w:t>
      </w:r>
      <w:r w:rsidRPr="00E63DCC">
        <w:rPr>
          <w:lang w:val="en-GB"/>
        </w:rPr>
        <w:t>coordinate and monitor the project activities. All workplans, responsibilities, timelines, and budget should be reviewed and approved by the UNIDO project manager to ensure fast, safe, and accurate execution of the project.</w:t>
      </w:r>
    </w:p>
    <w:p w14:paraId="2ECE3EC2" w14:textId="3F18E8A2" w:rsidR="00301BEE" w:rsidRPr="00E63DCC" w:rsidRDefault="00301BEE">
      <w:pPr>
        <w:spacing w:after="0" w:line="240" w:lineRule="auto"/>
        <w:rPr>
          <w:rFonts w:eastAsia="Times New Roman"/>
          <w:b/>
          <w:bCs/>
          <w:color w:val="800000"/>
          <w:kern w:val="32"/>
          <w:sz w:val="32"/>
          <w:szCs w:val="28"/>
          <w:lang w:val="en-GB" w:eastAsia="zh-TW"/>
        </w:rPr>
      </w:pPr>
      <w:r w:rsidRPr="00E63DCC">
        <w:rPr>
          <w:lang w:val="en-GB" w:eastAsia="zh-TW"/>
        </w:rPr>
        <w:br w:type="page"/>
      </w:r>
    </w:p>
    <w:p w14:paraId="394A72D7" w14:textId="67D3DECF" w:rsidR="008901A7" w:rsidRPr="00E63DCC" w:rsidRDefault="00301BEE" w:rsidP="00A5640C">
      <w:pPr>
        <w:pStyle w:val="Heading1"/>
      </w:pPr>
      <w:bookmarkStart w:id="15" w:name="_Toc245371504"/>
      <w:bookmarkStart w:id="16" w:name="_Toc283557236"/>
      <w:bookmarkStart w:id="17" w:name="_Toc70926738"/>
      <w:bookmarkStart w:id="18" w:name="_Toc70926802"/>
      <w:bookmarkEnd w:id="9"/>
      <w:r w:rsidRPr="00E63DCC">
        <w:lastRenderedPageBreak/>
        <w:t>2.</w:t>
      </w:r>
      <w:r w:rsidRPr="00E63DCC">
        <w:tab/>
        <w:t>A</w:t>
      </w:r>
      <w:r w:rsidR="00233D9A" w:rsidRPr="00E63DCC">
        <w:t>im and objectives</w:t>
      </w:r>
      <w:bookmarkEnd w:id="15"/>
      <w:bookmarkEnd w:id="16"/>
      <w:bookmarkEnd w:id="17"/>
      <w:bookmarkEnd w:id="18"/>
    </w:p>
    <w:p w14:paraId="788CA110" w14:textId="4A9B679F" w:rsidR="008F7334" w:rsidRPr="00E63DCC" w:rsidRDefault="008F7334" w:rsidP="00A5640C">
      <w:pPr>
        <w:rPr>
          <w:lang w:val="en-GB"/>
        </w:rPr>
      </w:pPr>
      <w:r w:rsidRPr="00E63DCC">
        <w:rPr>
          <w:lang w:val="en-GB"/>
        </w:rPr>
        <w:t>ASGM sites and communities are diverse and often characteri</w:t>
      </w:r>
      <w:r w:rsidR="005440BA" w:rsidRPr="00E63DCC">
        <w:rPr>
          <w:lang w:val="en-GB"/>
        </w:rPr>
        <w:t>z</w:t>
      </w:r>
      <w:r w:rsidRPr="00E63DCC">
        <w:rPr>
          <w:lang w:val="en-GB"/>
        </w:rPr>
        <w:t xml:space="preserve">ed as relatively remote with poor access to safe drinking water, adequate sanitation and health care. While areas host to ASGM are generally covered by the peripheral health system, accessibility, acceptability and affordability of health care </w:t>
      </w:r>
      <w:r w:rsidR="00554BED" w:rsidRPr="00E63DCC">
        <w:rPr>
          <w:lang w:val="en-GB"/>
        </w:rPr>
        <w:t>for</w:t>
      </w:r>
      <w:r w:rsidRPr="00E63DCC">
        <w:rPr>
          <w:lang w:val="en-GB"/>
        </w:rPr>
        <w:t xml:space="preserve"> artisanal and small-scale gold miners, their families and the broader communities </w:t>
      </w:r>
      <w:r w:rsidR="00554BED" w:rsidRPr="00E63DCC">
        <w:rPr>
          <w:lang w:val="en-GB"/>
        </w:rPr>
        <w:t>are</w:t>
      </w:r>
      <w:r w:rsidRPr="00E63DCC">
        <w:rPr>
          <w:lang w:val="en-GB"/>
        </w:rPr>
        <w:t xml:space="preserve"> very context specific. To build a better understanding of health care systems in ASGM areas is a central element of the present study</w:t>
      </w:r>
      <w:r w:rsidR="00554BED" w:rsidRPr="00E63DCC">
        <w:rPr>
          <w:lang w:val="en-GB"/>
        </w:rPr>
        <w:t>,</w:t>
      </w:r>
      <w:r w:rsidRPr="00E63DCC">
        <w:rPr>
          <w:lang w:val="en-GB"/>
        </w:rPr>
        <w:t xml:space="preserve"> and therefore no detailed description of the type of health care system in the study sites is provided here.</w:t>
      </w:r>
    </w:p>
    <w:p w14:paraId="2FA4226C" w14:textId="62B67B7E" w:rsidR="00B35AC0" w:rsidRPr="00E63DCC" w:rsidRDefault="00B35AC0" w:rsidP="00A5640C">
      <w:pPr>
        <w:rPr>
          <w:lang w:val="en-GB"/>
        </w:rPr>
      </w:pPr>
      <w:r w:rsidRPr="00E63DCC">
        <w:rPr>
          <w:lang w:val="en-GB"/>
        </w:rPr>
        <w:t xml:space="preserve">The health situation assessment to be conducted in [country name] has the overall aim of informing the development, by relevant government agencies (health and other), of the public health component of the NAP. In this context, the assessment seeks to describe the scope of ASGM-related public health problems, characterize </w:t>
      </w:r>
      <w:r w:rsidR="00AC50FC" w:rsidRPr="00E63DCC">
        <w:rPr>
          <w:lang w:val="en-GB"/>
        </w:rPr>
        <w:t>artisanal and small-scale gold miners</w:t>
      </w:r>
      <w:r w:rsidRPr="00E63DCC">
        <w:rPr>
          <w:lang w:val="en-GB"/>
        </w:rPr>
        <w:t>’ health</w:t>
      </w:r>
      <w:r w:rsidR="005761FD" w:rsidRPr="00E63DCC">
        <w:rPr>
          <w:lang w:val="en-GB"/>
        </w:rPr>
        <w:t>-</w:t>
      </w:r>
      <w:r w:rsidRPr="00E63DCC">
        <w:rPr>
          <w:lang w:val="en-GB"/>
        </w:rPr>
        <w:t>seeking behaviours,</w:t>
      </w:r>
      <w:r w:rsidR="00554BED" w:rsidRPr="00E63DCC">
        <w:rPr>
          <w:lang w:val="en-GB"/>
        </w:rPr>
        <w:t xml:space="preserve"> gain insight into the perceptions of</w:t>
      </w:r>
      <w:r w:rsidRPr="00E63DCC">
        <w:rPr>
          <w:lang w:val="en-GB"/>
        </w:rPr>
        <w:t xml:space="preserve"> miners and</w:t>
      </w:r>
      <w:r w:rsidR="00554BED" w:rsidRPr="00E63DCC">
        <w:rPr>
          <w:lang w:val="en-GB"/>
        </w:rPr>
        <w:t xml:space="preserve"> their</w:t>
      </w:r>
      <w:r w:rsidRPr="00E63DCC">
        <w:rPr>
          <w:lang w:val="en-GB"/>
        </w:rPr>
        <w:t xml:space="preserve"> family members of</w:t>
      </w:r>
      <w:r w:rsidR="00554BED" w:rsidRPr="00E63DCC">
        <w:rPr>
          <w:lang w:val="en-GB"/>
        </w:rPr>
        <w:t xml:space="preserve"> the</w:t>
      </w:r>
      <w:r w:rsidRPr="00E63DCC">
        <w:rPr>
          <w:lang w:val="en-GB"/>
        </w:rPr>
        <w:t xml:space="preserve"> health risks associated with ASGM</w:t>
      </w:r>
      <w:r w:rsidR="00554BED" w:rsidRPr="00E63DCC">
        <w:rPr>
          <w:lang w:val="en-GB"/>
        </w:rPr>
        <w:t xml:space="preserve">, and </w:t>
      </w:r>
      <w:r w:rsidRPr="00E63DCC">
        <w:rPr>
          <w:lang w:val="en-GB"/>
        </w:rPr>
        <w:t>assess the capacity of the local health systems to cope with the challenges imposed by ASGM.</w:t>
      </w:r>
    </w:p>
    <w:p w14:paraId="4340C8E6" w14:textId="272D71CD" w:rsidR="00B35AC0" w:rsidRPr="00E63DCC" w:rsidRDefault="00B35AC0" w:rsidP="00A5640C">
      <w:pPr>
        <w:rPr>
          <w:lang w:val="en-GB"/>
        </w:rPr>
      </w:pPr>
      <w:r w:rsidRPr="00E63DCC">
        <w:rPr>
          <w:lang w:val="en-GB"/>
        </w:rPr>
        <w:t>The specific lines of inquiry (and supporting hypotheses) of the health situation assessment include the following:</w:t>
      </w:r>
    </w:p>
    <w:p w14:paraId="0C49B90E" w14:textId="54D0E0AB" w:rsidR="00B62F2E" w:rsidRPr="00E63DCC" w:rsidRDefault="00B62F2E" w:rsidP="00A5640C">
      <w:pPr>
        <w:rPr>
          <w:lang w:val="en-GB"/>
        </w:rPr>
      </w:pPr>
      <w:r w:rsidRPr="00E63DCC">
        <w:rPr>
          <w:lang w:val="en-GB"/>
        </w:rPr>
        <w:t>[Please further develop this section by modifying the paragraphs above and adding your specific research questions and hypotheses.]</w:t>
      </w:r>
    </w:p>
    <w:p w14:paraId="15738889" w14:textId="65444FF6" w:rsidR="00B62F2E" w:rsidRPr="00E63DCC" w:rsidRDefault="00B62F2E" w:rsidP="009E4347">
      <w:pPr>
        <w:pStyle w:val="Normalboldhead"/>
      </w:pPr>
      <w:r w:rsidRPr="00E63DCC">
        <w:t>Example from Nigeria [delete in final version of your study protocol]:</w:t>
      </w:r>
    </w:p>
    <w:p w14:paraId="42FFC643" w14:textId="45D5B8F7" w:rsidR="00B62F2E" w:rsidRPr="00E63DCC" w:rsidRDefault="00B62F2E" w:rsidP="00337BFD">
      <w:pPr>
        <w:pStyle w:val="Normalitalic"/>
        <w:rPr>
          <w:lang w:eastAsia="de-DE"/>
        </w:rPr>
      </w:pPr>
      <w:r w:rsidRPr="00E63DCC">
        <w:rPr>
          <w:lang w:eastAsia="de-DE"/>
        </w:rPr>
        <w:t>To describe the health issues as reported by artisanal and small-scale gold miners and by health care providers living and working in ASGM areas</w:t>
      </w:r>
      <w:r w:rsidR="00123E08" w:rsidRPr="00E63DCC">
        <w:rPr>
          <w:lang w:eastAsia="de-DE"/>
        </w:rPr>
        <w:t>:</w:t>
      </w:r>
    </w:p>
    <w:p w14:paraId="6965BEB3" w14:textId="77777777" w:rsidR="00B62F2E" w:rsidRPr="00E63DCC" w:rsidRDefault="00B62F2E" w:rsidP="00337BFD">
      <w:pPr>
        <w:pStyle w:val="Bulletlist"/>
      </w:pPr>
      <w:r w:rsidRPr="00E63DCC">
        <w:t>Hypothesis 1: There are differences between priority health concerns reported by artisanal and small-scale gold miners and the local (general) population as reported by health care providers and as reflected in local health statistics (where possible).</w:t>
      </w:r>
    </w:p>
    <w:p w14:paraId="7F51B902" w14:textId="1369B0A7" w:rsidR="00B62F2E" w:rsidRPr="00E63DCC" w:rsidRDefault="00B62F2E" w:rsidP="00337BFD">
      <w:pPr>
        <w:pStyle w:val="Normalitalic"/>
        <w:rPr>
          <w:lang w:eastAsia="de-DE"/>
        </w:rPr>
      </w:pPr>
      <w:r w:rsidRPr="00E63DCC">
        <w:rPr>
          <w:lang w:eastAsia="de-DE"/>
        </w:rPr>
        <w:t xml:space="preserve">To describe health risk perceptions </w:t>
      </w:r>
      <w:r w:rsidR="00123E08" w:rsidRPr="00E63DCC">
        <w:rPr>
          <w:lang w:eastAsia="de-DE"/>
        </w:rPr>
        <w:t>of</w:t>
      </w:r>
      <w:r w:rsidRPr="00E63DCC">
        <w:rPr>
          <w:lang w:eastAsia="de-DE"/>
        </w:rPr>
        <w:t xml:space="preserve"> artisanal and small-scale gold miners</w:t>
      </w:r>
      <w:r w:rsidR="00123E08" w:rsidRPr="00E63DCC">
        <w:rPr>
          <w:lang w:eastAsia="de-DE"/>
        </w:rPr>
        <w:t>:</w:t>
      </w:r>
    </w:p>
    <w:p w14:paraId="7D3375B6" w14:textId="26ACFAD9" w:rsidR="00B62F2E" w:rsidRPr="00E63DCC" w:rsidRDefault="00B62F2E" w:rsidP="00337BFD">
      <w:pPr>
        <w:pStyle w:val="Bulletlist"/>
      </w:pPr>
      <w:r w:rsidRPr="00E63DCC">
        <w:t>Hypothesis 2: Artisanal and small-scale gold miners’ understanding and perceptions of the dangers of ASGM activities do not compel them to adopt safer or more environmentally friendly practices or pursue another activity.</w:t>
      </w:r>
    </w:p>
    <w:p w14:paraId="3A37CE37" w14:textId="4BC4CD04" w:rsidR="00B62F2E" w:rsidRPr="00E63DCC" w:rsidRDefault="00B62F2E" w:rsidP="00337BFD">
      <w:pPr>
        <w:pStyle w:val="Normalitalic"/>
        <w:rPr>
          <w:lang w:eastAsia="de-DE"/>
        </w:rPr>
      </w:pPr>
      <w:r w:rsidRPr="00E63DCC">
        <w:rPr>
          <w:lang w:eastAsia="de-DE"/>
        </w:rPr>
        <w:t>To describe the access to health care, health-care</w:t>
      </w:r>
      <w:r w:rsidR="00337BFD" w:rsidRPr="00E63DCC">
        <w:rPr>
          <w:lang w:eastAsia="de-DE"/>
        </w:rPr>
        <w:t>-</w:t>
      </w:r>
      <w:r w:rsidRPr="00E63DCC">
        <w:rPr>
          <w:lang w:eastAsia="de-DE"/>
        </w:rPr>
        <w:t>seeking behaviour patterns and challenges related with it</w:t>
      </w:r>
      <w:r w:rsidR="00337BFD" w:rsidRPr="00E63DCC">
        <w:rPr>
          <w:lang w:eastAsia="de-DE"/>
        </w:rPr>
        <w:t>:</w:t>
      </w:r>
    </w:p>
    <w:p w14:paraId="09EEDAA4" w14:textId="77777777" w:rsidR="00B62F2E" w:rsidRPr="00E63DCC" w:rsidRDefault="00B62F2E" w:rsidP="00337BFD">
      <w:pPr>
        <w:pStyle w:val="Bulletlist"/>
      </w:pPr>
      <w:r w:rsidRPr="00E63DCC">
        <w:t>Hypothesis 3: Artisanal and small-scale gold miners, their families and the broader communities face challenges in accessing health care.</w:t>
      </w:r>
    </w:p>
    <w:p w14:paraId="2B468412" w14:textId="57F9DD15" w:rsidR="00B62F2E" w:rsidRPr="00E63DCC" w:rsidRDefault="00B62F2E" w:rsidP="00337BFD">
      <w:pPr>
        <w:pStyle w:val="Normalitalic"/>
        <w:rPr>
          <w:lang w:eastAsia="de-DE"/>
        </w:rPr>
      </w:pPr>
      <w:r w:rsidRPr="00E63DCC">
        <w:rPr>
          <w:lang w:eastAsia="de-DE"/>
        </w:rPr>
        <w:t>To describe the capacity and readiness of the health system and qualification of health care providers to address health problems specific to artisanal and small-scale gold miners, their families and the broader communities</w:t>
      </w:r>
      <w:r w:rsidR="00337BFD" w:rsidRPr="00E63DCC">
        <w:rPr>
          <w:lang w:eastAsia="de-DE"/>
        </w:rPr>
        <w:t>:</w:t>
      </w:r>
    </w:p>
    <w:p w14:paraId="4B456CBF" w14:textId="3DA17AF5" w:rsidR="00B62F2E" w:rsidRPr="00E63DCC" w:rsidRDefault="00B62F2E" w:rsidP="00337BFD">
      <w:pPr>
        <w:pStyle w:val="Bulletlist"/>
      </w:pPr>
      <w:r w:rsidRPr="00E63DCC">
        <w:lastRenderedPageBreak/>
        <w:t>Hypothesis 4: The health care system, in particular at the local level (near to ASGM communities)</w:t>
      </w:r>
      <w:r w:rsidR="00A7088E" w:rsidRPr="00E63DCC">
        <w:t>,</w:t>
      </w:r>
      <w:r w:rsidRPr="00E63DCC">
        <w:t xml:space="preserve"> is insufficiently capacitated to address health problems specific to artisanal and small-scale gold miners. Regional and local differences in capacity might also exist.</w:t>
      </w:r>
    </w:p>
    <w:p w14:paraId="4048D928" w14:textId="5470750A" w:rsidR="00B62F2E" w:rsidRPr="00E63DCC" w:rsidRDefault="00B62F2E" w:rsidP="00A5640C">
      <w:pPr>
        <w:rPr>
          <w:lang w:val="en-GB" w:eastAsia="de-DE"/>
        </w:rPr>
      </w:pPr>
      <w:r w:rsidRPr="00E63DCC">
        <w:rPr>
          <w:lang w:val="en-GB" w:eastAsia="de-DE"/>
        </w:rPr>
        <w:t xml:space="preserve">The results of the above objectives will further inform the awareness and health protection activities specifically tailored to local needs. </w:t>
      </w:r>
      <w:r w:rsidR="002A098E" w:rsidRPr="00E63DCC">
        <w:rPr>
          <w:lang w:val="en-GB" w:eastAsia="de-DE"/>
        </w:rPr>
        <w:t>They</w:t>
      </w:r>
      <w:r w:rsidRPr="00E63DCC">
        <w:rPr>
          <w:lang w:val="en-GB" w:eastAsia="de-DE"/>
        </w:rPr>
        <w:t xml:space="preserve"> will inform the type of advocacy needed at which level, the design and content of awareness-raising materials, the nature of potential outreach activities to be implemented</w:t>
      </w:r>
      <w:r w:rsidR="002A098E" w:rsidRPr="00E63DCC">
        <w:rPr>
          <w:lang w:val="en-GB" w:eastAsia="de-DE"/>
        </w:rPr>
        <w:t>,</w:t>
      </w:r>
      <w:r w:rsidRPr="00E63DCC">
        <w:rPr>
          <w:lang w:val="en-GB" w:eastAsia="de-DE"/>
        </w:rPr>
        <w:t xml:space="preserve"> and the involvement and responsibilities of different stakeholders.</w:t>
      </w:r>
    </w:p>
    <w:p w14:paraId="5210477C" w14:textId="77777777" w:rsidR="00220D80" w:rsidRPr="00E63DCC" w:rsidRDefault="00220D80" w:rsidP="00A5640C">
      <w:pPr>
        <w:rPr>
          <w:lang w:val="en-GB"/>
        </w:rPr>
      </w:pPr>
      <w:bookmarkStart w:id="19" w:name="_Toc245371514"/>
      <w:bookmarkStart w:id="20" w:name="_Toc283557240"/>
    </w:p>
    <w:p w14:paraId="5593529C" w14:textId="77777777" w:rsidR="00AE5B84" w:rsidRPr="00E63DCC" w:rsidRDefault="00AE5B84" w:rsidP="00A5640C">
      <w:pPr>
        <w:rPr>
          <w:lang w:val="en-GB"/>
        </w:rPr>
      </w:pPr>
      <w:r w:rsidRPr="00E63DCC">
        <w:rPr>
          <w:lang w:val="en-GB"/>
        </w:rPr>
        <w:br w:type="page"/>
      </w:r>
    </w:p>
    <w:p w14:paraId="0FD52076" w14:textId="5C5D7AE3" w:rsidR="009E5664" w:rsidRPr="00E63DCC" w:rsidRDefault="002A098E" w:rsidP="00A5640C">
      <w:pPr>
        <w:pStyle w:val="Heading1"/>
      </w:pPr>
      <w:bookmarkStart w:id="21" w:name="_Toc70926739"/>
      <w:bookmarkStart w:id="22" w:name="_Toc70926803"/>
      <w:r w:rsidRPr="00E63DCC">
        <w:lastRenderedPageBreak/>
        <w:t>3.</w:t>
      </w:r>
      <w:r w:rsidRPr="00E63DCC">
        <w:tab/>
        <w:t>M</w:t>
      </w:r>
      <w:r w:rsidR="003B4839" w:rsidRPr="00E63DCC">
        <w:t>ethodology</w:t>
      </w:r>
      <w:bookmarkEnd w:id="21"/>
      <w:bookmarkEnd w:id="22"/>
    </w:p>
    <w:p w14:paraId="7E4B1705" w14:textId="08B003C6" w:rsidR="008901A7" w:rsidRPr="00E63DCC" w:rsidRDefault="002A098E" w:rsidP="00A5640C">
      <w:pPr>
        <w:pStyle w:val="Heading2"/>
        <w:rPr>
          <w:lang w:val="en-GB"/>
        </w:rPr>
      </w:pPr>
      <w:bookmarkStart w:id="23" w:name="_Toc70926804"/>
      <w:bookmarkEnd w:id="19"/>
      <w:bookmarkEnd w:id="20"/>
      <w:r w:rsidRPr="00E63DCC">
        <w:rPr>
          <w:lang w:val="en-GB"/>
        </w:rPr>
        <w:t>3.1</w:t>
      </w:r>
      <w:r w:rsidRPr="00E63DCC">
        <w:rPr>
          <w:lang w:val="en-GB"/>
        </w:rPr>
        <w:tab/>
        <w:t>S</w:t>
      </w:r>
      <w:r w:rsidR="009E5664" w:rsidRPr="00E63DCC">
        <w:rPr>
          <w:lang w:val="en-GB"/>
        </w:rPr>
        <w:t>tudy design</w:t>
      </w:r>
      <w:bookmarkEnd w:id="23"/>
    </w:p>
    <w:p w14:paraId="3B0685F1" w14:textId="24B07150" w:rsidR="005C011B" w:rsidRPr="00E63DCC" w:rsidRDefault="00B02670" w:rsidP="00A5640C">
      <w:pPr>
        <w:rPr>
          <w:lang w:val="en-GB"/>
        </w:rPr>
      </w:pPr>
      <w:r w:rsidRPr="00E63DCC">
        <w:rPr>
          <w:lang w:val="en-GB"/>
        </w:rPr>
        <w:t>The study is an observational study applying a cross-sectional design and using a mixed</w:t>
      </w:r>
      <w:r w:rsidR="005167EE" w:rsidRPr="00E63DCC">
        <w:rPr>
          <w:lang w:val="en-GB"/>
        </w:rPr>
        <w:t xml:space="preserve"> </w:t>
      </w:r>
      <w:r w:rsidRPr="00E63DCC">
        <w:rPr>
          <w:lang w:val="en-GB"/>
        </w:rPr>
        <w:t>method</w:t>
      </w:r>
      <w:r w:rsidR="005167EE" w:rsidRPr="00E63DCC">
        <w:rPr>
          <w:lang w:val="en-GB"/>
        </w:rPr>
        <w:t>s</w:t>
      </w:r>
      <w:r w:rsidRPr="00E63DCC">
        <w:rPr>
          <w:lang w:val="en-GB"/>
        </w:rPr>
        <w:t xml:space="preserve"> approach. To examine the interface between </w:t>
      </w:r>
      <w:r w:rsidR="00AC50FC" w:rsidRPr="00E63DCC">
        <w:rPr>
          <w:lang w:val="en-GB"/>
        </w:rPr>
        <w:t>artisanal and small-scale gold miners</w:t>
      </w:r>
      <w:r w:rsidRPr="00E63DCC">
        <w:rPr>
          <w:lang w:val="en-GB"/>
        </w:rPr>
        <w:t xml:space="preserve"> and the health system, a combination of qualitative data from interviews and discussion rounds, quantitative data from the health sector (health statistics and HFAs) a</w:t>
      </w:r>
      <w:r w:rsidR="005167EE" w:rsidRPr="00E63DCC">
        <w:rPr>
          <w:lang w:val="en-GB"/>
        </w:rPr>
        <w:t>nd</w:t>
      </w:r>
      <w:r w:rsidRPr="00E63DCC">
        <w:rPr>
          <w:lang w:val="en-GB"/>
        </w:rPr>
        <w:t xml:space="preserve"> direct observations</w:t>
      </w:r>
      <w:r w:rsidR="005167EE" w:rsidRPr="00E63DCC">
        <w:rPr>
          <w:lang w:val="en-GB"/>
        </w:rPr>
        <w:t xml:space="preserve"> will be assembled</w:t>
      </w:r>
      <w:r w:rsidRPr="00E63DCC">
        <w:rPr>
          <w:lang w:val="en-GB"/>
        </w:rPr>
        <w:t xml:space="preserve"> (Figure </w:t>
      </w:r>
      <w:r w:rsidR="005167EE" w:rsidRPr="00E63DCC">
        <w:rPr>
          <w:lang w:val="en-GB"/>
        </w:rPr>
        <w:t>1</w:t>
      </w:r>
      <w:r w:rsidRPr="00E63DCC">
        <w:rPr>
          <w:lang w:val="en-GB"/>
        </w:rPr>
        <w:t>)</w:t>
      </w:r>
      <w:r w:rsidR="005167EE" w:rsidRPr="00E63DCC">
        <w:rPr>
          <w:lang w:val="en-GB"/>
        </w:rPr>
        <w:t xml:space="preserve"> </w:t>
      </w:r>
      <w:r w:rsidR="00D35D2D" w:rsidRPr="00E63DCC">
        <w:rPr>
          <w:i/>
          <w:lang w:val="en-GB"/>
        </w:rPr>
        <w:t>(9</w:t>
      </w:r>
      <w:r w:rsidR="005167EE" w:rsidRPr="00E63DCC">
        <w:rPr>
          <w:i/>
          <w:lang w:val="en-GB"/>
        </w:rPr>
        <w:t>)</w:t>
      </w:r>
      <w:r w:rsidRPr="00E63DCC">
        <w:rPr>
          <w:lang w:val="en-GB"/>
        </w:rPr>
        <w:t>. Such a methodological triangulation, combining multiple forms of evidence and perspectives, is an important means to enhance the validity of a recommendation and</w:t>
      </w:r>
      <w:r w:rsidR="00F3540F" w:rsidRPr="00E63DCC">
        <w:rPr>
          <w:lang w:val="en-GB"/>
        </w:rPr>
        <w:t xml:space="preserve"> is</w:t>
      </w:r>
      <w:r w:rsidRPr="00E63DCC">
        <w:rPr>
          <w:lang w:val="en-GB"/>
        </w:rPr>
        <w:t xml:space="preserve"> thus considered to be a robust methodology for use in the health situation assessment</w:t>
      </w:r>
      <w:r w:rsidR="00F3540F" w:rsidRPr="00E63DCC">
        <w:rPr>
          <w:lang w:val="en-GB"/>
        </w:rPr>
        <w:t xml:space="preserve"> </w:t>
      </w:r>
      <w:r w:rsidR="00D35D2D" w:rsidRPr="00E63DCC">
        <w:rPr>
          <w:i/>
          <w:lang w:val="en-GB"/>
        </w:rPr>
        <w:t>(10</w:t>
      </w:r>
      <w:r w:rsidR="00F3540F" w:rsidRPr="00E63DCC">
        <w:rPr>
          <w:i/>
          <w:lang w:val="en-GB"/>
        </w:rPr>
        <w:t>)</w:t>
      </w:r>
      <w:r w:rsidR="005F6542" w:rsidRPr="00E63DCC">
        <w:rPr>
          <w:i/>
          <w:lang w:val="en-GB"/>
        </w:rPr>
        <w:t xml:space="preserve"> </w:t>
      </w:r>
      <w:r w:rsidR="005F6542" w:rsidRPr="00E63DCC">
        <w:rPr>
          <w:lang w:val="en-GB"/>
        </w:rPr>
        <w:t>(see Annex 1 to the step-by-step guide)</w:t>
      </w:r>
      <w:r w:rsidRPr="00E63DCC">
        <w:rPr>
          <w:lang w:val="en-GB"/>
        </w:rPr>
        <w:t>.</w:t>
      </w:r>
      <w:r w:rsidR="005F6542" w:rsidRPr="00E63DCC">
        <w:rPr>
          <w:rStyle w:val="FootnoteReference"/>
          <w:lang w:val="en-GB"/>
        </w:rPr>
        <w:footnoteReference w:id="1"/>
      </w:r>
    </w:p>
    <w:p w14:paraId="1AF41DAF" w14:textId="6D8149C5" w:rsidR="00B02670" w:rsidRPr="00E63DCC" w:rsidRDefault="00B02670" w:rsidP="00A5640C">
      <w:pPr>
        <w:rPr>
          <w:lang w:val="en-GB"/>
        </w:rPr>
      </w:pPr>
      <w:r w:rsidRPr="00E63DCC">
        <w:rPr>
          <w:lang w:val="en-GB"/>
        </w:rPr>
        <w:t>[Please adapt this section to your specific study design by modifying the paragraph above.]</w:t>
      </w:r>
    </w:p>
    <w:p w14:paraId="3FC1B5CE" w14:textId="06ADB419" w:rsidR="00196F92" w:rsidRPr="00E63DCC" w:rsidRDefault="00196F92" w:rsidP="00DA0F5E">
      <w:pPr>
        <w:pStyle w:val="Figurehead"/>
      </w:pPr>
      <w:bookmarkStart w:id="24" w:name="_Toc475116177"/>
      <w:r w:rsidRPr="00E63DCC">
        <w:t xml:space="preserve">Figure </w:t>
      </w:r>
      <w:fldSimple w:instr=" SEQ Figure \* ARABIC ">
        <w:r w:rsidR="00DB50D1">
          <w:rPr>
            <w:noProof/>
          </w:rPr>
          <w:t>1</w:t>
        </w:r>
      </w:fldSimple>
      <w:r w:rsidRPr="00E63DCC">
        <w:t>. Methodological triangulation</w:t>
      </w:r>
      <w:bookmarkEnd w:id="24"/>
      <w:r w:rsidRPr="00E63DCC">
        <w:t xml:space="preserve"> </w:t>
      </w:r>
    </w:p>
    <w:p w14:paraId="4B6ECC18" w14:textId="77777777" w:rsidR="00B02670" w:rsidRPr="00E63DCC" w:rsidRDefault="00B02670" w:rsidP="00A5640C">
      <w:pPr>
        <w:rPr>
          <w:lang w:val="en-GB"/>
        </w:rPr>
      </w:pPr>
    </w:p>
    <w:p w14:paraId="044D3F07" w14:textId="7265EAB7" w:rsidR="00D17821" w:rsidRPr="00E63DCC" w:rsidRDefault="00D17821" w:rsidP="005F6542">
      <w:pPr>
        <w:rPr>
          <w:lang w:val="en-GB"/>
        </w:rPr>
      </w:pPr>
      <w:r w:rsidRPr="00E63DCC">
        <w:rPr>
          <w:noProof/>
          <w:lang w:val="de-CH" w:eastAsia="de-CH"/>
        </w:rPr>
        <w:drawing>
          <wp:anchor distT="0" distB="0" distL="114300" distR="114300" simplePos="0" relativeHeight="251658240" behindDoc="0" locked="0" layoutInCell="1" allowOverlap="1" wp14:anchorId="42176934" wp14:editId="70226412">
            <wp:simplePos x="0" y="0"/>
            <wp:positionH relativeFrom="column">
              <wp:posOffset>914400</wp:posOffset>
            </wp:positionH>
            <wp:positionV relativeFrom="paragraph">
              <wp:align>top</wp:align>
            </wp:positionV>
            <wp:extent cx="3009900" cy="2700655"/>
            <wp:effectExtent l="0" t="0" r="1270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r="-37"/>
                    <a:stretch>
                      <a:fillRect/>
                    </a:stretch>
                  </pic:blipFill>
                  <pic:spPr bwMode="auto">
                    <a:xfrm>
                      <a:off x="0" y="0"/>
                      <a:ext cx="3009900" cy="2700655"/>
                    </a:xfrm>
                    <a:prstGeom prst="rect">
                      <a:avLst/>
                    </a:prstGeom>
                    <a:noFill/>
                    <a:ln w="9525">
                      <a:noFill/>
                      <a:miter lim="800000"/>
                      <a:headEnd/>
                      <a:tailEnd/>
                    </a:ln>
                  </pic:spPr>
                </pic:pic>
              </a:graphicData>
            </a:graphic>
          </wp:anchor>
        </w:drawing>
      </w:r>
      <w:r w:rsidR="005F6542" w:rsidRPr="00E63DCC">
        <w:rPr>
          <w:lang w:val="en-GB"/>
        </w:rPr>
        <w:br w:type="textWrapping" w:clear="all"/>
      </w:r>
    </w:p>
    <w:p w14:paraId="632E830E" w14:textId="701C3704" w:rsidR="001B5681" w:rsidRPr="00E63DCC" w:rsidRDefault="00196F92" w:rsidP="008E4408">
      <w:pPr>
        <w:pStyle w:val="Undertext"/>
      </w:pPr>
      <w:r w:rsidRPr="00E63DCC">
        <w:rPr>
          <w:i/>
        </w:rPr>
        <w:t>Source:</w:t>
      </w:r>
      <w:r w:rsidRPr="00E63DCC">
        <w:t xml:space="preserve"> Adapted from Winkler et al. </w:t>
      </w:r>
      <w:r w:rsidRPr="00E63DCC">
        <w:rPr>
          <w:i/>
        </w:rPr>
        <w:t>(</w:t>
      </w:r>
      <w:r w:rsidR="00D35D2D" w:rsidRPr="00E63DCC">
        <w:rPr>
          <w:i/>
        </w:rPr>
        <w:t>9</w:t>
      </w:r>
      <w:r w:rsidRPr="00E63DCC">
        <w:rPr>
          <w:i/>
        </w:rPr>
        <w:t>)</w:t>
      </w:r>
      <w:r w:rsidRPr="00E63DCC">
        <w:t>.</w:t>
      </w:r>
    </w:p>
    <w:p w14:paraId="0A669C36" w14:textId="5CF5B4EC" w:rsidR="009E5664" w:rsidRPr="00E63DCC" w:rsidRDefault="00196F92" w:rsidP="00A5640C">
      <w:pPr>
        <w:pStyle w:val="Heading2"/>
        <w:rPr>
          <w:lang w:val="en-GB"/>
        </w:rPr>
      </w:pPr>
      <w:bookmarkStart w:id="25" w:name="_Toc70926805"/>
      <w:bookmarkStart w:id="26" w:name="_Toc283557242"/>
      <w:r w:rsidRPr="00E63DCC">
        <w:rPr>
          <w:lang w:val="en-GB"/>
        </w:rPr>
        <w:t>3.2</w:t>
      </w:r>
      <w:r w:rsidRPr="00E63DCC">
        <w:rPr>
          <w:lang w:val="en-GB"/>
        </w:rPr>
        <w:tab/>
        <w:t>S</w:t>
      </w:r>
      <w:r w:rsidR="008A0373" w:rsidRPr="00E63DCC">
        <w:rPr>
          <w:lang w:val="en-GB"/>
        </w:rPr>
        <w:t>tudy sites</w:t>
      </w:r>
      <w:bookmarkEnd w:id="25"/>
    </w:p>
    <w:p w14:paraId="52AD3C51" w14:textId="561D1FDA" w:rsidR="004A0C92" w:rsidRPr="00E63DCC" w:rsidRDefault="004A0C92" w:rsidP="00A5640C">
      <w:pPr>
        <w:rPr>
          <w:lang w:val="en-GB"/>
        </w:rPr>
      </w:pPr>
      <w:r w:rsidRPr="00E63DCC">
        <w:rPr>
          <w:lang w:val="en-GB"/>
        </w:rPr>
        <w:t>[Please list here your selected ASGM study sites and describe the selection criteria</w:t>
      </w:r>
      <w:r w:rsidR="001664D2" w:rsidRPr="00E63DCC">
        <w:rPr>
          <w:lang w:val="en-GB"/>
        </w:rPr>
        <w:t xml:space="preserve"> and </w:t>
      </w:r>
      <w:r w:rsidRPr="00E63DCC">
        <w:rPr>
          <w:lang w:val="en-GB"/>
        </w:rPr>
        <w:t>the most important features of the</w:t>
      </w:r>
      <w:r w:rsidR="001664D2" w:rsidRPr="00E63DCC">
        <w:rPr>
          <w:lang w:val="en-GB"/>
        </w:rPr>
        <w:t xml:space="preserve"> artisanal and small-scale gold </w:t>
      </w:r>
      <w:r w:rsidRPr="00E63DCC">
        <w:rPr>
          <w:lang w:val="en-GB"/>
        </w:rPr>
        <w:t>miners, ASGM communities and the mining practices at each site.]</w:t>
      </w:r>
    </w:p>
    <w:p w14:paraId="0EC73A2C" w14:textId="77777777" w:rsidR="004A0C92" w:rsidRPr="00E63DCC" w:rsidRDefault="004A0C92" w:rsidP="009E4347">
      <w:pPr>
        <w:pStyle w:val="Normalboldhead"/>
      </w:pPr>
      <w:r w:rsidRPr="00E63DCC">
        <w:lastRenderedPageBreak/>
        <w:t>Example from Nigeria [delete in final version of your study protocol]:</w:t>
      </w:r>
    </w:p>
    <w:p w14:paraId="5B8B48C7" w14:textId="4565BE55" w:rsidR="004A0C92" w:rsidRPr="00E63DCC" w:rsidRDefault="004A0C92" w:rsidP="00A5640C">
      <w:pPr>
        <w:rPr>
          <w:lang w:val="en-GB"/>
        </w:rPr>
      </w:pPr>
      <w:r w:rsidRPr="00E63DCC">
        <w:rPr>
          <w:lang w:val="en-GB"/>
        </w:rPr>
        <w:t>The study will be implemented in Nigeria, a country that (</w:t>
      </w:r>
      <w:r w:rsidR="001664D2" w:rsidRPr="00E63DCC">
        <w:rPr>
          <w:lang w:val="en-GB"/>
        </w:rPr>
        <w:t>a</w:t>
      </w:r>
      <w:r w:rsidRPr="00E63DCC">
        <w:rPr>
          <w:lang w:val="en-GB"/>
        </w:rPr>
        <w:t>) has more than insignificant ASGM activities on its territory</w:t>
      </w:r>
      <w:r w:rsidR="001664D2" w:rsidRPr="00E63DCC">
        <w:rPr>
          <w:lang w:val="en-GB"/>
        </w:rPr>
        <w:t>;</w:t>
      </w:r>
      <w:r w:rsidRPr="00E63DCC">
        <w:rPr>
          <w:lang w:val="en-GB"/>
        </w:rPr>
        <w:t xml:space="preserve"> (</w:t>
      </w:r>
      <w:r w:rsidR="001664D2" w:rsidRPr="00E63DCC">
        <w:rPr>
          <w:lang w:val="en-GB"/>
        </w:rPr>
        <w:t>b</w:t>
      </w:r>
      <w:r w:rsidRPr="00E63DCC">
        <w:rPr>
          <w:lang w:val="en-GB"/>
        </w:rPr>
        <w:t>) is currently in the process of developing a NAP</w:t>
      </w:r>
      <w:r w:rsidR="001664D2" w:rsidRPr="00E63DCC">
        <w:rPr>
          <w:lang w:val="en-GB"/>
        </w:rPr>
        <w:t>;</w:t>
      </w:r>
      <w:r w:rsidRPr="00E63DCC">
        <w:rPr>
          <w:lang w:val="en-GB"/>
        </w:rPr>
        <w:t xml:space="preserve"> and (</w:t>
      </w:r>
      <w:r w:rsidR="001664D2" w:rsidRPr="00E63DCC">
        <w:rPr>
          <w:lang w:val="en-GB"/>
        </w:rPr>
        <w:t>c</w:t>
      </w:r>
      <w:r w:rsidRPr="00E63DCC">
        <w:rPr>
          <w:lang w:val="en-GB"/>
        </w:rPr>
        <w:t>)</w:t>
      </w:r>
      <w:r w:rsidR="004F3D91" w:rsidRPr="00E63DCC">
        <w:rPr>
          <w:lang w:val="en-GB"/>
        </w:rPr>
        <w:t> </w:t>
      </w:r>
      <w:r w:rsidR="001664D2" w:rsidRPr="00E63DCC">
        <w:rPr>
          <w:lang w:val="en-GB"/>
        </w:rPr>
        <w:t>has nongovernmental organizations (</w:t>
      </w:r>
      <w:r w:rsidRPr="00E63DCC">
        <w:rPr>
          <w:lang w:val="en-GB"/>
        </w:rPr>
        <w:t>NGOs</w:t>
      </w:r>
      <w:r w:rsidR="001664D2" w:rsidRPr="00E63DCC">
        <w:rPr>
          <w:lang w:val="en-GB"/>
        </w:rPr>
        <w:t>)</w:t>
      </w:r>
      <w:r w:rsidRPr="00E63DCC">
        <w:rPr>
          <w:lang w:val="en-GB"/>
        </w:rPr>
        <w:t xml:space="preserve">, community-based associations </w:t>
      </w:r>
      <w:r w:rsidR="001664D2" w:rsidRPr="00E63DCC">
        <w:rPr>
          <w:lang w:val="en-GB"/>
        </w:rPr>
        <w:t>and</w:t>
      </w:r>
      <w:r w:rsidRPr="00E63DCC">
        <w:rPr>
          <w:lang w:val="en-GB"/>
        </w:rPr>
        <w:t xml:space="preserve"> civil society organizations</w:t>
      </w:r>
      <w:r w:rsidR="005003AC" w:rsidRPr="00E63DCC">
        <w:rPr>
          <w:lang w:val="en-GB"/>
        </w:rPr>
        <w:t xml:space="preserve"> (CSOs)</w:t>
      </w:r>
      <w:r w:rsidRPr="00E63DCC">
        <w:rPr>
          <w:lang w:val="en-GB"/>
        </w:rPr>
        <w:t xml:space="preserve"> present.</w:t>
      </w:r>
    </w:p>
    <w:p w14:paraId="2B9FB915" w14:textId="6D721065" w:rsidR="004A0C92" w:rsidRPr="00E63DCC" w:rsidRDefault="00E15398" w:rsidP="00A5640C">
      <w:pPr>
        <w:rPr>
          <w:lang w:val="en-GB"/>
        </w:rPr>
      </w:pPr>
      <w:r w:rsidRPr="00E63DCC">
        <w:rPr>
          <w:szCs w:val="24"/>
          <w:lang w:val="en-GB"/>
        </w:rPr>
        <w:t xml:space="preserve">The ASGM sector in Nigeria consists of informal small-scale miners who are unskilled. They employ rudimentary methods and processes to extract mineral resources. </w:t>
      </w:r>
      <w:r w:rsidR="004A0C92" w:rsidRPr="00E63DCC">
        <w:rPr>
          <w:lang w:val="en-GB"/>
        </w:rPr>
        <w:t>ASGM areas are typically located in rural, remote areas that are generally covered by the peripheral health system. To achieve the above-mentioned objectives, and in particular the objective related to health system readiness to address ASGM-related health issues, the nearest public, primary health centre and the associated first</w:t>
      </w:r>
      <w:r w:rsidR="001E6E52" w:rsidRPr="00E63DCC">
        <w:rPr>
          <w:lang w:val="en-GB"/>
        </w:rPr>
        <w:t>-</w:t>
      </w:r>
      <w:r w:rsidR="004A0C92" w:rsidRPr="00E63DCC">
        <w:rPr>
          <w:lang w:val="en-GB"/>
        </w:rPr>
        <w:t>level referral hospital in the</w:t>
      </w:r>
      <w:r w:rsidR="001450BB" w:rsidRPr="00E63DCC">
        <w:rPr>
          <w:lang w:val="en-GB"/>
        </w:rPr>
        <w:t xml:space="preserve"> </w:t>
      </w:r>
      <w:r w:rsidR="004A0C92" w:rsidRPr="00E63DCC">
        <w:rPr>
          <w:lang w:val="en-GB"/>
        </w:rPr>
        <w:t>selected ASGM areas</w:t>
      </w:r>
      <w:r w:rsidR="001E6E52" w:rsidRPr="00E63DCC">
        <w:rPr>
          <w:lang w:val="en-GB"/>
        </w:rPr>
        <w:t xml:space="preserve"> (that is, the </w:t>
      </w:r>
      <w:r w:rsidR="004A0C92" w:rsidRPr="00E63DCC">
        <w:rPr>
          <w:lang w:val="en-GB"/>
        </w:rPr>
        <w:t>study sites</w:t>
      </w:r>
      <w:r w:rsidR="001E6E52" w:rsidRPr="00E63DCC">
        <w:rPr>
          <w:lang w:val="en-GB"/>
        </w:rPr>
        <w:t>)</w:t>
      </w:r>
      <w:r w:rsidR="004A0C92" w:rsidRPr="00E63DCC">
        <w:rPr>
          <w:lang w:val="en-GB"/>
        </w:rPr>
        <w:t xml:space="preserve"> will be included. Of note, the primary care facilities could include health posts or health centres.</w:t>
      </w:r>
    </w:p>
    <w:p w14:paraId="7E09DFC8" w14:textId="06D45903" w:rsidR="004A0C92" w:rsidRPr="00E63DCC" w:rsidRDefault="004A0C92" w:rsidP="00A5640C">
      <w:pPr>
        <w:rPr>
          <w:lang w:val="en-GB"/>
        </w:rPr>
      </w:pPr>
      <w:r w:rsidRPr="00E63DCC">
        <w:rPr>
          <w:lang w:val="en-GB"/>
        </w:rPr>
        <w:t>The final selection of sites is listed in Table</w:t>
      </w:r>
      <w:r w:rsidR="001E6E52" w:rsidRPr="00E63DCC">
        <w:rPr>
          <w:lang w:val="en-GB"/>
        </w:rPr>
        <w:t xml:space="preserve"> 1</w:t>
      </w:r>
      <w:r w:rsidRPr="00E63DCC">
        <w:rPr>
          <w:lang w:val="en-GB"/>
        </w:rPr>
        <w:t>.</w:t>
      </w:r>
    </w:p>
    <w:p w14:paraId="635DA8C6" w14:textId="77777777" w:rsidR="008E4408" w:rsidRPr="00E63DCC" w:rsidRDefault="001450BB" w:rsidP="00A5640C">
      <w:pPr>
        <w:jc w:val="both"/>
        <w:rPr>
          <w:lang w:val="en-GB"/>
        </w:rPr>
      </w:pPr>
      <w:r w:rsidRPr="00E63DCC">
        <w:rPr>
          <w:lang w:val="en-GB"/>
        </w:rPr>
        <w:t>[Example for table]:</w:t>
      </w:r>
      <w:r w:rsidR="00B21695" w:rsidRPr="00E63DCC">
        <w:rPr>
          <w:lang w:val="en-GB"/>
        </w:rPr>
        <w:t xml:space="preserve"> </w:t>
      </w:r>
    </w:p>
    <w:p w14:paraId="39217696" w14:textId="64E800A8" w:rsidR="00DC3B3F" w:rsidRPr="00E63DCC" w:rsidRDefault="00DC3B3F" w:rsidP="008E4408">
      <w:pPr>
        <w:pStyle w:val="Tablehead"/>
      </w:pPr>
      <w:bookmarkStart w:id="27" w:name="_Toc475116178"/>
      <w:r w:rsidRPr="00E63DCC">
        <w:t xml:space="preserve">Table </w:t>
      </w:r>
      <w:fldSimple w:instr=" SEQ Table \* ARABIC ">
        <w:r w:rsidR="00DB50D1">
          <w:rPr>
            <w:noProof/>
          </w:rPr>
          <w:t>1</w:t>
        </w:r>
      </w:fldSimple>
      <w:r w:rsidR="008E4408" w:rsidRPr="00E63DCC">
        <w:t>.</w:t>
      </w:r>
      <w:r w:rsidRPr="00E63DCC">
        <w:t xml:space="preserve"> Potential sites to be investigated in </w:t>
      </w:r>
      <w:r w:rsidR="001450BB" w:rsidRPr="00E63DCC">
        <w:t>[country name]</w:t>
      </w:r>
      <w:bookmarkEnd w:id="27"/>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1797"/>
        <w:gridCol w:w="1804"/>
        <w:gridCol w:w="1809"/>
        <w:gridCol w:w="1800"/>
        <w:gridCol w:w="1806"/>
      </w:tblGrid>
      <w:tr w:rsidR="00B21695" w:rsidRPr="00E63DCC" w14:paraId="0BE30B19" w14:textId="77777777" w:rsidTr="00D32A65">
        <w:tc>
          <w:tcPr>
            <w:tcW w:w="1812" w:type="dxa"/>
            <w:shd w:val="clear" w:color="auto" w:fill="CCFFFF"/>
            <w:vAlign w:val="bottom"/>
            <w:hideMark/>
          </w:tcPr>
          <w:p w14:paraId="53CF3614" w14:textId="77777777" w:rsidR="00DC3B3F" w:rsidRPr="00E63DCC" w:rsidRDefault="00DC3B3F" w:rsidP="00F04759">
            <w:pPr>
              <w:pStyle w:val="Tabletext0"/>
              <w:rPr>
                <w:b/>
              </w:rPr>
            </w:pPr>
            <w:r w:rsidRPr="00E63DCC">
              <w:rPr>
                <w:b/>
              </w:rPr>
              <w:t>State</w:t>
            </w:r>
            <w:r w:rsidRPr="00E63DCC">
              <w:rPr>
                <w:b/>
              </w:rPr>
              <w:tab/>
            </w:r>
          </w:p>
        </w:tc>
        <w:tc>
          <w:tcPr>
            <w:tcW w:w="1812" w:type="dxa"/>
            <w:shd w:val="clear" w:color="auto" w:fill="CCFFFF"/>
            <w:vAlign w:val="bottom"/>
            <w:hideMark/>
          </w:tcPr>
          <w:p w14:paraId="4F5A7215" w14:textId="0EA8D70A" w:rsidR="00DC3B3F" w:rsidRPr="00E63DCC" w:rsidRDefault="00DC3B3F" w:rsidP="00F04759">
            <w:pPr>
              <w:pStyle w:val="Tabletext0"/>
              <w:rPr>
                <w:b/>
              </w:rPr>
            </w:pPr>
            <w:r w:rsidRPr="00E63DCC">
              <w:rPr>
                <w:b/>
              </w:rPr>
              <w:t xml:space="preserve">Local </w:t>
            </w:r>
            <w:r w:rsidR="00566793" w:rsidRPr="00E63DCC">
              <w:rPr>
                <w:b/>
              </w:rPr>
              <w:t>g</w:t>
            </w:r>
            <w:r w:rsidRPr="00E63DCC">
              <w:rPr>
                <w:b/>
              </w:rPr>
              <w:t>over</w:t>
            </w:r>
            <w:r w:rsidR="001450BB" w:rsidRPr="00E63DCC">
              <w:rPr>
                <w:b/>
              </w:rPr>
              <w:t>n</w:t>
            </w:r>
            <w:r w:rsidRPr="00E63DCC">
              <w:rPr>
                <w:b/>
              </w:rPr>
              <w:t xml:space="preserve">ment </w:t>
            </w:r>
            <w:r w:rsidR="00566793" w:rsidRPr="00E63DCC">
              <w:rPr>
                <w:b/>
              </w:rPr>
              <w:t>a</w:t>
            </w:r>
            <w:r w:rsidRPr="00E63DCC">
              <w:rPr>
                <w:b/>
              </w:rPr>
              <w:t>rea</w:t>
            </w:r>
          </w:p>
        </w:tc>
        <w:tc>
          <w:tcPr>
            <w:tcW w:w="1812" w:type="dxa"/>
            <w:shd w:val="clear" w:color="auto" w:fill="CCFFFF"/>
            <w:vAlign w:val="bottom"/>
            <w:hideMark/>
          </w:tcPr>
          <w:p w14:paraId="5BD78125" w14:textId="77777777" w:rsidR="00DC3B3F" w:rsidRPr="00E63DCC" w:rsidRDefault="00DC3B3F" w:rsidP="00F04759">
            <w:pPr>
              <w:pStyle w:val="Tabletext0"/>
              <w:rPr>
                <w:b/>
              </w:rPr>
            </w:pPr>
            <w:r w:rsidRPr="00E63DCC">
              <w:rPr>
                <w:b/>
              </w:rPr>
              <w:t>Administrative post</w:t>
            </w:r>
          </w:p>
        </w:tc>
        <w:tc>
          <w:tcPr>
            <w:tcW w:w="1812" w:type="dxa"/>
            <w:shd w:val="clear" w:color="auto" w:fill="CCFFFF"/>
            <w:vAlign w:val="bottom"/>
            <w:hideMark/>
          </w:tcPr>
          <w:p w14:paraId="75824965" w14:textId="77777777" w:rsidR="00DC3B3F" w:rsidRPr="00E63DCC" w:rsidRDefault="00DC3B3F" w:rsidP="00F04759">
            <w:pPr>
              <w:pStyle w:val="Tabletext0"/>
              <w:rPr>
                <w:b/>
              </w:rPr>
            </w:pPr>
            <w:r w:rsidRPr="00E63DCC">
              <w:rPr>
                <w:b/>
              </w:rPr>
              <w:t>Mines</w:t>
            </w:r>
          </w:p>
        </w:tc>
        <w:tc>
          <w:tcPr>
            <w:tcW w:w="1812" w:type="dxa"/>
            <w:shd w:val="clear" w:color="auto" w:fill="CCFFFF"/>
            <w:vAlign w:val="bottom"/>
            <w:hideMark/>
          </w:tcPr>
          <w:p w14:paraId="2246A98B" w14:textId="7E4E4F3B" w:rsidR="00DC3B3F" w:rsidRPr="00E63DCC" w:rsidRDefault="00DC3B3F" w:rsidP="00F04759">
            <w:pPr>
              <w:pStyle w:val="Tabletext0"/>
              <w:rPr>
                <w:b/>
              </w:rPr>
            </w:pPr>
            <w:r w:rsidRPr="00E63DCC">
              <w:rPr>
                <w:b/>
              </w:rPr>
              <w:t>Obs</w:t>
            </w:r>
            <w:r w:rsidR="001450BB" w:rsidRPr="00E63DCC">
              <w:rPr>
                <w:b/>
              </w:rPr>
              <w:t>ervation</w:t>
            </w:r>
            <w:r w:rsidR="00566793" w:rsidRPr="00E63DCC">
              <w:rPr>
                <w:b/>
              </w:rPr>
              <w:t>s</w:t>
            </w:r>
          </w:p>
        </w:tc>
      </w:tr>
      <w:tr w:rsidR="00B21695" w:rsidRPr="00E63DCC" w14:paraId="2B289F9F" w14:textId="77777777" w:rsidTr="00D32A65">
        <w:trPr>
          <w:trHeight w:val="755"/>
        </w:trPr>
        <w:tc>
          <w:tcPr>
            <w:tcW w:w="1812" w:type="dxa"/>
            <w:hideMark/>
          </w:tcPr>
          <w:p w14:paraId="202D6A24" w14:textId="1D4277E8" w:rsidR="00DC3B3F" w:rsidRPr="00E63DCC" w:rsidRDefault="001450BB" w:rsidP="00F04759">
            <w:pPr>
              <w:pStyle w:val="Tabletext0"/>
            </w:pPr>
            <w:r w:rsidRPr="00E63DCC">
              <w:t>[</w:t>
            </w:r>
            <w:r w:rsidR="00566793" w:rsidRPr="00E63DCC">
              <w:t>N</w:t>
            </w:r>
            <w:r w:rsidRPr="00E63DCC">
              <w:t xml:space="preserve">ame] </w:t>
            </w:r>
          </w:p>
        </w:tc>
        <w:tc>
          <w:tcPr>
            <w:tcW w:w="1812" w:type="dxa"/>
            <w:hideMark/>
          </w:tcPr>
          <w:p w14:paraId="094DB96E" w14:textId="19FEC14C" w:rsidR="00DC3B3F" w:rsidRPr="00E63DCC" w:rsidRDefault="001450BB" w:rsidP="00F04759">
            <w:pPr>
              <w:pStyle w:val="Tabletext0"/>
            </w:pPr>
            <w:r w:rsidRPr="00E63DCC">
              <w:t>[</w:t>
            </w:r>
            <w:r w:rsidR="00566793" w:rsidRPr="00E63DCC">
              <w:t>N</w:t>
            </w:r>
            <w:r w:rsidRPr="00E63DCC">
              <w:t>ame]</w:t>
            </w:r>
          </w:p>
        </w:tc>
        <w:tc>
          <w:tcPr>
            <w:tcW w:w="1812" w:type="dxa"/>
            <w:hideMark/>
          </w:tcPr>
          <w:p w14:paraId="7E222751" w14:textId="5D4A350F" w:rsidR="00DC3B3F" w:rsidRPr="00E63DCC" w:rsidRDefault="001450BB" w:rsidP="00F04759">
            <w:pPr>
              <w:pStyle w:val="Tabletext0"/>
            </w:pPr>
            <w:r w:rsidRPr="00E63DCC">
              <w:t>[</w:t>
            </w:r>
            <w:r w:rsidR="00566793" w:rsidRPr="00E63DCC">
              <w:t>N</w:t>
            </w:r>
            <w:r w:rsidRPr="00E63DCC">
              <w:t>ame]</w:t>
            </w:r>
          </w:p>
        </w:tc>
        <w:tc>
          <w:tcPr>
            <w:tcW w:w="1812" w:type="dxa"/>
            <w:hideMark/>
          </w:tcPr>
          <w:p w14:paraId="05793AA8" w14:textId="02E25FFD" w:rsidR="00DC3B3F" w:rsidRPr="00E63DCC" w:rsidRDefault="001450BB" w:rsidP="00F04759">
            <w:pPr>
              <w:pStyle w:val="Tabletext0"/>
            </w:pPr>
            <w:r w:rsidRPr="00E63DCC">
              <w:t>[</w:t>
            </w:r>
            <w:r w:rsidR="00566793" w:rsidRPr="00E63DCC">
              <w:t>N</w:t>
            </w:r>
            <w:r w:rsidRPr="00E63DCC">
              <w:t>ame(s)]</w:t>
            </w:r>
          </w:p>
        </w:tc>
        <w:tc>
          <w:tcPr>
            <w:tcW w:w="1812" w:type="dxa"/>
            <w:hideMark/>
          </w:tcPr>
          <w:p w14:paraId="16CBFFFF" w14:textId="07CC53F3" w:rsidR="00DC3B3F" w:rsidRPr="00E63DCC" w:rsidRDefault="00D32A65" w:rsidP="00F04759">
            <w:pPr>
              <w:pStyle w:val="Tabletext0"/>
            </w:pPr>
            <w:r w:rsidRPr="00E63DCC">
              <w:t>[</w:t>
            </w:r>
            <w:r w:rsidR="00DC3B3F" w:rsidRPr="00E63DCC">
              <w:t>Site 1</w:t>
            </w:r>
            <w:r w:rsidRPr="00E63DCC">
              <w:t>]</w:t>
            </w:r>
          </w:p>
        </w:tc>
      </w:tr>
      <w:tr w:rsidR="00B21695" w:rsidRPr="00E63DCC" w14:paraId="07726BAA" w14:textId="77777777" w:rsidTr="00D32A65">
        <w:trPr>
          <w:trHeight w:val="399"/>
        </w:trPr>
        <w:tc>
          <w:tcPr>
            <w:tcW w:w="1812" w:type="dxa"/>
          </w:tcPr>
          <w:p w14:paraId="50806343" w14:textId="418910BA" w:rsidR="00DC3B3F" w:rsidRPr="00E63DCC" w:rsidDel="005559D2" w:rsidRDefault="001450BB" w:rsidP="00F04759">
            <w:pPr>
              <w:pStyle w:val="Tabletext0"/>
            </w:pPr>
            <w:r w:rsidRPr="00E63DCC">
              <w:t>[</w:t>
            </w:r>
            <w:r w:rsidR="00566793" w:rsidRPr="00E63DCC">
              <w:t>N</w:t>
            </w:r>
            <w:r w:rsidRPr="00E63DCC">
              <w:t>ame]</w:t>
            </w:r>
          </w:p>
        </w:tc>
        <w:tc>
          <w:tcPr>
            <w:tcW w:w="1812" w:type="dxa"/>
          </w:tcPr>
          <w:p w14:paraId="686CECA3" w14:textId="425382AB" w:rsidR="00DC3B3F" w:rsidRPr="00E63DCC" w:rsidRDefault="001450BB" w:rsidP="00F04759">
            <w:pPr>
              <w:pStyle w:val="Tabletext0"/>
            </w:pPr>
            <w:r w:rsidRPr="00E63DCC">
              <w:t>[</w:t>
            </w:r>
            <w:r w:rsidR="00566793" w:rsidRPr="00E63DCC">
              <w:t>N</w:t>
            </w:r>
            <w:r w:rsidRPr="00E63DCC">
              <w:t>ame]</w:t>
            </w:r>
          </w:p>
        </w:tc>
        <w:tc>
          <w:tcPr>
            <w:tcW w:w="1812" w:type="dxa"/>
          </w:tcPr>
          <w:p w14:paraId="35BF0740" w14:textId="18C8B576" w:rsidR="00DC3B3F" w:rsidRPr="00E63DCC" w:rsidRDefault="001450BB" w:rsidP="00F04759">
            <w:pPr>
              <w:pStyle w:val="Tabletext0"/>
            </w:pPr>
            <w:r w:rsidRPr="00E63DCC">
              <w:t>[</w:t>
            </w:r>
            <w:r w:rsidR="00566793" w:rsidRPr="00E63DCC">
              <w:t>N</w:t>
            </w:r>
            <w:r w:rsidRPr="00E63DCC">
              <w:t>ame]</w:t>
            </w:r>
          </w:p>
        </w:tc>
        <w:tc>
          <w:tcPr>
            <w:tcW w:w="1812" w:type="dxa"/>
          </w:tcPr>
          <w:p w14:paraId="3AE872BE" w14:textId="66E63373" w:rsidR="00DC3B3F" w:rsidRPr="00E63DCC" w:rsidRDefault="001450BB" w:rsidP="00F04759">
            <w:pPr>
              <w:pStyle w:val="Tabletext0"/>
            </w:pPr>
            <w:r w:rsidRPr="00E63DCC">
              <w:t>[</w:t>
            </w:r>
            <w:r w:rsidR="00566793" w:rsidRPr="00E63DCC">
              <w:t>N</w:t>
            </w:r>
            <w:r w:rsidRPr="00E63DCC">
              <w:t>ame(s)]</w:t>
            </w:r>
          </w:p>
        </w:tc>
        <w:tc>
          <w:tcPr>
            <w:tcW w:w="1812" w:type="dxa"/>
          </w:tcPr>
          <w:p w14:paraId="0286C64F" w14:textId="2EFA4FA5" w:rsidR="00DC3B3F" w:rsidRPr="00E63DCC" w:rsidRDefault="00D32A65" w:rsidP="00F04759">
            <w:pPr>
              <w:pStyle w:val="Tabletext0"/>
            </w:pPr>
            <w:r w:rsidRPr="00E63DCC">
              <w:t>[</w:t>
            </w:r>
            <w:r w:rsidR="00DC3B3F" w:rsidRPr="00E63DCC">
              <w:t>Site 2</w:t>
            </w:r>
            <w:r w:rsidRPr="00E63DCC">
              <w:t>]</w:t>
            </w:r>
          </w:p>
        </w:tc>
      </w:tr>
      <w:tr w:rsidR="001450BB" w:rsidRPr="00E63DCC" w14:paraId="127BB799" w14:textId="77777777" w:rsidTr="00D32A65">
        <w:trPr>
          <w:trHeight w:val="399"/>
        </w:trPr>
        <w:tc>
          <w:tcPr>
            <w:tcW w:w="1812" w:type="dxa"/>
          </w:tcPr>
          <w:p w14:paraId="749C01C8" w14:textId="41791B0A" w:rsidR="001450BB" w:rsidRPr="00E63DCC" w:rsidRDefault="001450BB" w:rsidP="00F04759">
            <w:pPr>
              <w:pStyle w:val="Tabletext0"/>
            </w:pPr>
            <w:r w:rsidRPr="00E63DCC">
              <w:t>[</w:t>
            </w:r>
            <w:r w:rsidR="00EB0BEB" w:rsidRPr="00E63DCC">
              <w:t xml:space="preserve">You </w:t>
            </w:r>
            <w:r w:rsidRPr="00E63DCC">
              <w:t>may add more sites]</w:t>
            </w:r>
          </w:p>
        </w:tc>
        <w:tc>
          <w:tcPr>
            <w:tcW w:w="1812" w:type="dxa"/>
          </w:tcPr>
          <w:p w14:paraId="1FFD4633" w14:textId="77777777" w:rsidR="001450BB" w:rsidRPr="00E63DCC" w:rsidRDefault="001450BB" w:rsidP="00F04759">
            <w:pPr>
              <w:pStyle w:val="Tabletext0"/>
            </w:pPr>
          </w:p>
        </w:tc>
        <w:tc>
          <w:tcPr>
            <w:tcW w:w="1812" w:type="dxa"/>
          </w:tcPr>
          <w:p w14:paraId="527AE5C6" w14:textId="77777777" w:rsidR="001450BB" w:rsidRPr="00E63DCC" w:rsidRDefault="001450BB" w:rsidP="00F04759">
            <w:pPr>
              <w:pStyle w:val="Tabletext0"/>
            </w:pPr>
          </w:p>
        </w:tc>
        <w:tc>
          <w:tcPr>
            <w:tcW w:w="1812" w:type="dxa"/>
          </w:tcPr>
          <w:p w14:paraId="4FCDAF33" w14:textId="77777777" w:rsidR="001450BB" w:rsidRPr="00E63DCC" w:rsidRDefault="001450BB" w:rsidP="00F04759">
            <w:pPr>
              <w:pStyle w:val="Tabletext0"/>
            </w:pPr>
          </w:p>
        </w:tc>
        <w:tc>
          <w:tcPr>
            <w:tcW w:w="1812" w:type="dxa"/>
          </w:tcPr>
          <w:p w14:paraId="20C7224D" w14:textId="77777777" w:rsidR="001450BB" w:rsidRPr="00E63DCC" w:rsidRDefault="001450BB" w:rsidP="00F04759">
            <w:pPr>
              <w:pStyle w:val="Tabletext0"/>
            </w:pPr>
          </w:p>
        </w:tc>
      </w:tr>
    </w:tbl>
    <w:p w14:paraId="54E9FF6C" w14:textId="4DDA90DB" w:rsidR="001450BB" w:rsidRPr="00E63DCC" w:rsidRDefault="001450BB" w:rsidP="00D32A65">
      <w:pPr>
        <w:pStyle w:val="Normal12before"/>
      </w:pPr>
      <w:r w:rsidRPr="00E63DCC">
        <w:t xml:space="preserve">These </w:t>
      </w:r>
      <w:r w:rsidR="00566793" w:rsidRPr="00E63DCC">
        <w:t>two</w:t>
      </w:r>
      <w:r w:rsidR="0031708F" w:rsidRPr="00E63DCC">
        <w:t xml:space="preserve"> </w:t>
      </w:r>
      <w:r w:rsidRPr="00E63DCC">
        <w:t>sites were selected in line with the national ASGM baseline assessment studies being conducted in the country under the auspices of the</w:t>
      </w:r>
      <w:r w:rsidR="00566793" w:rsidRPr="00E63DCC">
        <w:t xml:space="preserve"> Federal</w:t>
      </w:r>
      <w:r w:rsidRPr="00E63DCC">
        <w:t xml:space="preserve"> Ministry of Mines and Steel Development in collaboration with the Federal Ministry of Environment, and ratified by the National Steering Grou</w:t>
      </w:r>
      <w:r w:rsidR="00566793" w:rsidRPr="00E63DCC">
        <w:t>p</w:t>
      </w:r>
      <w:r w:rsidRPr="00E63DCC">
        <w:t xml:space="preserve"> for the execution of the National Action Plan on Mercury </w:t>
      </w:r>
      <w:r w:rsidR="00566793" w:rsidRPr="00E63DCC">
        <w:t>U</w:t>
      </w:r>
      <w:r w:rsidRPr="00E63DCC">
        <w:t xml:space="preserve">se in the Nigerian ASGM </w:t>
      </w:r>
      <w:r w:rsidR="00566793" w:rsidRPr="00E63DCC">
        <w:t>S</w:t>
      </w:r>
      <w:r w:rsidRPr="00E63DCC">
        <w:t xml:space="preserve">ector. </w:t>
      </w:r>
      <w:r w:rsidR="00E15398" w:rsidRPr="00E63DCC">
        <w:t>Two of the key states for ASGM activities are Niger and Osun states. T</w:t>
      </w:r>
      <w:r w:rsidRPr="00E63DCC">
        <w:t xml:space="preserve">hese </w:t>
      </w:r>
      <w:r w:rsidR="00E15398" w:rsidRPr="00E63DCC">
        <w:t xml:space="preserve">specific </w:t>
      </w:r>
      <w:r w:rsidRPr="00E63DCC">
        <w:t>sites were selected because they</w:t>
      </w:r>
      <w:r w:rsidR="00566793" w:rsidRPr="00E63DCC">
        <w:t xml:space="preserve"> currently</w:t>
      </w:r>
      <w:r w:rsidRPr="00E63DCC">
        <w:t xml:space="preserve"> show ongoing mining activities.</w:t>
      </w:r>
    </w:p>
    <w:p w14:paraId="55310D78" w14:textId="3E45A739" w:rsidR="001450BB" w:rsidRPr="00E63DCC" w:rsidRDefault="001450BB" w:rsidP="00A5640C">
      <w:pPr>
        <w:rPr>
          <w:szCs w:val="24"/>
          <w:lang w:val="en-GB"/>
        </w:rPr>
      </w:pPr>
      <w:r w:rsidRPr="00E63DCC">
        <w:rPr>
          <w:szCs w:val="24"/>
          <w:lang w:val="en-GB"/>
        </w:rPr>
        <w:t>The ASGM communities in these two sites are not well described, which is evidently one of the goals of the current study. In general, the communities are made up predominantly</w:t>
      </w:r>
      <w:r w:rsidR="0043284C" w:rsidRPr="00E63DCC">
        <w:rPr>
          <w:szCs w:val="24"/>
          <w:lang w:val="en-GB"/>
        </w:rPr>
        <w:t xml:space="preserve"> of</w:t>
      </w:r>
      <w:r w:rsidRPr="00E63DCC">
        <w:rPr>
          <w:szCs w:val="24"/>
          <w:lang w:val="en-GB"/>
        </w:rPr>
        <w:t xml:space="preserve"> subsistence farmers. They are well organized along traditional hierarchies and institutions</w:t>
      </w:r>
      <w:r w:rsidR="00753FF5" w:rsidRPr="00E63DCC">
        <w:rPr>
          <w:szCs w:val="24"/>
          <w:lang w:val="en-GB"/>
        </w:rPr>
        <w:t>,</w:t>
      </w:r>
      <w:r w:rsidRPr="00E63DCC">
        <w:rPr>
          <w:szCs w:val="24"/>
          <w:lang w:val="en-GB"/>
        </w:rPr>
        <w:t xml:space="preserve"> including a community head</w:t>
      </w:r>
      <w:r w:rsidR="00753FF5" w:rsidRPr="00E63DCC">
        <w:rPr>
          <w:szCs w:val="24"/>
          <w:lang w:val="en-GB"/>
        </w:rPr>
        <w:t xml:space="preserve"> or </w:t>
      </w:r>
      <w:r w:rsidRPr="00E63DCC">
        <w:rPr>
          <w:szCs w:val="24"/>
          <w:lang w:val="en-GB"/>
        </w:rPr>
        <w:t>leader, elders,</w:t>
      </w:r>
      <w:r w:rsidR="00753FF5" w:rsidRPr="00E63DCC">
        <w:rPr>
          <w:szCs w:val="24"/>
          <w:lang w:val="en-GB"/>
        </w:rPr>
        <w:t xml:space="preserve"> and</w:t>
      </w:r>
      <w:r w:rsidRPr="00E63DCC">
        <w:rPr>
          <w:szCs w:val="24"/>
          <w:lang w:val="en-GB"/>
        </w:rPr>
        <w:t xml:space="preserve"> women and youth leaders. Many of the communities around the mining areas lack basic amenities such as pipe-borne water</w:t>
      </w:r>
      <w:r w:rsidR="00C50D96" w:rsidRPr="00E63DCC">
        <w:rPr>
          <w:szCs w:val="24"/>
          <w:lang w:val="en-GB"/>
        </w:rPr>
        <w:t xml:space="preserve"> or </w:t>
      </w:r>
      <w:r w:rsidRPr="00E63DCC">
        <w:rPr>
          <w:szCs w:val="24"/>
          <w:lang w:val="en-GB"/>
        </w:rPr>
        <w:t>educational and health infrastructure</w:t>
      </w:r>
      <w:r w:rsidR="00C50D96" w:rsidRPr="00E63DCC">
        <w:rPr>
          <w:szCs w:val="24"/>
          <w:lang w:val="en-GB"/>
        </w:rPr>
        <w:t xml:space="preserve">; </w:t>
      </w:r>
      <w:r w:rsidRPr="00E63DCC">
        <w:rPr>
          <w:szCs w:val="24"/>
          <w:lang w:val="en-GB"/>
        </w:rPr>
        <w:t>where they</w:t>
      </w:r>
      <w:r w:rsidR="00C50D96" w:rsidRPr="00E63DCC">
        <w:rPr>
          <w:szCs w:val="24"/>
          <w:lang w:val="en-GB"/>
        </w:rPr>
        <w:t xml:space="preserve"> do</w:t>
      </w:r>
      <w:r w:rsidRPr="00E63DCC">
        <w:rPr>
          <w:szCs w:val="24"/>
          <w:lang w:val="en-GB"/>
        </w:rPr>
        <w:t xml:space="preserve"> exist, they are often dilapidated. Miners </w:t>
      </w:r>
      <w:r w:rsidRPr="00E63DCC">
        <w:rPr>
          <w:szCs w:val="24"/>
          <w:lang w:val="en-GB"/>
        </w:rPr>
        <w:lastRenderedPageBreak/>
        <w:t>are mostly young men, but children are occasionally involved in mining activities in some instances. Women are rarely involved.</w:t>
      </w:r>
    </w:p>
    <w:p w14:paraId="15DEECF6" w14:textId="4C8EF5F6" w:rsidR="001450BB" w:rsidRPr="00E63DCC" w:rsidRDefault="001450BB" w:rsidP="00A5640C">
      <w:pPr>
        <w:spacing w:after="240"/>
        <w:rPr>
          <w:rFonts w:cs="Arial"/>
          <w:szCs w:val="24"/>
          <w:lang w:val="en-GB"/>
        </w:rPr>
      </w:pPr>
      <w:r w:rsidRPr="00E63DCC">
        <w:rPr>
          <w:rFonts w:cs="Arial"/>
          <w:szCs w:val="24"/>
          <w:lang w:val="en-GB"/>
        </w:rPr>
        <w:t xml:space="preserve">The small-scale gold mining industry has a long tradition in </w:t>
      </w:r>
      <w:r w:rsidR="00793A93" w:rsidRPr="00E63DCC">
        <w:rPr>
          <w:rFonts w:cs="Arial"/>
          <w:szCs w:val="24"/>
          <w:lang w:val="en-GB"/>
        </w:rPr>
        <w:t>n</w:t>
      </w:r>
      <w:r w:rsidRPr="00E63DCC">
        <w:rPr>
          <w:rFonts w:cs="Arial"/>
          <w:szCs w:val="24"/>
          <w:lang w:val="en-GB"/>
        </w:rPr>
        <w:t xml:space="preserve">orth-western and </w:t>
      </w:r>
      <w:r w:rsidR="00793A93" w:rsidRPr="00E63DCC">
        <w:rPr>
          <w:rFonts w:cs="Arial"/>
          <w:szCs w:val="24"/>
          <w:lang w:val="en-GB"/>
        </w:rPr>
        <w:t>n</w:t>
      </w:r>
      <w:r w:rsidRPr="00E63DCC">
        <w:rPr>
          <w:rFonts w:cs="Arial"/>
          <w:szCs w:val="24"/>
          <w:lang w:val="en-GB"/>
        </w:rPr>
        <w:t xml:space="preserve">orth </w:t>
      </w:r>
      <w:r w:rsidR="00793A93" w:rsidRPr="00E63DCC">
        <w:rPr>
          <w:rFonts w:cs="Arial"/>
          <w:szCs w:val="24"/>
          <w:lang w:val="en-GB"/>
        </w:rPr>
        <w:t>c</w:t>
      </w:r>
      <w:r w:rsidRPr="00E63DCC">
        <w:rPr>
          <w:rFonts w:cs="Arial"/>
          <w:szCs w:val="24"/>
          <w:lang w:val="en-GB"/>
        </w:rPr>
        <w:t xml:space="preserve">entral </w:t>
      </w:r>
      <w:r w:rsidR="00793A93" w:rsidRPr="00E63DCC">
        <w:rPr>
          <w:rFonts w:cs="Arial"/>
          <w:szCs w:val="24"/>
          <w:lang w:val="en-GB"/>
        </w:rPr>
        <w:t>s</w:t>
      </w:r>
      <w:r w:rsidRPr="00E63DCC">
        <w:rPr>
          <w:rFonts w:cs="Arial"/>
          <w:szCs w:val="24"/>
          <w:lang w:val="en-GB"/>
        </w:rPr>
        <w:t>tates</w:t>
      </w:r>
      <w:r w:rsidR="00793A93" w:rsidRPr="00E63DCC">
        <w:rPr>
          <w:rFonts w:cs="Arial"/>
          <w:szCs w:val="24"/>
          <w:lang w:val="en-GB"/>
        </w:rPr>
        <w:t>,</w:t>
      </w:r>
      <w:r w:rsidRPr="00E63DCC">
        <w:rPr>
          <w:rFonts w:cs="Arial"/>
          <w:szCs w:val="24"/>
          <w:lang w:val="en-GB"/>
        </w:rPr>
        <w:t xml:space="preserve"> such as Niger </w:t>
      </w:r>
      <w:r w:rsidR="00793A93" w:rsidRPr="00E63DCC">
        <w:rPr>
          <w:rFonts w:cs="Arial"/>
          <w:szCs w:val="24"/>
          <w:lang w:val="en-GB"/>
        </w:rPr>
        <w:t>s</w:t>
      </w:r>
      <w:r w:rsidRPr="00E63DCC">
        <w:rPr>
          <w:rFonts w:cs="Arial"/>
          <w:szCs w:val="24"/>
          <w:lang w:val="en-GB"/>
        </w:rPr>
        <w:t>tate. Niger is situated close to the Federal Capital Territory</w:t>
      </w:r>
      <w:r w:rsidR="00127FF4" w:rsidRPr="00E63DCC">
        <w:rPr>
          <w:rFonts w:cs="Arial"/>
          <w:szCs w:val="24"/>
          <w:lang w:val="en-GB"/>
        </w:rPr>
        <w:t xml:space="preserve"> of</w:t>
      </w:r>
      <w:r w:rsidRPr="00E63DCC">
        <w:rPr>
          <w:rFonts w:cs="Arial"/>
          <w:szCs w:val="24"/>
          <w:lang w:val="en-GB"/>
        </w:rPr>
        <w:t xml:space="preserve"> Abuja</w:t>
      </w:r>
      <w:r w:rsidR="00127FF4" w:rsidRPr="00E63DCC">
        <w:rPr>
          <w:rFonts w:cs="Arial"/>
          <w:szCs w:val="24"/>
          <w:lang w:val="en-GB"/>
        </w:rPr>
        <w:t xml:space="preserve"> in north-western Nigeria</w:t>
      </w:r>
      <w:r w:rsidRPr="00E63DCC">
        <w:rPr>
          <w:rFonts w:cs="Arial"/>
          <w:szCs w:val="24"/>
          <w:lang w:val="en-GB"/>
        </w:rPr>
        <w:t>. Niger has enormous potential for mineral exploration</w:t>
      </w:r>
      <w:r w:rsidR="00C05EF6" w:rsidRPr="00E63DCC">
        <w:rPr>
          <w:rFonts w:cs="Arial"/>
          <w:szCs w:val="24"/>
          <w:lang w:val="en-GB"/>
        </w:rPr>
        <w:t>,</w:t>
      </w:r>
      <w:r w:rsidRPr="00E63DCC">
        <w:rPr>
          <w:rFonts w:cs="Arial"/>
          <w:szCs w:val="24"/>
          <w:lang w:val="en-GB"/>
        </w:rPr>
        <w:t xml:space="preserve"> including gold. Gold extraction is at a subsistence level. It is an extremely strenuous and hazardous activity. Miners and artisans in the ASGM operations chain in Niger </w:t>
      </w:r>
      <w:r w:rsidR="00C05EF6" w:rsidRPr="00E63DCC">
        <w:rPr>
          <w:rFonts w:cs="Arial"/>
          <w:szCs w:val="24"/>
          <w:lang w:val="en-GB"/>
        </w:rPr>
        <w:t>do not use p</w:t>
      </w:r>
      <w:r w:rsidRPr="00E63DCC">
        <w:rPr>
          <w:rFonts w:cs="Arial"/>
          <w:szCs w:val="24"/>
          <w:lang w:val="en-GB"/>
        </w:rPr>
        <w:t xml:space="preserve">ersonal </w:t>
      </w:r>
      <w:r w:rsidR="00C05EF6" w:rsidRPr="00E63DCC">
        <w:rPr>
          <w:rFonts w:cs="Arial"/>
          <w:szCs w:val="24"/>
          <w:lang w:val="en-GB"/>
        </w:rPr>
        <w:t>p</w:t>
      </w:r>
      <w:r w:rsidRPr="00E63DCC">
        <w:rPr>
          <w:rFonts w:cs="Arial"/>
          <w:szCs w:val="24"/>
          <w:lang w:val="en-GB"/>
        </w:rPr>
        <w:t xml:space="preserve">rotective </w:t>
      </w:r>
      <w:r w:rsidR="00C05EF6" w:rsidRPr="00E63DCC">
        <w:rPr>
          <w:rFonts w:cs="Arial"/>
          <w:szCs w:val="24"/>
          <w:lang w:val="en-GB"/>
        </w:rPr>
        <w:t>e</w:t>
      </w:r>
      <w:r w:rsidRPr="00E63DCC">
        <w:rPr>
          <w:rFonts w:cs="Arial"/>
          <w:szCs w:val="24"/>
          <w:lang w:val="en-GB"/>
        </w:rPr>
        <w:t>quipment</w:t>
      </w:r>
      <w:r w:rsidR="00C05EF6" w:rsidRPr="00E63DCC">
        <w:rPr>
          <w:rFonts w:cs="Arial"/>
          <w:szCs w:val="24"/>
          <w:lang w:val="en-GB"/>
        </w:rPr>
        <w:t xml:space="preserve">, which </w:t>
      </w:r>
      <w:r w:rsidRPr="00E63DCC">
        <w:rPr>
          <w:rFonts w:cs="Arial"/>
          <w:szCs w:val="24"/>
          <w:lang w:val="en-GB"/>
        </w:rPr>
        <w:t xml:space="preserve">increases occupational health and safety risks. The estimated gold production rate </w:t>
      </w:r>
      <w:r w:rsidR="003A0420" w:rsidRPr="00E63DCC">
        <w:rPr>
          <w:rFonts w:cs="Arial"/>
          <w:szCs w:val="24"/>
          <w:lang w:val="en-GB"/>
        </w:rPr>
        <w:t>was</w:t>
      </w:r>
      <w:r w:rsidRPr="00E63DCC">
        <w:rPr>
          <w:rFonts w:cs="Arial"/>
          <w:szCs w:val="24"/>
          <w:lang w:val="en-GB"/>
        </w:rPr>
        <w:t xml:space="preserve"> about 4391 ounces in 2016. ASGM operations take place</w:t>
      </w:r>
      <w:r w:rsidR="00D04FA9" w:rsidRPr="00E63DCC">
        <w:rPr>
          <w:rFonts w:cs="Arial"/>
          <w:szCs w:val="24"/>
          <w:lang w:val="en-GB"/>
        </w:rPr>
        <w:t xml:space="preserve"> mainly in outer areas </w:t>
      </w:r>
      <w:r w:rsidRPr="00E63DCC">
        <w:rPr>
          <w:rFonts w:cs="Arial"/>
          <w:szCs w:val="24"/>
          <w:lang w:val="en-GB"/>
        </w:rPr>
        <w:t xml:space="preserve">several kilometres away from Minna, the </w:t>
      </w:r>
      <w:r w:rsidR="00D04FA9" w:rsidRPr="00E63DCC">
        <w:rPr>
          <w:rFonts w:cs="Arial"/>
          <w:szCs w:val="24"/>
          <w:lang w:val="en-GB"/>
        </w:rPr>
        <w:t>s</w:t>
      </w:r>
      <w:r w:rsidRPr="00E63DCC">
        <w:rPr>
          <w:rFonts w:cs="Arial"/>
          <w:szCs w:val="24"/>
          <w:lang w:val="en-GB"/>
        </w:rPr>
        <w:t xml:space="preserve">tate </w:t>
      </w:r>
      <w:r w:rsidR="00D04FA9" w:rsidRPr="00E63DCC">
        <w:rPr>
          <w:rFonts w:cs="Arial"/>
          <w:szCs w:val="24"/>
          <w:lang w:val="en-GB"/>
        </w:rPr>
        <w:t>c</w:t>
      </w:r>
      <w:r w:rsidRPr="00E63DCC">
        <w:rPr>
          <w:rFonts w:cs="Arial"/>
          <w:szCs w:val="24"/>
          <w:lang w:val="en-GB"/>
        </w:rPr>
        <w:t xml:space="preserve">apital. Major </w:t>
      </w:r>
      <w:r w:rsidR="00AE1A4E" w:rsidRPr="00E63DCC">
        <w:rPr>
          <w:rFonts w:cs="Arial"/>
          <w:szCs w:val="24"/>
          <w:lang w:val="en-GB"/>
        </w:rPr>
        <w:t>g</w:t>
      </w:r>
      <w:r w:rsidRPr="00E63DCC">
        <w:rPr>
          <w:rFonts w:cs="Arial"/>
          <w:szCs w:val="24"/>
          <w:lang w:val="en-GB"/>
        </w:rPr>
        <w:t xml:space="preserve">old mining communities include </w:t>
      </w:r>
      <w:proofErr w:type="spellStart"/>
      <w:r w:rsidRPr="00E63DCC">
        <w:rPr>
          <w:rFonts w:cs="Arial"/>
          <w:szCs w:val="24"/>
          <w:lang w:val="en-GB"/>
        </w:rPr>
        <w:t>Gurmana</w:t>
      </w:r>
      <w:proofErr w:type="spellEnd"/>
      <w:r w:rsidRPr="00E63DCC">
        <w:rPr>
          <w:rFonts w:cs="Arial"/>
          <w:szCs w:val="24"/>
          <w:lang w:val="en-GB"/>
        </w:rPr>
        <w:t xml:space="preserve"> in </w:t>
      </w:r>
      <w:proofErr w:type="spellStart"/>
      <w:r w:rsidRPr="00E63DCC">
        <w:rPr>
          <w:rFonts w:cs="Arial"/>
          <w:szCs w:val="24"/>
          <w:lang w:val="en-GB"/>
        </w:rPr>
        <w:t>Shiroro</w:t>
      </w:r>
      <w:proofErr w:type="spellEnd"/>
      <w:r w:rsidRPr="00E63DCC">
        <w:rPr>
          <w:rFonts w:cs="Arial"/>
          <w:szCs w:val="24"/>
          <w:lang w:val="en-GB"/>
        </w:rPr>
        <w:t xml:space="preserve"> </w:t>
      </w:r>
      <w:r w:rsidR="00D04FA9" w:rsidRPr="00E63DCC">
        <w:rPr>
          <w:rFonts w:cs="Arial"/>
          <w:szCs w:val="24"/>
          <w:lang w:val="en-GB"/>
        </w:rPr>
        <w:t>l</w:t>
      </w:r>
      <w:r w:rsidRPr="00E63DCC">
        <w:rPr>
          <w:rFonts w:cs="Arial"/>
          <w:szCs w:val="24"/>
          <w:lang w:val="en-GB"/>
        </w:rPr>
        <w:t xml:space="preserve">ocal </w:t>
      </w:r>
      <w:r w:rsidR="00D04FA9" w:rsidRPr="00E63DCC">
        <w:rPr>
          <w:rFonts w:cs="Arial"/>
          <w:szCs w:val="24"/>
          <w:lang w:val="en-GB"/>
        </w:rPr>
        <w:t>g</w:t>
      </w:r>
      <w:r w:rsidRPr="00E63DCC">
        <w:rPr>
          <w:rFonts w:cs="Arial"/>
          <w:szCs w:val="24"/>
          <w:lang w:val="en-GB"/>
        </w:rPr>
        <w:t xml:space="preserve">overnment </w:t>
      </w:r>
      <w:r w:rsidR="00D04FA9" w:rsidRPr="00E63DCC">
        <w:rPr>
          <w:rFonts w:cs="Arial"/>
          <w:szCs w:val="24"/>
          <w:lang w:val="en-GB"/>
        </w:rPr>
        <w:t>a</w:t>
      </w:r>
      <w:r w:rsidRPr="00E63DCC">
        <w:rPr>
          <w:rFonts w:cs="Arial"/>
          <w:szCs w:val="24"/>
          <w:lang w:val="en-GB"/>
        </w:rPr>
        <w:t xml:space="preserve">rea and </w:t>
      </w:r>
      <w:proofErr w:type="spellStart"/>
      <w:r w:rsidRPr="00E63DCC">
        <w:rPr>
          <w:rFonts w:cs="Arial"/>
          <w:szCs w:val="24"/>
          <w:lang w:val="en-GB"/>
        </w:rPr>
        <w:t>Pandogari</w:t>
      </w:r>
      <w:proofErr w:type="spellEnd"/>
      <w:r w:rsidRPr="00E63DCC">
        <w:rPr>
          <w:rFonts w:cs="Arial"/>
          <w:szCs w:val="24"/>
          <w:lang w:val="en-GB"/>
        </w:rPr>
        <w:t xml:space="preserve"> in Rafi </w:t>
      </w:r>
      <w:r w:rsidR="00D04FA9" w:rsidRPr="00E63DCC">
        <w:rPr>
          <w:rFonts w:cs="Arial"/>
          <w:szCs w:val="24"/>
          <w:lang w:val="en-GB"/>
        </w:rPr>
        <w:t>l</w:t>
      </w:r>
      <w:r w:rsidRPr="00E63DCC">
        <w:rPr>
          <w:rFonts w:cs="Arial"/>
          <w:szCs w:val="24"/>
          <w:lang w:val="en-GB"/>
        </w:rPr>
        <w:t xml:space="preserve">ocal </w:t>
      </w:r>
      <w:r w:rsidR="00D04FA9" w:rsidRPr="00E63DCC">
        <w:rPr>
          <w:rFonts w:cs="Arial"/>
          <w:szCs w:val="24"/>
          <w:lang w:val="en-GB"/>
        </w:rPr>
        <w:t>g</w:t>
      </w:r>
      <w:r w:rsidRPr="00E63DCC">
        <w:rPr>
          <w:rFonts w:cs="Arial"/>
          <w:szCs w:val="24"/>
          <w:lang w:val="en-GB"/>
        </w:rPr>
        <w:t xml:space="preserve">overnment </w:t>
      </w:r>
      <w:r w:rsidR="00D04FA9" w:rsidRPr="00E63DCC">
        <w:rPr>
          <w:rFonts w:cs="Arial"/>
          <w:szCs w:val="24"/>
          <w:lang w:val="en-GB"/>
        </w:rPr>
        <w:t>a</w:t>
      </w:r>
      <w:r w:rsidRPr="00E63DCC">
        <w:rPr>
          <w:rFonts w:cs="Arial"/>
          <w:szCs w:val="24"/>
          <w:lang w:val="en-GB"/>
        </w:rPr>
        <w:t xml:space="preserve">rea. Other sites include Zumba, </w:t>
      </w:r>
      <w:proofErr w:type="spellStart"/>
      <w:r w:rsidRPr="00E63DCC">
        <w:rPr>
          <w:rFonts w:cs="Arial"/>
          <w:szCs w:val="24"/>
          <w:lang w:val="en-GB"/>
        </w:rPr>
        <w:t>Gwada</w:t>
      </w:r>
      <w:proofErr w:type="spellEnd"/>
      <w:r w:rsidRPr="00E63DCC">
        <w:rPr>
          <w:rFonts w:cs="Arial"/>
          <w:szCs w:val="24"/>
          <w:lang w:val="en-GB"/>
        </w:rPr>
        <w:t xml:space="preserve">, </w:t>
      </w:r>
      <w:proofErr w:type="spellStart"/>
      <w:r w:rsidRPr="00E63DCC">
        <w:rPr>
          <w:rFonts w:cs="Arial"/>
          <w:szCs w:val="24"/>
          <w:lang w:val="en-GB"/>
        </w:rPr>
        <w:t>Galadima</w:t>
      </w:r>
      <w:proofErr w:type="spellEnd"/>
      <w:r w:rsidRPr="00E63DCC">
        <w:rPr>
          <w:rFonts w:cs="Arial"/>
          <w:szCs w:val="24"/>
          <w:lang w:val="en-GB"/>
        </w:rPr>
        <w:t xml:space="preserve">, </w:t>
      </w:r>
      <w:proofErr w:type="spellStart"/>
      <w:r w:rsidRPr="00E63DCC">
        <w:rPr>
          <w:rFonts w:cs="Arial"/>
          <w:szCs w:val="24"/>
          <w:lang w:val="en-GB"/>
        </w:rPr>
        <w:t>Kogo</w:t>
      </w:r>
      <w:proofErr w:type="spellEnd"/>
      <w:r w:rsidRPr="00E63DCC">
        <w:rPr>
          <w:rFonts w:cs="Arial"/>
          <w:szCs w:val="24"/>
          <w:lang w:val="en-GB"/>
        </w:rPr>
        <w:t xml:space="preserve">, </w:t>
      </w:r>
      <w:proofErr w:type="spellStart"/>
      <w:r w:rsidRPr="00E63DCC">
        <w:rPr>
          <w:rFonts w:cs="Arial"/>
          <w:szCs w:val="24"/>
          <w:lang w:val="en-GB"/>
        </w:rPr>
        <w:t>Tashibo</w:t>
      </w:r>
      <w:proofErr w:type="spellEnd"/>
      <w:r w:rsidRPr="00E63DCC">
        <w:rPr>
          <w:rFonts w:cs="Arial"/>
          <w:szCs w:val="24"/>
          <w:lang w:val="en-GB"/>
        </w:rPr>
        <w:t xml:space="preserve">, </w:t>
      </w:r>
      <w:proofErr w:type="spellStart"/>
      <w:r w:rsidRPr="00E63DCC">
        <w:rPr>
          <w:rFonts w:cs="Arial"/>
          <w:szCs w:val="24"/>
          <w:lang w:val="en-GB"/>
        </w:rPr>
        <w:t>Garafini</w:t>
      </w:r>
      <w:proofErr w:type="spellEnd"/>
      <w:r w:rsidRPr="00E63DCC">
        <w:rPr>
          <w:rFonts w:cs="Arial"/>
          <w:szCs w:val="24"/>
          <w:lang w:val="en-GB"/>
        </w:rPr>
        <w:t xml:space="preserve">, </w:t>
      </w:r>
      <w:proofErr w:type="spellStart"/>
      <w:r w:rsidRPr="00E63DCC">
        <w:rPr>
          <w:rFonts w:cs="Arial"/>
          <w:szCs w:val="24"/>
          <w:lang w:val="en-GB"/>
        </w:rPr>
        <w:t>Shikira</w:t>
      </w:r>
      <w:proofErr w:type="spellEnd"/>
      <w:r w:rsidRPr="00E63DCC">
        <w:rPr>
          <w:rFonts w:cs="Arial"/>
          <w:szCs w:val="24"/>
          <w:lang w:val="en-GB"/>
        </w:rPr>
        <w:t xml:space="preserve">, </w:t>
      </w:r>
      <w:proofErr w:type="spellStart"/>
      <w:r w:rsidRPr="00E63DCC">
        <w:rPr>
          <w:rFonts w:cs="Arial"/>
          <w:szCs w:val="24"/>
          <w:lang w:val="en-GB"/>
        </w:rPr>
        <w:t>Kpmakpma</w:t>
      </w:r>
      <w:proofErr w:type="spellEnd"/>
      <w:r w:rsidRPr="00E63DCC">
        <w:rPr>
          <w:rFonts w:cs="Arial"/>
          <w:szCs w:val="24"/>
          <w:lang w:val="en-GB"/>
        </w:rPr>
        <w:t xml:space="preserve"> and </w:t>
      </w:r>
      <w:proofErr w:type="spellStart"/>
      <w:r w:rsidRPr="00E63DCC">
        <w:rPr>
          <w:rFonts w:cs="Arial"/>
          <w:szCs w:val="24"/>
          <w:lang w:val="en-GB"/>
        </w:rPr>
        <w:t>Kadaura</w:t>
      </w:r>
      <w:proofErr w:type="spellEnd"/>
      <w:r w:rsidR="00B276A9" w:rsidRPr="00E63DCC">
        <w:rPr>
          <w:rFonts w:cs="Arial"/>
          <w:szCs w:val="24"/>
          <w:lang w:val="en-GB"/>
        </w:rPr>
        <w:t xml:space="preserve"> </w:t>
      </w:r>
      <w:proofErr w:type="spellStart"/>
      <w:r w:rsidRPr="00E63DCC">
        <w:rPr>
          <w:rFonts w:cs="Arial"/>
          <w:szCs w:val="24"/>
          <w:lang w:val="en-GB"/>
        </w:rPr>
        <w:t>Zazzaga</w:t>
      </w:r>
      <w:proofErr w:type="spellEnd"/>
      <w:r w:rsidRPr="00E63DCC">
        <w:rPr>
          <w:rFonts w:cs="Arial"/>
          <w:szCs w:val="24"/>
          <w:lang w:val="en-GB"/>
        </w:rPr>
        <w:t>.</w:t>
      </w:r>
    </w:p>
    <w:p w14:paraId="5ADA208B" w14:textId="1F8F86BF" w:rsidR="00DC3B3F" w:rsidRPr="00E63DCC" w:rsidRDefault="001450BB" w:rsidP="00A5640C">
      <w:pPr>
        <w:rPr>
          <w:rFonts w:cs="Arial"/>
          <w:szCs w:val="24"/>
          <w:lang w:val="en-GB"/>
        </w:rPr>
      </w:pPr>
      <w:r w:rsidRPr="00E63DCC">
        <w:rPr>
          <w:rFonts w:cs="Arial"/>
          <w:szCs w:val="24"/>
          <w:lang w:val="en-GB"/>
        </w:rPr>
        <w:t xml:space="preserve">Osun </w:t>
      </w:r>
      <w:r w:rsidR="00B74FC8" w:rsidRPr="00E63DCC">
        <w:rPr>
          <w:rFonts w:cs="Arial"/>
          <w:szCs w:val="24"/>
          <w:lang w:val="en-GB"/>
        </w:rPr>
        <w:t>s</w:t>
      </w:r>
      <w:r w:rsidRPr="00E63DCC">
        <w:rPr>
          <w:rFonts w:cs="Arial"/>
          <w:szCs w:val="24"/>
          <w:lang w:val="en-GB"/>
        </w:rPr>
        <w:t xml:space="preserve">tate in </w:t>
      </w:r>
      <w:r w:rsidR="00B74FC8" w:rsidRPr="00E63DCC">
        <w:rPr>
          <w:rFonts w:cs="Arial"/>
          <w:szCs w:val="24"/>
          <w:lang w:val="en-GB"/>
        </w:rPr>
        <w:t>s</w:t>
      </w:r>
      <w:r w:rsidRPr="00E63DCC">
        <w:rPr>
          <w:rFonts w:cs="Arial"/>
          <w:szCs w:val="24"/>
          <w:lang w:val="en-GB"/>
        </w:rPr>
        <w:t>outh</w:t>
      </w:r>
      <w:r w:rsidR="00B74FC8" w:rsidRPr="00E63DCC">
        <w:rPr>
          <w:rFonts w:cs="Arial"/>
          <w:szCs w:val="24"/>
          <w:lang w:val="en-GB"/>
        </w:rPr>
        <w:t>-w</w:t>
      </w:r>
      <w:r w:rsidRPr="00E63DCC">
        <w:rPr>
          <w:rFonts w:cs="Arial"/>
          <w:szCs w:val="24"/>
          <w:lang w:val="en-GB"/>
        </w:rPr>
        <w:t>estern Nigeria also has prospects</w:t>
      </w:r>
      <w:r w:rsidR="00B74FC8" w:rsidRPr="00E63DCC">
        <w:rPr>
          <w:rFonts w:cs="Arial"/>
          <w:szCs w:val="24"/>
          <w:lang w:val="en-GB"/>
        </w:rPr>
        <w:t xml:space="preserve"> for </w:t>
      </w:r>
      <w:r w:rsidRPr="00E63DCC">
        <w:rPr>
          <w:rFonts w:cs="Arial"/>
          <w:szCs w:val="24"/>
          <w:lang w:val="en-GB"/>
        </w:rPr>
        <w:t>gold</w:t>
      </w:r>
      <w:r w:rsidR="00B74FC8" w:rsidRPr="00E63DCC">
        <w:rPr>
          <w:rFonts w:cs="Arial"/>
          <w:szCs w:val="24"/>
          <w:lang w:val="en-GB"/>
        </w:rPr>
        <w:t xml:space="preserve"> mining</w:t>
      </w:r>
      <w:r w:rsidRPr="00E63DCC">
        <w:rPr>
          <w:rFonts w:cs="Arial"/>
          <w:szCs w:val="24"/>
          <w:lang w:val="en-GB"/>
        </w:rPr>
        <w:t xml:space="preserve">. Gold was first reported in September 1940 from the </w:t>
      </w:r>
      <w:proofErr w:type="spellStart"/>
      <w:r w:rsidRPr="00E63DCC">
        <w:rPr>
          <w:rFonts w:cs="Arial"/>
          <w:szCs w:val="24"/>
          <w:lang w:val="en-GB"/>
        </w:rPr>
        <w:t>Owena</w:t>
      </w:r>
      <w:proofErr w:type="spellEnd"/>
      <w:r w:rsidRPr="00E63DCC">
        <w:rPr>
          <w:rFonts w:cs="Arial"/>
          <w:szCs w:val="24"/>
          <w:lang w:val="en-GB"/>
        </w:rPr>
        <w:t xml:space="preserve"> River </w:t>
      </w:r>
      <w:r w:rsidR="00F00CC2" w:rsidRPr="00E63DCC">
        <w:rPr>
          <w:rFonts w:cs="Arial"/>
          <w:szCs w:val="24"/>
          <w:lang w:val="en-GB"/>
        </w:rPr>
        <w:t>n</w:t>
      </w:r>
      <w:r w:rsidRPr="00E63DCC">
        <w:rPr>
          <w:rFonts w:cs="Arial"/>
          <w:szCs w:val="24"/>
          <w:lang w:val="en-GB"/>
        </w:rPr>
        <w:t xml:space="preserve">orth of </w:t>
      </w:r>
      <w:r w:rsidR="00F00CC2" w:rsidRPr="00E63DCC">
        <w:rPr>
          <w:rFonts w:cs="Arial"/>
          <w:szCs w:val="24"/>
          <w:lang w:val="en-GB"/>
        </w:rPr>
        <w:t xml:space="preserve">the </w:t>
      </w:r>
      <w:r w:rsidRPr="00E63DCC">
        <w:rPr>
          <w:rFonts w:cs="Arial"/>
          <w:szCs w:val="24"/>
          <w:lang w:val="en-GB"/>
        </w:rPr>
        <w:t xml:space="preserve">Ife-Ondo road. Between 1941 and 1952 over 50 ounces of gold were recovered from the stream sediments </w:t>
      </w:r>
      <w:r w:rsidRPr="00E63DCC">
        <w:rPr>
          <w:rFonts w:cs="Arial"/>
          <w:i/>
          <w:szCs w:val="24"/>
          <w:lang w:val="en-GB"/>
        </w:rPr>
        <w:t>(</w:t>
      </w:r>
      <w:r w:rsidR="00D35D2D" w:rsidRPr="00E63DCC">
        <w:rPr>
          <w:rFonts w:cs="Arial"/>
          <w:i/>
          <w:szCs w:val="24"/>
          <w:lang w:val="en-GB"/>
        </w:rPr>
        <w:t>1</w:t>
      </w:r>
      <w:r w:rsidR="00384202" w:rsidRPr="00E63DCC">
        <w:rPr>
          <w:rFonts w:cs="Arial"/>
          <w:i/>
          <w:szCs w:val="24"/>
          <w:lang w:val="en-GB"/>
        </w:rPr>
        <w:t>1</w:t>
      </w:r>
      <w:r w:rsidRPr="00E63DCC">
        <w:rPr>
          <w:rFonts w:cs="Arial"/>
          <w:i/>
          <w:szCs w:val="24"/>
          <w:lang w:val="en-GB"/>
        </w:rPr>
        <w:t>)</w:t>
      </w:r>
      <w:r w:rsidRPr="00E63DCC">
        <w:rPr>
          <w:rFonts w:cs="Arial"/>
          <w:szCs w:val="24"/>
          <w:lang w:val="en-GB"/>
        </w:rPr>
        <w:t xml:space="preserve">. Today mining of gold continues on a commercial scale in Osun </w:t>
      </w:r>
      <w:r w:rsidR="00F00CC2" w:rsidRPr="00E63DCC">
        <w:rPr>
          <w:rFonts w:cs="Arial"/>
          <w:szCs w:val="24"/>
          <w:lang w:val="en-GB"/>
        </w:rPr>
        <w:t>s</w:t>
      </w:r>
      <w:r w:rsidRPr="00E63DCC">
        <w:rPr>
          <w:rFonts w:cs="Arial"/>
          <w:szCs w:val="24"/>
          <w:lang w:val="en-GB"/>
        </w:rPr>
        <w:t xml:space="preserve">tate, and exploration is still in progress. ASGM operations take place actively </w:t>
      </w:r>
      <w:r w:rsidR="00195286" w:rsidRPr="00E63DCC">
        <w:rPr>
          <w:rFonts w:cs="Arial"/>
          <w:szCs w:val="24"/>
          <w:lang w:val="en-GB"/>
        </w:rPr>
        <w:t>in</w:t>
      </w:r>
      <w:r w:rsidRPr="00E63DCC">
        <w:rPr>
          <w:rFonts w:cs="Arial"/>
          <w:szCs w:val="24"/>
          <w:lang w:val="en-GB"/>
        </w:rPr>
        <w:t xml:space="preserve"> </w:t>
      </w:r>
      <w:proofErr w:type="spellStart"/>
      <w:r w:rsidRPr="00E63DCC">
        <w:rPr>
          <w:rFonts w:cs="Arial"/>
          <w:szCs w:val="24"/>
          <w:lang w:val="en-GB"/>
        </w:rPr>
        <w:t>Atakunmosa</w:t>
      </w:r>
      <w:proofErr w:type="spellEnd"/>
      <w:r w:rsidRPr="00E63DCC">
        <w:rPr>
          <w:rFonts w:cs="Arial"/>
          <w:szCs w:val="24"/>
          <w:lang w:val="en-GB"/>
        </w:rPr>
        <w:t xml:space="preserve"> West and </w:t>
      </w:r>
      <w:proofErr w:type="spellStart"/>
      <w:r w:rsidRPr="00E63DCC">
        <w:rPr>
          <w:rFonts w:cs="Arial"/>
          <w:szCs w:val="24"/>
          <w:lang w:val="en-GB"/>
        </w:rPr>
        <w:t>Ilessa</w:t>
      </w:r>
      <w:proofErr w:type="spellEnd"/>
      <w:r w:rsidRPr="00E63DCC">
        <w:rPr>
          <w:rFonts w:cs="Arial"/>
          <w:szCs w:val="24"/>
          <w:lang w:val="en-GB"/>
        </w:rPr>
        <w:t xml:space="preserve"> </w:t>
      </w:r>
      <w:r w:rsidR="00195286" w:rsidRPr="00E63DCC">
        <w:rPr>
          <w:rFonts w:cs="Arial"/>
          <w:szCs w:val="24"/>
          <w:lang w:val="en-GB"/>
        </w:rPr>
        <w:t>l</w:t>
      </w:r>
      <w:r w:rsidRPr="00E63DCC">
        <w:rPr>
          <w:rFonts w:cs="Arial"/>
          <w:szCs w:val="24"/>
          <w:lang w:val="en-GB"/>
        </w:rPr>
        <w:t xml:space="preserve">ocal </w:t>
      </w:r>
      <w:r w:rsidR="00195286" w:rsidRPr="00E63DCC">
        <w:rPr>
          <w:rFonts w:cs="Arial"/>
          <w:szCs w:val="24"/>
          <w:lang w:val="en-GB"/>
        </w:rPr>
        <w:t>g</w:t>
      </w:r>
      <w:r w:rsidRPr="00E63DCC">
        <w:rPr>
          <w:rFonts w:cs="Arial"/>
          <w:szCs w:val="24"/>
          <w:lang w:val="en-GB"/>
        </w:rPr>
        <w:t xml:space="preserve">overnment areas. ASGM operations </w:t>
      </w:r>
      <w:r w:rsidR="00195286" w:rsidRPr="00E63DCC">
        <w:rPr>
          <w:rFonts w:cs="Arial"/>
          <w:szCs w:val="24"/>
          <w:lang w:val="en-GB"/>
        </w:rPr>
        <w:t>i</w:t>
      </w:r>
      <w:r w:rsidRPr="00E63DCC">
        <w:rPr>
          <w:rFonts w:cs="Arial"/>
          <w:szCs w:val="24"/>
          <w:lang w:val="en-GB"/>
        </w:rPr>
        <w:t xml:space="preserve">n </w:t>
      </w:r>
      <w:proofErr w:type="spellStart"/>
      <w:r w:rsidRPr="00E63DCC">
        <w:rPr>
          <w:rFonts w:cs="Arial"/>
          <w:szCs w:val="24"/>
          <w:lang w:val="en-GB"/>
        </w:rPr>
        <w:t>Atakunmosa</w:t>
      </w:r>
      <w:proofErr w:type="spellEnd"/>
      <w:r w:rsidRPr="00E63DCC">
        <w:rPr>
          <w:rFonts w:cs="Arial"/>
          <w:szCs w:val="24"/>
          <w:lang w:val="en-GB"/>
        </w:rPr>
        <w:t xml:space="preserve"> West occur </w:t>
      </w:r>
      <w:r w:rsidR="00195286" w:rsidRPr="00E63DCC">
        <w:rPr>
          <w:rFonts w:cs="Arial"/>
          <w:szCs w:val="24"/>
          <w:lang w:val="en-GB"/>
        </w:rPr>
        <w:t>at</w:t>
      </w:r>
      <w:r w:rsidRPr="00E63DCC">
        <w:rPr>
          <w:rFonts w:cs="Arial"/>
          <w:szCs w:val="24"/>
          <w:lang w:val="en-GB"/>
        </w:rPr>
        <w:t xml:space="preserve"> </w:t>
      </w:r>
      <w:proofErr w:type="spellStart"/>
      <w:r w:rsidRPr="00E63DCC">
        <w:rPr>
          <w:rFonts w:cs="Arial"/>
          <w:szCs w:val="24"/>
          <w:lang w:val="en-GB"/>
        </w:rPr>
        <w:t>Ibodi</w:t>
      </w:r>
      <w:proofErr w:type="spellEnd"/>
      <w:r w:rsidRPr="00E63DCC">
        <w:rPr>
          <w:rFonts w:cs="Arial"/>
          <w:szCs w:val="24"/>
          <w:lang w:val="en-GB"/>
        </w:rPr>
        <w:t xml:space="preserve"> and </w:t>
      </w:r>
      <w:proofErr w:type="spellStart"/>
      <w:r w:rsidRPr="00E63DCC">
        <w:rPr>
          <w:rFonts w:cs="Arial"/>
          <w:szCs w:val="24"/>
          <w:lang w:val="en-GB"/>
        </w:rPr>
        <w:t>Osu</w:t>
      </w:r>
      <w:proofErr w:type="spellEnd"/>
      <w:r w:rsidRPr="00E63DCC">
        <w:rPr>
          <w:rFonts w:cs="Arial"/>
          <w:szCs w:val="24"/>
          <w:lang w:val="en-GB"/>
        </w:rPr>
        <w:t xml:space="preserve"> mining sites. In Osun state, some mine workers reside in locations far away from the mines.</w:t>
      </w:r>
    </w:p>
    <w:p w14:paraId="7D1F6CE7" w14:textId="33A987FD" w:rsidR="008A0373" w:rsidRPr="00E63DCC" w:rsidRDefault="00F04759" w:rsidP="00A5640C">
      <w:pPr>
        <w:pStyle w:val="Heading2"/>
        <w:rPr>
          <w:lang w:val="en-GB"/>
        </w:rPr>
      </w:pPr>
      <w:bookmarkStart w:id="28" w:name="_Toc245371568"/>
      <w:bookmarkStart w:id="29" w:name="_Toc283557259"/>
      <w:bookmarkStart w:id="30" w:name="_Toc70926806"/>
      <w:r w:rsidRPr="00E63DCC">
        <w:rPr>
          <w:lang w:val="en-GB"/>
        </w:rPr>
        <w:t>3.3</w:t>
      </w:r>
      <w:r w:rsidRPr="00E63DCC">
        <w:rPr>
          <w:lang w:val="en-GB"/>
        </w:rPr>
        <w:tab/>
        <w:t>S</w:t>
      </w:r>
      <w:r w:rsidR="008A0373" w:rsidRPr="00E63DCC">
        <w:rPr>
          <w:lang w:val="en-GB"/>
        </w:rPr>
        <w:t>tudy population and sample size</w:t>
      </w:r>
      <w:bookmarkEnd w:id="28"/>
      <w:bookmarkEnd w:id="29"/>
      <w:bookmarkEnd w:id="30"/>
      <w:r w:rsidR="008A0373" w:rsidRPr="00E63DCC">
        <w:rPr>
          <w:lang w:val="en-GB"/>
        </w:rPr>
        <w:t xml:space="preserve"> </w:t>
      </w:r>
    </w:p>
    <w:p w14:paraId="6EE1B786" w14:textId="09D2D127" w:rsidR="00C7540F" w:rsidRPr="00E63DCC" w:rsidRDefault="00C7540F" w:rsidP="00A5640C">
      <w:pPr>
        <w:rPr>
          <w:lang w:val="en-GB"/>
        </w:rPr>
      </w:pPr>
      <w:r w:rsidRPr="00E63DCC">
        <w:rPr>
          <w:lang w:val="en-GB"/>
        </w:rPr>
        <w:t>In each ASGM area, key informant interviews (KIIs), focus group discussions (FGDs) and HFAs will be conducted. The participant groups for the different data collection methods are shown in Table 2.</w:t>
      </w:r>
    </w:p>
    <w:p w14:paraId="11B1EC2D" w14:textId="77777777" w:rsidR="00483DCF" w:rsidRPr="00E63DCC" w:rsidRDefault="00D81211" w:rsidP="00A5640C">
      <w:pPr>
        <w:rPr>
          <w:lang w:val="en-GB"/>
        </w:rPr>
      </w:pPr>
      <w:r w:rsidRPr="00E63DCC">
        <w:rPr>
          <w:lang w:val="en-GB"/>
        </w:rPr>
        <w:t xml:space="preserve">[Example for table]: </w:t>
      </w:r>
    </w:p>
    <w:p w14:paraId="2EE5E4DB" w14:textId="06EC0387" w:rsidR="00016A84" w:rsidRPr="00E63DCC" w:rsidRDefault="008874D2" w:rsidP="0017699C">
      <w:pPr>
        <w:pStyle w:val="Tablehead"/>
      </w:pPr>
      <w:bookmarkStart w:id="31" w:name="_Toc475116179"/>
      <w:r w:rsidRPr="00E63DCC">
        <w:t xml:space="preserve">Table </w:t>
      </w:r>
      <w:fldSimple w:instr=" SEQ Table \* ARABIC ">
        <w:r w:rsidR="00DB50D1">
          <w:rPr>
            <w:noProof/>
          </w:rPr>
          <w:t>2</w:t>
        </w:r>
      </w:fldSimple>
      <w:r w:rsidR="00483DCF" w:rsidRPr="00E63DCC">
        <w:t>.</w:t>
      </w:r>
      <w:r w:rsidR="00016A84" w:rsidRPr="00E63DCC">
        <w:t xml:space="preserve"> </w:t>
      </w:r>
      <w:r w:rsidR="00DB55A5" w:rsidRPr="00E63DCC">
        <w:t>Target p</w:t>
      </w:r>
      <w:r w:rsidR="00237414" w:rsidRPr="00E63DCC">
        <w:t>articipant</w:t>
      </w:r>
      <w:r w:rsidR="00016A84" w:rsidRPr="00E63DCC">
        <w:t xml:space="preserve"> groups</w:t>
      </w:r>
      <w:r w:rsidR="00655266" w:rsidRPr="00E63DCC">
        <w:t xml:space="preserve"> and target health facilities</w:t>
      </w:r>
      <w:bookmarkEnd w:id="31"/>
    </w:p>
    <w:tbl>
      <w:tblPr>
        <w:tblW w:w="0" w:type="auto"/>
        <w:tblInd w:w="-3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3318"/>
        <w:gridCol w:w="3008"/>
        <w:gridCol w:w="3008"/>
      </w:tblGrid>
      <w:tr w:rsidR="00016A84" w:rsidRPr="00E63DCC" w14:paraId="5D89E07B" w14:textId="77777777" w:rsidTr="00B72980">
        <w:trPr>
          <w:trHeight w:val="283"/>
        </w:trPr>
        <w:tc>
          <w:tcPr>
            <w:tcW w:w="3388" w:type="dxa"/>
            <w:shd w:val="clear" w:color="auto" w:fill="CCFFFF"/>
            <w:vAlign w:val="bottom"/>
          </w:tcPr>
          <w:p w14:paraId="44897C67" w14:textId="77777777" w:rsidR="00016A84" w:rsidRPr="00E63DCC" w:rsidRDefault="00016A84" w:rsidP="0017699C">
            <w:pPr>
              <w:pStyle w:val="Tabletext0"/>
              <w:rPr>
                <w:b/>
              </w:rPr>
            </w:pPr>
            <w:r w:rsidRPr="00E63DCC">
              <w:rPr>
                <w:b/>
              </w:rPr>
              <w:t>Key informant interviews</w:t>
            </w:r>
          </w:p>
        </w:tc>
        <w:tc>
          <w:tcPr>
            <w:tcW w:w="3070" w:type="dxa"/>
            <w:shd w:val="clear" w:color="auto" w:fill="CCFFFF"/>
            <w:vAlign w:val="bottom"/>
          </w:tcPr>
          <w:p w14:paraId="697642E6" w14:textId="77777777" w:rsidR="00016A84" w:rsidRPr="00E63DCC" w:rsidRDefault="00016A84" w:rsidP="0017699C">
            <w:pPr>
              <w:pStyle w:val="Tabletext0"/>
              <w:rPr>
                <w:b/>
              </w:rPr>
            </w:pPr>
            <w:r w:rsidRPr="00E63DCC">
              <w:rPr>
                <w:b/>
              </w:rPr>
              <w:t>Focus group discussions</w:t>
            </w:r>
          </w:p>
        </w:tc>
        <w:tc>
          <w:tcPr>
            <w:tcW w:w="3070" w:type="dxa"/>
            <w:shd w:val="clear" w:color="auto" w:fill="CCFFFF"/>
            <w:vAlign w:val="bottom"/>
          </w:tcPr>
          <w:p w14:paraId="78F15655" w14:textId="77777777" w:rsidR="00016A84" w:rsidRPr="00E63DCC" w:rsidRDefault="00DB55A5" w:rsidP="0017699C">
            <w:pPr>
              <w:pStyle w:val="Tabletext0"/>
              <w:rPr>
                <w:b/>
              </w:rPr>
            </w:pPr>
            <w:r w:rsidRPr="00E63DCC">
              <w:rPr>
                <w:b/>
              </w:rPr>
              <w:t>Health facility assessments</w:t>
            </w:r>
          </w:p>
        </w:tc>
      </w:tr>
      <w:tr w:rsidR="00016A84" w:rsidRPr="00E63DCC" w14:paraId="446DB3A3" w14:textId="77777777" w:rsidTr="00B72980">
        <w:trPr>
          <w:trHeight w:val="283"/>
        </w:trPr>
        <w:tc>
          <w:tcPr>
            <w:tcW w:w="3388" w:type="dxa"/>
          </w:tcPr>
          <w:p w14:paraId="0D75B437" w14:textId="77777777" w:rsidR="00016A84" w:rsidRPr="00E63DCC" w:rsidRDefault="00BE5D4A" w:rsidP="00E45EB1">
            <w:pPr>
              <w:pStyle w:val="Tabletext0"/>
              <w:spacing w:after="120"/>
            </w:pPr>
            <w:r w:rsidRPr="00E63DCC">
              <w:t>L</w:t>
            </w:r>
            <w:r w:rsidR="00016A84" w:rsidRPr="00E63DCC">
              <w:t>ocal government officials</w:t>
            </w:r>
          </w:p>
          <w:p w14:paraId="778F5A2C" w14:textId="77777777" w:rsidR="00016A84" w:rsidRPr="00E63DCC" w:rsidRDefault="00BE5D4A" w:rsidP="00E45EB1">
            <w:pPr>
              <w:pStyle w:val="Tabletext0"/>
              <w:spacing w:after="120"/>
            </w:pPr>
            <w:r w:rsidRPr="00E63DCC">
              <w:t>L</w:t>
            </w:r>
            <w:r w:rsidR="00016A84" w:rsidRPr="00E63DCC">
              <w:t>ocal health authorities</w:t>
            </w:r>
          </w:p>
          <w:p w14:paraId="51835307" w14:textId="77777777" w:rsidR="00965FAA" w:rsidRPr="00E63DCC" w:rsidRDefault="00965FAA" w:rsidP="00E45EB1">
            <w:pPr>
              <w:pStyle w:val="Tabletext0"/>
              <w:spacing w:after="120"/>
            </w:pPr>
            <w:r w:rsidRPr="00E63DCC">
              <w:t>Local environmental (health) authorities</w:t>
            </w:r>
          </w:p>
          <w:p w14:paraId="361515ED" w14:textId="77777777" w:rsidR="00016A84" w:rsidRPr="00E63DCC" w:rsidRDefault="00BE5D4A" w:rsidP="00E45EB1">
            <w:pPr>
              <w:pStyle w:val="Tabletext0"/>
              <w:spacing w:after="120"/>
            </w:pPr>
            <w:r w:rsidRPr="00E63DCC">
              <w:t>H</w:t>
            </w:r>
            <w:r w:rsidR="00016A84" w:rsidRPr="00E63DCC">
              <w:t>ealth care providers at peripheral health facilities in ASGM areas</w:t>
            </w:r>
          </w:p>
          <w:p w14:paraId="61F6EB87" w14:textId="77777777" w:rsidR="005C20C4" w:rsidRPr="00E63DCC" w:rsidRDefault="00F8030B" w:rsidP="00E45EB1">
            <w:pPr>
              <w:pStyle w:val="Tabletext0"/>
              <w:spacing w:after="120"/>
            </w:pPr>
            <w:r w:rsidRPr="00E63DCC">
              <w:t xml:space="preserve">Community </w:t>
            </w:r>
            <w:r w:rsidR="005C20C4" w:rsidRPr="00E63DCC">
              <w:t>leader</w:t>
            </w:r>
            <w:r w:rsidR="00B01923" w:rsidRPr="00E63DCC">
              <w:t>s</w:t>
            </w:r>
            <w:r w:rsidR="005C20C4" w:rsidRPr="00E63DCC">
              <w:t xml:space="preserve"> </w:t>
            </w:r>
          </w:p>
          <w:p w14:paraId="58B6905B" w14:textId="274FF809" w:rsidR="00F8030B" w:rsidRPr="00E63DCC" w:rsidRDefault="00F8030B" w:rsidP="00E45EB1">
            <w:pPr>
              <w:pStyle w:val="Tabletext0"/>
              <w:spacing w:after="120"/>
            </w:pPr>
            <w:r w:rsidRPr="00E63DCC">
              <w:t>ASGM</w:t>
            </w:r>
            <w:r w:rsidR="00483DCF" w:rsidRPr="00E63DCC">
              <w:t xml:space="preserve"> </w:t>
            </w:r>
            <w:r w:rsidRPr="00E63DCC">
              <w:t>community l</w:t>
            </w:r>
            <w:r w:rsidR="00016A84" w:rsidRPr="00E63DCC">
              <w:t xml:space="preserve">eaders </w:t>
            </w:r>
          </w:p>
          <w:p w14:paraId="6ECCC5A1" w14:textId="46AC65EB" w:rsidR="00016A84" w:rsidRPr="00E63DCC" w:rsidRDefault="00BE5D4A" w:rsidP="00E45EB1">
            <w:pPr>
              <w:pStyle w:val="Tabletext0"/>
              <w:spacing w:after="120"/>
            </w:pPr>
            <w:r w:rsidRPr="00E63DCC">
              <w:lastRenderedPageBreak/>
              <w:t>C</w:t>
            </w:r>
            <w:r w:rsidR="005003AC" w:rsidRPr="00E63DCC">
              <w:t>SOs</w:t>
            </w:r>
            <w:r w:rsidR="00016A84" w:rsidRPr="00E63DCC">
              <w:t xml:space="preserve"> working on ASGM-related issues</w:t>
            </w:r>
          </w:p>
        </w:tc>
        <w:tc>
          <w:tcPr>
            <w:tcW w:w="3070" w:type="dxa"/>
          </w:tcPr>
          <w:p w14:paraId="40C691C5" w14:textId="77777777" w:rsidR="00016A84" w:rsidRPr="00E63DCC" w:rsidRDefault="00BE5D4A" w:rsidP="00E45EB1">
            <w:pPr>
              <w:pStyle w:val="Tabletext0"/>
              <w:spacing w:after="120"/>
            </w:pPr>
            <w:r w:rsidRPr="00E63DCC">
              <w:lastRenderedPageBreak/>
              <w:t>A</w:t>
            </w:r>
            <w:r w:rsidR="00016A84" w:rsidRPr="00E63DCC">
              <w:t>rtisanal</w:t>
            </w:r>
            <w:r w:rsidR="003B09B3" w:rsidRPr="00E63DCC">
              <w:t xml:space="preserve"> and </w:t>
            </w:r>
            <w:r w:rsidR="00016A84" w:rsidRPr="00E63DCC">
              <w:t>small</w:t>
            </w:r>
            <w:r w:rsidR="00B01923" w:rsidRPr="00E63DCC">
              <w:t>-</w:t>
            </w:r>
            <w:r w:rsidR="00016A84" w:rsidRPr="00E63DCC">
              <w:t xml:space="preserve">scale </w:t>
            </w:r>
            <w:r w:rsidR="00230FD3" w:rsidRPr="00E63DCC">
              <w:t xml:space="preserve">gold </w:t>
            </w:r>
            <w:r w:rsidR="00016A84" w:rsidRPr="00E63DCC">
              <w:t xml:space="preserve">miners </w:t>
            </w:r>
          </w:p>
          <w:p w14:paraId="1CD31C25" w14:textId="77777777" w:rsidR="00016A84" w:rsidRPr="00E63DCC" w:rsidRDefault="00BE5D4A" w:rsidP="00E45EB1">
            <w:pPr>
              <w:pStyle w:val="Tabletext0"/>
              <w:spacing w:after="120"/>
            </w:pPr>
            <w:r w:rsidRPr="00E63DCC">
              <w:t>F</w:t>
            </w:r>
            <w:r w:rsidR="00016A84" w:rsidRPr="00E63DCC">
              <w:t>amily members of miners</w:t>
            </w:r>
          </w:p>
          <w:p w14:paraId="69EB684B" w14:textId="77777777" w:rsidR="00016A84" w:rsidRPr="00E63DCC" w:rsidRDefault="00BE5D4A" w:rsidP="00E45EB1">
            <w:pPr>
              <w:pStyle w:val="Tabletext0"/>
              <w:spacing w:after="120"/>
            </w:pPr>
            <w:r w:rsidRPr="00E63DCC">
              <w:t>C</w:t>
            </w:r>
            <w:r w:rsidR="00016A84" w:rsidRPr="00E63DCC">
              <w:t>ommunity members in surrounding communities of ASGM sites</w:t>
            </w:r>
            <w:r w:rsidR="009D28EC" w:rsidRPr="00E63DCC">
              <w:t xml:space="preserve"> (excluding leaders)</w:t>
            </w:r>
          </w:p>
          <w:p w14:paraId="070CEF93" w14:textId="03021B5C" w:rsidR="00016A84" w:rsidRPr="00E63DCC" w:rsidRDefault="003D0B24" w:rsidP="003D0B24">
            <w:pPr>
              <w:pStyle w:val="Tabletext0"/>
              <w:spacing w:after="120"/>
            </w:pPr>
            <w:r w:rsidRPr="00E63DCC">
              <w:t>Other p</w:t>
            </w:r>
            <w:r w:rsidR="00016A84" w:rsidRPr="00E63DCC">
              <w:t>otentially relevant community groups that will be identified at the local level</w:t>
            </w:r>
            <w:r w:rsidR="00315116" w:rsidRPr="00E63DCC">
              <w:t xml:space="preserve"> (e.g. community health workers)</w:t>
            </w:r>
          </w:p>
        </w:tc>
        <w:tc>
          <w:tcPr>
            <w:tcW w:w="3070" w:type="dxa"/>
          </w:tcPr>
          <w:p w14:paraId="164F8437" w14:textId="77777777" w:rsidR="00016A84" w:rsidRPr="00E63DCC" w:rsidRDefault="00AC0DA0" w:rsidP="00E45EB1">
            <w:pPr>
              <w:pStyle w:val="Tabletext0"/>
              <w:spacing w:after="120"/>
            </w:pPr>
            <w:r w:rsidRPr="00E63DCC">
              <w:t>Nearest</w:t>
            </w:r>
            <w:r w:rsidR="00016A84" w:rsidRPr="00E63DCC">
              <w:t xml:space="preserve"> </w:t>
            </w:r>
            <w:r w:rsidR="00655266" w:rsidRPr="00E63DCC">
              <w:t xml:space="preserve">public, primary </w:t>
            </w:r>
            <w:r w:rsidR="00016A84" w:rsidRPr="00E63DCC">
              <w:t xml:space="preserve">health </w:t>
            </w:r>
            <w:r w:rsidR="00655266" w:rsidRPr="00E63DCC">
              <w:t xml:space="preserve">care </w:t>
            </w:r>
            <w:r w:rsidR="00016A84" w:rsidRPr="00E63DCC">
              <w:t>facilities</w:t>
            </w:r>
            <w:r w:rsidR="00655266" w:rsidRPr="00E63DCC">
              <w:t xml:space="preserve"> serving ASGM communities</w:t>
            </w:r>
          </w:p>
          <w:p w14:paraId="038FF319" w14:textId="77777777" w:rsidR="00655266" w:rsidRPr="00E63DCC" w:rsidRDefault="00655266" w:rsidP="00E45EB1">
            <w:pPr>
              <w:pStyle w:val="Tabletext0"/>
              <w:spacing w:after="120"/>
            </w:pPr>
            <w:r w:rsidRPr="00E63DCC">
              <w:t>Referral hospital for the primary health care facilities</w:t>
            </w:r>
          </w:p>
        </w:tc>
      </w:tr>
    </w:tbl>
    <w:p w14:paraId="3C1ACD66" w14:textId="1FF7BED0" w:rsidR="00C7540F" w:rsidRPr="00E63DCC" w:rsidRDefault="00C7540F" w:rsidP="0098164C">
      <w:pPr>
        <w:pStyle w:val="Normal12before"/>
        <w:keepNext/>
        <w:keepLines/>
      </w:pPr>
      <w:r w:rsidRPr="00E63DCC">
        <w:t>Participants of KII</w:t>
      </w:r>
      <w:r w:rsidR="00483DCF" w:rsidRPr="00E63DCC">
        <w:t>s</w:t>
      </w:r>
      <w:r w:rsidRPr="00E63DCC">
        <w:t xml:space="preserve"> will be identified among the participant groups</w:t>
      </w:r>
      <w:r w:rsidR="00F015E4" w:rsidRPr="00E63DCC">
        <w:t xml:space="preserve">, </w:t>
      </w:r>
      <w:r w:rsidRPr="00E63DCC">
        <w:t>primarily target</w:t>
      </w:r>
      <w:r w:rsidR="00F015E4" w:rsidRPr="00E63DCC">
        <w:t>ing</w:t>
      </w:r>
      <w:r w:rsidRPr="00E63DCC">
        <w:t xml:space="preserve"> the highest authority in each group,</w:t>
      </w:r>
      <w:r w:rsidR="00F015E4" w:rsidRPr="00E63DCC">
        <w:t xml:space="preserve"> for example the d</w:t>
      </w:r>
      <w:r w:rsidRPr="00E63DCC">
        <w:t xml:space="preserve">istrict </w:t>
      </w:r>
      <w:r w:rsidR="00F015E4" w:rsidRPr="00E63DCC">
        <w:t>m</w:t>
      </w:r>
      <w:r w:rsidRPr="00E63DCC">
        <w:t xml:space="preserve">edical </w:t>
      </w:r>
      <w:r w:rsidR="00F015E4" w:rsidRPr="00E63DCC">
        <w:t>o</w:t>
      </w:r>
      <w:r w:rsidRPr="00E63DCC">
        <w:t xml:space="preserve">fficer, </w:t>
      </w:r>
      <w:r w:rsidR="00F015E4" w:rsidRPr="00E63DCC">
        <w:t>d</w:t>
      </w:r>
      <w:r w:rsidRPr="00E63DCC">
        <w:t xml:space="preserve">istrict </w:t>
      </w:r>
      <w:r w:rsidR="00F015E4" w:rsidRPr="00E63DCC">
        <w:t>e</w:t>
      </w:r>
      <w:r w:rsidRPr="00E63DCC">
        <w:t xml:space="preserve">nvironmental </w:t>
      </w:r>
      <w:r w:rsidR="00F015E4" w:rsidRPr="00E63DCC">
        <w:t>h</w:t>
      </w:r>
      <w:r w:rsidRPr="00E63DCC">
        <w:t xml:space="preserve">ealth </w:t>
      </w:r>
      <w:r w:rsidR="00F015E4" w:rsidRPr="00E63DCC">
        <w:t>o</w:t>
      </w:r>
      <w:r w:rsidRPr="00E63DCC">
        <w:t>fficer, community leader, ASGM community leader (or their superiors) or health facility manager. Other relevant key informants can be identified by the chain sampling method. The KIIs in each ASGM area will</w:t>
      </w:r>
      <w:r w:rsidR="00F015E4" w:rsidRPr="00E63DCC">
        <w:t xml:space="preserve"> probably </w:t>
      </w:r>
      <w:r w:rsidRPr="00E63DCC">
        <w:t>represent an exhaustive sampling including individuals from all participant groups</w:t>
      </w:r>
      <w:r w:rsidR="002F4516" w:rsidRPr="00E63DCC">
        <w:t xml:space="preserve"> (see Annex 2 to the step-by-step guide).</w:t>
      </w:r>
    </w:p>
    <w:p w14:paraId="1AF9433A" w14:textId="463C530C" w:rsidR="00C7540F" w:rsidRPr="00E63DCC" w:rsidRDefault="00C7540F" w:rsidP="00A5640C">
      <w:pPr>
        <w:rPr>
          <w:lang w:val="en-GB"/>
        </w:rPr>
      </w:pPr>
      <w:r w:rsidRPr="00E63DCC">
        <w:rPr>
          <w:lang w:val="en-GB"/>
        </w:rPr>
        <w:t xml:space="preserve">Participants for FGDs will be recruited by the interviewer and the local partner </w:t>
      </w:r>
      <w:r w:rsidR="0098164C" w:rsidRPr="00E63DCC">
        <w:rPr>
          <w:lang w:val="en-GB"/>
        </w:rPr>
        <w:t>at</w:t>
      </w:r>
      <w:r w:rsidRPr="00E63DCC">
        <w:rPr>
          <w:lang w:val="en-GB"/>
        </w:rPr>
        <w:t xml:space="preserve"> the ASGM sites and in the associated communities in arrangement with the local community or ASGM</w:t>
      </w:r>
      <w:r w:rsidR="00F015E4" w:rsidRPr="00E63DCC">
        <w:rPr>
          <w:lang w:val="en-GB"/>
        </w:rPr>
        <w:t xml:space="preserve"> </w:t>
      </w:r>
      <w:r w:rsidRPr="00E63DCC">
        <w:rPr>
          <w:lang w:val="en-GB"/>
        </w:rPr>
        <w:t xml:space="preserve">community leaders and the community health worker. Only individuals that have been in the area for </w:t>
      </w:r>
      <w:r w:rsidR="00F015E4" w:rsidRPr="00E63DCC">
        <w:rPr>
          <w:lang w:val="en-GB"/>
        </w:rPr>
        <w:t>two</w:t>
      </w:r>
      <w:r w:rsidRPr="00E63DCC">
        <w:rPr>
          <w:lang w:val="en-GB"/>
        </w:rPr>
        <w:t xml:space="preserve"> seasons or more are eligible to participate in FDG</w:t>
      </w:r>
      <w:r w:rsidR="00F015E4" w:rsidRPr="00E63DCC">
        <w:rPr>
          <w:lang w:val="en-GB"/>
        </w:rPr>
        <w:t>s</w:t>
      </w:r>
      <w:r w:rsidRPr="00E63DCC">
        <w:rPr>
          <w:lang w:val="en-GB"/>
        </w:rPr>
        <w:t xml:space="preserve"> in order to guarantee that participants have had a certain exposure time to the local circumstances. </w:t>
      </w:r>
    </w:p>
    <w:p w14:paraId="508095C6" w14:textId="070F3E7E" w:rsidR="00C7540F" w:rsidRPr="00E63DCC" w:rsidRDefault="00C7540F" w:rsidP="00A5640C">
      <w:pPr>
        <w:rPr>
          <w:lang w:val="en-GB"/>
        </w:rPr>
      </w:pPr>
      <w:r w:rsidRPr="00E63DCC">
        <w:rPr>
          <w:lang w:val="en-GB"/>
        </w:rPr>
        <w:t>Care is taken to guarantee a random selection of participants in terms of type of work done (</w:t>
      </w:r>
      <w:r w:rsidR="007D7B35" w:rsidRPr="00E63DCC">
        <w:rPr>
          <w:lang w:val="en-GB"/>
        </w:rPr>
        <w:t xml:space="preserve">for example, </w:t>
      </w:r>
      <w:r w:rsidRPr="00E63DCC">
        <w:rPr>
          <w:lang w:val="en-GB"/>
        </w:rPr>
        <w:t>digging ore, washing ore</w:t>
      </w:r>
      <w:r w:rsidR="007D7B35" w:rsidRPr="00E63DCC">
        <w:rPr>
          <w:lang w:val="en-GB"/>
        </w:rPr>
        <w:t xml:space="preserve"> or</w:t>
      </w:r>
      <w:r w:rsidRPr="00E63DCC">
        <w:rPr>
          <w:lang w:val="en-GB"/>
        </w:rPr>
        <w:t xml:space="preserve"> working with mercury), the conditions (</w:t>
      </w:r>
      <w:r w:rsidR="007D7B35" w:rsidRPr="00E63DCC">
        <w:rPr>
          <w:lang w:val="en-GB"/>
        </w:rPr>
        <w:t xml:space="preserve">for example, </w:t>
      </w:r>
      <w:r w:rsidRPr="00E63DCC">
        <w:rPr>
          <w:lang w:val="en-GB"/>
        </w:rPr>
        <w:t>seasonal v</w:t>
      </w:r>
      <w:r w:rsidR="007D7B35" w:rsidRPr="00E63DCC">
        <w:rPr>
          <w:lang w:val="en-GB"/>
        </w:rPr>
        <w:t>ersus</w:t>
      </w:r>
      <w:r w:rsidRPr="00E63DCC">
        <w:rPr>
          <w:lang w:val="en-GB"/>
        </w:rPr>
        <w:t xml:space="preserve"> annual workers, dayshift v</w:t>
      </w:r>
      <w:r w:rsidR="007D7B35" w:rsidRPr="00E63DCC">
        <w:rPr>
          <w:lang w:val="en-GB"/>
        </w:rPr>
        <w:t>ersus</w:t>
      </w:r>
      <w:r w:rsidRPr="00E63DCC">
        <w:rPr>
          <w:lang w:val="en-GB"/>
        </w:rPr>
        <w:t xml:space="preserve"> nightshift</w:t>
      </w:r>
      <w:r w:rsidR="007D7B35" w:rsidRPr="00E63DCC">
        <w:rPr>
          <w:lang w:val="en-GB"/>
        </w:rPr>
        <w:t xml:space="preserve"> workers</w:t>
      </w:r>
      <w:r w:rsidRPr="00E63DCC">
        <w:rPr>
          <w:lang w:val="en-GB"/>
        </w:rPr>
        <w:t>)</w:t>
      </w:r>
      <w:r w:rsidR="007D7B35" w:rsidRPr="00E63DCC">
        <w:rPr>
          <w:lang w:val="en-GB"/>
        </w:rPr>
        <w:t>,</w:t>
      </w:r>
      <w:r w:rsidRPr="00E63DCC">
        <w:rPr>
          <w:lang w:val="en-GB"/>
        </w:rPr>
        <w:t xml:space="preserve"> or demographic characteristics (</w:t>
      </w:r>
      <w:r w:rsidR="007D7B35" w:rsidRPr="00E63DCC">
        <w:rPr>
          <w:lang w:val="en-GB"/>
        </w:rPr>
        <w:t xml:space="preserve">such as </w:t>
      </w:r>
      <w:r w:rsidRPr="00E63DCC">
        <w:rPr>
          <w:lang w:val="en-GB"/>
        </w:rPr>
        <w:t>age). This will be achieved either through random walks or segment sampling. FGDs will comprise</w:t>
      </w:r>
      <w:r w:rsidR="008732B0" w:rsidRPr="00E63DCC">
        <w:rPr>
          <w:lang w:val="en-GB"/>
        </w:rPr>
        <w:t xml:space="preserve"> eight to ten </w:t>
      </w:r>
      <w:r w:rsidRPr="00E63DCC">
        <w:rPr>
          <w:lang w:val="en-GB"/>
        </w:rPr>
        <w:t>participants</w:t>
      </w:r>
      <w:r w:rsidR="008732B0" w:rsidRPr="00E63DCC">
        <w:rPr>
          <w:lang w:val="en-GB"/>
        </w:rPr>
        <w:t>,</w:t>
      </w:r>
      <w:r w:rsidRPr="00E63DCC">
        <w:rPr>
          <w:lang w:val="en-GB"/>
        </w:rPr>
        <w:t xml:space="preserve"> allowing for a participative discussion lasting 45</w:t>
      </w:r>
      <w:r w:rsidR="00FA33AE" w:rsidRPr="00E63DCC">
        <w:rPr>
          <w:lang w:val="en-GB"/>
        </w:rPr>
        <w:t>–</w:t>
      </w:r>
      <w:r w:rsidRPr="00E63DCC">
        <w:rPr>
          <w:lang w:val="en-GB"/>
        </w:rPr>
        <w:t>90 minutes. Both gender-specific and mixed gender FGDs will be conducted.</w:t>
      </w:r>
    </w:p>
    <w:p w14:paraId="6FFEA98A" w14:textId="46B526BD" w:rsidR="00C7540F" w:rsidRPr="00E63DCC" w:rsidRDefault="00C7540F" w:rsidP="00A5640C">
      <w:pPr>
        <w:rPr>
          <w:lang w:val="en-GB"/>
        </w:rPr>
      </w:pPr>
      <w:r w:rsidRPr="00E63DCC">
        <w:rPr>
          <w:lang w:val="en-GB"/>
        </w:rPr>
        <w:t>It is assumed that typically</w:t>
      </w:r>
      <w:r w:rsidR="00FA33AE" w:rsidRPr="00E63DCC">
        <w:rPr>
          <w:lang w:val="en-GB"/>
        </w:rPr>
        <w:t xml:space="preserve"> one or two </w:t>
      </w:r>
      <w:r w:rsidRPr="00E63DCC">
        <w:rPr>
          <w:lang w:val="en-GB"/>
        </w:rPr>
        <w:t xml:space="preserve">public primary health care facilities (health post </w:t>
      </w:r>
      <w:r w:rsidR="00FA33AE" w:rsidRPr="00E63DCC">
        <w:rPr>
          <w:lang w:val="en-GB"/>
        </w:rPr>
        <w:t>o</w:t>
      </w:r>
      <w:r w:rsidRPr="00E63DCC">
        <w:rPr>
          <w:lang w:val="en-GB"/>
        </w:rPr>
        <w:t>r health centre) serving the ASGM community in each site will be visited and subject</w:t>
      </w:r>
      <w:r w:rsidR="00FA33AE" w:rsidRPr="00E63DCC">
        <w:rPr>
          <w:lang w:val="en-GB"/>
        </w:rPr>
        <w:t>ed</w:t>
      </w:r>
      <w:r w:rsidRPr="00E63DCC">
        <w:rPr>
          <w:lang w:val="en-GB"/>
        </w:rPr>
        <w:t xml:space="preserve"> to a</w:t>
      </w:r>
      <w:r w:rsidR="00FA33AE" w:rsidRPr="00E63DCC">
        <w:rPr>
          <w:lang w:val="en-GB"/>
        </w:rPr>
        <w:t>n</w:t>
      </w:r>
      <w:r w:rsidRPr="00E63DCC">
        <w:rPr>
          <w:lang w:val="en-GB"/>
        </w:rPr>
        <w:t xml:space="preserve"> HFA. In addition, the first-level referral health facility for the primary health care facility</w:t>
      </w:r>
      <w:r w:rsidR="00FA33AE" w:rsidRPr="00E63DCC">
        <w:rPr>
          <w:lang w:val="en-GB"/>
        </w:rPr>
        <w:t xml:space="preserve"> or facilities </w:t>
      </w:r>
      <w:r w:rsidRPr="00E63DCC">
        <w:rPr>
          <w:lang w:val="en-GB"/>
        </w:rPr>
        <w:t>will be included. The latter will be important</w:t>
      </w:r>
      <w:r w:rsidR="00FA33AE" w:rsidRPr="00E63DCC">
        <w:rPr>
          <w:lang w:val="en-GB"/>
        </w:rPr>
        <w:t>,</w:t>
      </w:r>
      <w:r w:rsidRPr="00E63DCC">
        <w:rPr>
          <w:lang w:val="en-GB"/>
        </w:rPr>
        <w:t xml:space="preserve"> as this is where more complicated cases would be handled (thus constituting an important link in the referral system for ASGM).</w:t>
      </w:r>
    </w:p>
    <w:p w14:paraId="17BB0075" w14:textId="5E0F8099" w:rsidR="00C7540F" w:rsidRPr="00E63DCC" w:rsidRDefault="00C7540F" w:rsidP="00A5640C">
      <w:pPr>
        <w:rPr>
          <w:lang w:val="en-GB"/>
        </w:rPr>
      </w:pPr>
      <w:r w:rsidRPr="00E63DCC">
        <w:rPr>
          <w:lang w:val="en-GB"/>
        </w:rPr>
        <w:t>For all participants of KIIs and FGDs, written consent will be sought. Individuals less than 18 years of age and individuals that are not fully judicious are excluded.</w:t>
      </w:r>
    </w:p>
    <w:p w14:paraId="734746DA" w14:textId="5ED13AE1" w:rsidR="00172EED" w:rsidRPr="00E63DCC" w:rsidRDefault="00172EED" w:rsidP="00A5640C">
      <w:pPr>
        <w:rPr>
          <w:lang w:val="en-GB"/>
        </w:rPr>
      </w:pPr>
      <w:r w:rsidRPr="00E63DCC">
        <w:rPr>
          <w:lang w:val="en-GB"/>
        </w:rPr>
        <w:t>It is noteworthy that the FGD participants from the ASGM sites may have different sociodemographic characteristics (differences in nationality, migrant background or education) and occupational activities that could eventually confound the findings. The random selection of participants will reduce the possibilit</w:t>
      </w:r>
      <w:r w:rsidR="0017699C" w:rsidRPr="00E63DCC">
        <w:rPr>
          <w:lang w:val="en-GB"/>
        </w:rPr>
        <w:t>y</w:t>
      </w:r>
      <w:r w:rsidRPr="00E63DCC">
        <w:rPr>
          <w:lang w:val="en-GB"/>
        </w:rPr>
        <w:t xml:space="preserve"> of introducing a selection bias in the study.</w:t>
      </w:r>
    </w:p>
    <w:p w14:paraId="2B307275" w14:textId="3A9AEF26" w:rsidR="00750206" w:rsidRPr="00E63DCC" w:rsidRDefault="00225B6F" w:rsidP="00A5640C">
      <w:pPr>
        <w:rPr>
          <w:lang w:val="en-GB"/>
        </w:rPr>
      </w:pPr>
      <w:r w:rsidRPr="00E63DCC">
        <w:rPr>
          <w:lang w:val="en-GB"/>
        </w:rPr>
        <w:t>[Please adapt the paragraphs above to your study</w:t>
      </w:r>
      <w:r w:rsidR="00172EED" w:rsidRPr="00E63DCC">
        <w:rPr>
          <w:lang w:val="en-GB"/>
        </w:rPr>
        <w:t xml:space="preserve"> design</w:t>
      </w:r>
      <w:r w:rsidRPr="00E63DCC">
        <w:rPr>
          <w:lang w:val="en-GB"/>
        </w:rPr>
        <w:t xml:space="preserve">. </w:t>
      </w:r>
      <w:r w:rsidR="00172EED" w:rsidRPr="00E63DCC">
        <w:rPr>
          <w:lang w:val="en-GB"/>
        </w:rPr>
        <w:t>Mention</w:t>
      </w:r>
      <w:r w:rsidRPr="00E63DCC">
        <w:rPr>
          <w:lang w:val="en-GB"/>
        </w:rPr>
        <w:t xml:space="preserve"> the sample sizes you chose for each study site, and for each method (KII, FGD, HFA) separately.]</w:t>
      </w:r>
    </w:p>
    <w:p w14:paraId="7466C2BE" w14:textId="0C4CD34C" w:rsidR="00225B6F" w:rsidRPr="00E63DCC" w:rsidRDefault="00225B6F" w:rsidP="009E4347">
      <w:pPr>
        <w:pStyle w:val="Normalboldhead"/>
      </w:pPr>
      <w:bookmarkStart w:id="32" w:name="_Hlk46569017"/>
      <w:r w:rsidRPr="00E63DCC">
        <w:lastRenderedPageBreak/>
        <w:t>Example from Nigeria [delete in final version of your study protocol]:</w:t>
      </w:r>
    </w:p>
    <w:bookmarkEnd w:id="32"/>
    <w:p w14:paraId="217D8463" w14:textId="0EC70853" w:rsidR="00225B6F" w:rsidRPr="00E63DCC" w:rsidRDefault="00225B6F" w:rsidP="00A5640C">
      <w:pPr>
        <w:rPr>
          <w:lang w:val="en-GB"/>
        </w:rPr>
      </w:pPr>
      <w:r w:rsidRPr="00E63DCC">
        <w:rPr>
          <w:lang w:val="en-GB"/>
        </w:rPr>
        <w:t xml:space="preserve">Table 3 shows the estimated sample sizes per country, data collection method, site and participant group. In total, an estimated minimum of 16 KIIs, 12 FGDs and </w:t>
      </w:r>
      <w:r w:rsidR="008125CD" w:rsidRPr="00E63DCC">
        <w:rPr>
          <w:lang w:val="en-GB"/>
        </w:rPr>
        <w:t>four</w:t>
      </w:r>
      <w:r w:rsidRPr="00E63DCC">
        <w:rPr>
          <w:lang w:val="en-GB"/>
        </w:rPr>
        <w:t xml:space="preserve"> HFAs will be conducted per country, assuming two ASGM sites in each country.</w:t>
      </w:r>
    </w:p>
    <w:p w14:paraId="59901B0B" w14:textId="04970843" w:rsidR="008125CD" w:rsidRPr="00E63DCC" w:rsidRDefault="00C7540F" w:rsidP="00A5640C">
      <w:pPr>
        <w:rPr>
          <w:lang w:val="en-GB"/>
        </w:rPr>
      </w:pPr>
      <w:bookmarkStart w:id="33" w:name="_Ref479427958"/>
      <w:r w:rsidRPr="00E63DCC">
        <w:rPr>
          <w:lang w:val="en-GB"/>
        </w:rPr>
        <w:t>[Example for table]:</w:t>
      </w:r>
    </w:p>
    <w:p w14:paraId="7A152C98" w14:textId="11A2C558" w:rsidR="00D86D53" w:rsidRPr="00E63DCC" w:rsidRDefault="008874D2" w:rsidP="00C1393F">
      <w:pPr>
        <w:pStyle w:val="Tablehead"/>
      </w:pPr>
      <w:bookmarkStart w:id="34" w:name="_Toc475116180"/>
      <w:r w:rsidRPr="00E63DCC">
        <w:t xml:space="preserve">Table </w:t>
      </w:r>
      <w:fldSimple w:instr=" SEQ Table \* ARABIC ">
        <w:r w:rsidR="00DB50D1">
          <w:rPr>
            <w:noProof/>
          </w:rPr>
          <w:t>3</w:t>
        </w:r>
      </w:fldSimple>
      <w:bookmarkEnd w:id="33"/>
      <w:r w:rsidR="008125CD" w:rsidRPr="00E63DCC">
        <w:t>.</w:t>
      </w:r>
      <w:r w:rsidR="00AC24DB" w:rsidRPr="00E63DCC">
        <w:t xml:space="preserve"> Estimated sample sizes</w:t>
      </w:r>
      <w:bookmarkEnd w:id="34"/>
    </w:p>
    <w:tbl>
      <w:tblPr>
        <w:tblW w:w="8520" w:type="dxa"/>
        <w:tblInd w:w="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202"/>
        <w:gridCol w:w="3062"/>
        <w:gridCol w:w="1281"/>
        <w:gridCol w:w="1282"/>
        <w:gridCol w:w="2693"/>
      </w:tblGrid>
      <w:tr w:rsidR="00C1393F" w:rsidRPr="00E63DCC" w14:paraId="7AC0F410" w14:textId="77777777" w:rsidTr="00B711EE">
        <w:trPr>
          <w:trHeight w:val="274"/>
        </w:trPr>
        <w:tc>
          <w:tcPr>
            <w:tcW w:w="3264" w:type="dxa"/>
            <w:gridSpan w:val="2"/>
            <w:vMerge w:val="restart"/>
            <w:shd w:val="clear" w:color="auto" w:fill="CCFFFF"/>
            <w:noWrap/>
            <w:vAlign w:val="bottom"/>
            <w:hideMark/>
          </w:tcPr>
          <w:p w14:paraId="1554C855" w14:textId="65923FD0" w:rsidR="00C1393F" w:rsidRPr="00E63DCC" w:rsidRDefault="00FD214B" w:rsidP="00B711EE">
            <w:pPr>
              <w:pStyle w:val="Tabletext0"/>
              <w:spacing w:before="240"/>
              <w:outlineLvl w:val="7"/>
              <w:rPr>
                <w:b/>
                <w:lang w:eastAsia="de-CH"/>
              </w:rPr>
            </w:pPr>
            <w:r w:rsidRPr="00E63DCC">
              <w:rPr>
                <w:b/>
                <w:lang w:eastAsia="de-CH"/>
              </w:rPr>
              <w:t>Participants</w:t>
            </w:r>
          </w:p>
        </w:tc>
        <w:tc>
          <w:tcPr>
            <w:tcW w:w="2563" w:type="dxa"/>
            <w:gridSpan w:val="2"/>
            <w:shd w:val="clear" w:color="auto" w:fill="CCFFFF"/>
            <w:noWrap/>
            <w:vAlign w:val="bottom"/>
            <w:hideMark/>
          </w:tcPr>
          <w:p w14:paraId="7096308E" w14:textId="2C79871A" w:rsidR="00C1393F" w:rsidRPr="00E63DCC" w:rsidRDefault="00C1393F" w:rsidP="00235E1E">
            <w:pPr>
              <w:pStyle w:val="Tabletext0"/>
              <w:jc w:val="center"/>
              <w:rPr>
                <w:b/>
                <w:bCs/>
                <w:lang w:eastAsia="de-CH"/>
              </w:rPr>
            </w:pPr>
            <w:r w:rsidRPr="00E63DCC">
              <w:rPr>
                <w:b/>
                <w:bCs/>
              </w:rPr>
              <w:t>[Country name]:</w:t>
            </w:r>
          </w:p>
        </w:tc>
        <w:tc>
          <w:tcPr>
            <w:tcW w:w="2693" w:type="dxa"/>
            <w:vMerge w:val="restart"/>
            <w:shd w:val="clear" w:color="auto" w:fill="CCFFFF"/>
            <w:noWrap/>
            <w:vAlign w:val="bottom"/>
            <w:hideMark/>
          </w:tcPr>
          <w:p w14:paraId="4C6FDEBE" w14:textId="77777777" w:rsidR="00C1393F" w:rsidRPr="00E63DCC" w:rsidRDefault="00C1393F" w:rsidP="00235E1E">
            <w:pPr>
              <w:pStyle w:val="Tabletext0"/>
              <w:rPr>
                <w:b/>
                <w:bCs/>
                <w:lang w:eastAsia="de-CH"/>
              </w:rPr>
            </w:pPr>
            <w:r w:rsidRPr="00E63DCC">
              <w:rPr>
                <w:b/>
                <w:bCs/>
                <w:lang w:eastAsia="de-CH"/>
              </w:rPr>
              <w:t>Total</w:t>
            </w:r>
          </w:p>
        </w:tc>
      </w:tr>
      <w:tr w:rsidR="00C1393F" w:rsidRPr="00E63DCC" w14:paraId="041EAFB0" w14:textId="77777777" w:rsidTr="00B711EE">
        <w:trPr>
          <w:trHeight w:val="274"/>
        </w:trPr>
        <w:tc>
          <w:tcPr>
            <w:tcW w:w="3264" w:type="dxa"/>
            <w:gridSpan w:val="2"/>
            <w:vMerge/>
            <w:shd w:val="clear" w:color="auto" w:fill="D9D9D9" w:themeFill="background1" w:themeFillShade="D9"/>
            <w:noWrap/>
            <w:vAlign w:val="bottom"/>
            <w:hideMark/>
          </w:tcPr>
          <w:p w14:paraId="1B5BA28B" w14:textId="77777777" w:rsidR="00C1393F" w:rsidRPr="00E63DCC" w:rsidRDefault="00C1393F" w:rsidP="00235E1E">
            <w:pPr>
              <w:pStyle w:val="Tabletext0"/>
              <w:rPr>
                <w:lang w:eastAsia="de-CH"/>
              </w:rPr>
            </w:pPr>
          </w:p>
        </w:tc>
        <w:tc>
          <w:tcPr>
            <w:tcW w:w="1281" w:type="dxa"/>
            <w:shd w:val="clear" w:color="auto" w:fill="FFFF99"/>
            <w:noWrap/>
            <w:vAlign w:val="bottom"/>
            <w:hideMark/>
          </w:tcPr>
          <w:p w14:paraId="257772AF" w14:textId="77777777" w:rsidR="00C1393F" w:rsidRPr="00E63DCC" w:rsidRDefault="00C1393F" w:rsidP="00235E1E">
            <w:pPr>
              <w:pStyle w:val="Tabletext0"/>
              <w:jc w:val="center"/>
              <w:rPr>
                <w:b/>
                <w:lang w:eastAsia="de-CH"/>
              </w:rPr>
            </w:pPr>
            <w:r w:rsidRPr="00E63DCC">
              <w:rPr>
                <w:b/>
                <w:lang w:eastAsia="de-CH"/>
              </w:rPr>
              <w:t>Site 1</w:t>
            </w:r>
          </w:p>
        </w:tc>
        <w:tc>
          <w:tcPr>
            <w:tcW w:w="1282" w:type="dxa"/>
            <w:shd w:val="clear" w:color="auto" w:fill="FFFF99"/>
            <w:noWrap/>
            <w:vAlign w:val="bottom"/>
            <w:hideMark/>
          </w:tcPr>
          <w:p w14:paraId="72776249" w14:textId="7E320F22" w:rsidR="00C1393F" w:rsidRPr="00E63DCC" w:rsidRDefault="00C1393F" w:rsidP="00235E1E">
            <w:pPr>
              <w:pStyle w:val="Tabletext0"/>
              <w:jc w:val="center"/>
              <w:rPr>
                <w:b/>
                <w:lang w:eastAsia="de-CH"/>
              </w:rPr>
            </w:pPr>
            <w:r w:rsidRPr="00E63DCC">
              <w:rPr>
                <w:b/>
                <w:lang w:eastAsia="de-CH"/>
              </w:rPr>
              <w:t>Site 2</w:t>
            </w:r>
          </w:p>
        </w:tc>
        <w:tc>
          <w:tcPr>
            <w:tcW w:w="2693" w:type="dxa"/>
            <w:vMerge/>
            <w:shd w:val="clear" w:color="auto" w:fill="D9D9D9" w:themeFill="background1" w:themeFillShade="D9"/>
            <w:noWrap/>
            <w:vAlign w:val="bottom"/>
            <w:hideMark/>
          </w:tcPr>
          <w:p w14:paraId="5D864C01" w14:textId="77777777" w:rsidR="00C1393F" w:rsidRPr="00E63DCC" w:rsidRDefault="00C1393F" w:rsidP="00235E1E">
            <w:pPr>
              <w:pStyle w:val="Tabletext0"/>
              <w:rPr>
                <w:b/>
                <w:bCs/>
                <w:lang w:eastAsia="de-CH"/>
              </w:rPr>
            </w:pPr>
          </w:p>
        </w:tc>
      </w:tr>
      <w:tr w:rsidR="008228E9" w:rsidRPr="00E63DCC" w14:paraId="3A4725AC" w14:textId="77777777" w:rsidTr="00B711EE">
        <w:trPr>
          <w:trHeight w:val="274"/>
        </w:trPr>
        <w:tc>
          <w:tcPr>
            <w:tcW w:w="3264" w:type="dxa"/>
            <w:gridSpan w:val="2"/>
            <w:tcBorders>
              <w:bottom w:val="single" w:sz="4" w:space="0" w:color="A6A6A6" w:themeColor="background1" w:themeShade="A6"/>
            </w:tcBorders>
            <w:shd w:val="clear" w:color="auto" w:fill="auto"/>
            <w:noWrap/>
            <w:vAlign w:val="bottom"/>
            <w:hideMark/>
          </w:tcPr>
          <w:p w14:paraId="2846A6F1" w14:textId="77777777" w:rsidR="008228E9" w:rsidRPr="00E63DCC" w:rsidRDefault="008228E9" w:rsidP="00235E1E">
            <w:pPr>
              <w:pStyle w:val="Tabletext0"/>
              <w:rPr>
                <w:b/>
                <w:lang w:eastAsia="de-CH"/>
              </w:rPr>
            </w:pPr>
            <w:r w:rsidRPr="00E63DCC">
              <w:rPr>
                <w:b/>
                <w:lang w:eastAsia="de-CH"/>
              </w:rPr>
              <w:t>KII</w:t>
            </w:r>
          </w:p>
        </w:tc>
        <w:tc>
          <w:tcPr>
            <w:tcW w:w="2563" w:type="dxa"/>
            <w:gridSpan w:val="2"/>
            <w:shd w:val="clear" w:color="auto" w:fill="auto"/>
            <w:noWrap/>
            <w:vAlign w:val="bottom"/>
            <w:hideMark/>
          </w:tcPr>
          <w:p w14:paraId="5D2C5D55" w14:textId="4D40CAE2" w:rsidR="008228E9" w:rsidRPr="00E63DCC" w:rsidRDefault="00225B6F" w:rsidP="00235E1E">
            <w:pPr>
              <w:pStyle w:val="Tabletext0"/>
              <w:jc w:val="center"/>
              <w:rPr>
                <w:lang w:eastAsia="de-CH"/>
              </w:rPr>
            </w:pPr>
            <w:r w:rsidRPr="00E63DCC">
              <w:rPr>
                <w:lang w:eastAsia="de-CH"/>
              </w:rPr>
              <w:t>[</w:t>
            </w:r>
            <w:r w:rsidR="008125CD" w:rsidRPr="00E63DCC">
              <w:rPr>
                <w:lang w:eastAsia="de-CH"/>
              </w:rPr>
              <w:t>P</w:t>
            </w:r>
            <w:r w:rsidRPr="00E63DCC">
              <w:rPr>
                <w:lang w:eastAsia="de-CH"/>
              </w:rPr>
              <w:t>lease adjust the numbers]</w:t>
            </w:r>
          </w:p>
        </w:tc>
        <w:tc>
          <w:tcPr>
            <w:tcW w:w="2693" w:type="dxa"/>
            <w:shd w:val="clear" w:color="auto" w:fill="auto"/>
            <w:noWrap/>
            <w:vAlign w:val="bottom"/>
            <w:hideMark/>
          </w:tcPr>
          <w:p w14:paraId="31844490" w14:textId="49B42328" w:rsidR="008228E9" w:rsidRPr="00E63DCC" w:rsidRDefault="00225B6F" w:rsidP="00235E1E">
            <w:pPr>
              <w:pStyle w:val="Tabletext0"/>
              <w:rPr>
                <w:lang w:eastAsia="de-CH"/>
              </w:rPr>
            </w:pPr>
            <w:r w:rsidRPr="00E63DCC">
              <w:rPr>
                <w:lang w:eastAsia="de-CH"/>
              </w:rPr>
              <w:t>[</w:t>
            </w:r>
            <w:r w:rsidR="008125CD" w:rsidRPr="00E63DCC">
              <w:rPr>
                <w:lang w:eastAsia="de-CH"/>
              </w:rPr>
              <w:t>P</w:t>
            </w:r>
            <w:r w:rsidRPr="00E63DCC">
              <w:rPr>
                <w:lang w:eastAsia="de-CH"/>
              </w:rPr>
              <w:t>lease adjust the numbers]</w:t>
            </w:r>
          </w:p>
        </w:tc>
      </w:tr>
      <w:tr w:rsidR="00780B3D" w:rsidRPr="00E63DCC" w14:paraId="23D0A920" w14:textId="77777777" w:rsidTr="00780B3D">
        <w:trPr>
          <w:trHeight w:val="274"/>
        </w:trPr>
        <w:tc>
          <w:tcPr>
            <w:tcW w:w="202" w:type="dxa"/>
            <w:tcBorders>
              <w:right w:val="nil"/>
            </w:tcBorders>
            <w:shd w:val="clear" w:color="auto" w:fill="auto"/>
            <w:noWrap/>
            <w:vAlign w:val="bottom"/>
            <w:hideMark/>
          </w:tcPr>
          <w:p w14:paraId="567D1DC3"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hideMark/>
          </w:tcPr>
          <w:p w14:paraId="18EB995C" w14:textId="1EB59451" w:rsidR="008228E9" w:rsidRPr="00E63DCC" w:rsidRDefault="008228E9" w:rsidP="00235E1E">
            <w:pPr>
              <w:pStyle w:val="Tabletext0"/>
              <w:rPr>
                <w:lang w:eastAsia="de-CH"/>
              </w:rPr>
            </w:pPr>
            <w:r w:rsidRPr="00E63DCC">
              <w:rPr>
                <w:lang w:eastAsia="de-CH"/>
              </w:rPr>
              <w:t>Gov</w:t>
            </w:r>
            <w:r w:rsidR="008125CD" w:rsidRPr="00E63DCC">
              <w:rPr>
                <w:lang w:eastAsia="de-CH"/>
              </w:rPr>
              <w:t>ernment</w:t>
            </w:r>
            <w:r w:rsidRPr="00E63DCC">
              <w:rPr>
                <w:lang w:eastAsia="de-CH"/>
              </w:rPr>
              <w:t xml:space="preserve"> officials</w:t>
            </w:r>
          </w:p>
        </w:tc>
        <w:tc>
          <w:tcPr>
            <w:tcW w:w="1281" w:type="dxa"/>
            <w:shd w:val="clear" w:color="auto" w:fill="auto"/>
            <w:noWrap/>
            <w:vAlign w:val="bottom"/>
            <w:hideMark/>
          </w:tcPr>
          <w:p w14:paraId="216717E5" w14:textId="77777777" w:rsidR="008228E9" w:rsidRPr="00E63DCC" w:rsidRDefault="008228E9" w:rsidP="00235E1E">
            <w:pPr>
              <w:pStyle w:val="Tabletext0"/>
              <w:jc w:val="center"/>
              <w:rPr>
                <w:lang w:eastAsia="de-CH"/>
              </w:rPr>
            </w:pPr>
            <w:r w:rsidRPr="00E63DCC">
              <w:rPr>
                <w:lang w:eastAsia="de-CH"/>
              </w:rPr>
              <w:t>1</w:t>
            </w:r>
          </w:p>
        </w:tc>
        <w:tc>
          <w:tcPr>
            <w:tcW w:w="1282" w:type="dxa"/>
            <w:shd w:val="clear" w:color="auto" w:fill="auto"/>
            <w:noWrap/>
            <w:vAlign w:val="bottom"/>
            <w:hideMark/>
          </w:tcPr>
          <w:p w14:paraId="0B0C6BE2" w14:textId="617B7573" w:rsidR="008228E9" w:rsidRPr="00E63DCC" w:rsidRDefault="008228E9" w:rsidP="00235E1E">
            <w:pPr>
              <w:pStyle w:val="Tabletext0"/>
              <w:jc w:val="center"/>
              <w:rPr>
                <w:lang w:eastAsia="de-CH"/>
              </w:rPr>
            </w:pPr>
            <w:r w:rsidRPr="00E63DCC">
              <w:rPr>
                <w:lang w:eastAsia="de-CH"/>
              </w:rPr>
              <w:t>1</w:t>
            </w:r>
          </w:p>
        </w:tc>
        <w:tc>
          <w:tcPr>
            <w:tcW w:w="2693" w:type="dxa"/>
            <w:shd w:val="clear" w:color="auto" w:fill="auto"/>
            <w:noWrap/>
            <w:vAlign w:val="bottom"/>
            <w:hideMark/>
          </w:tcPr>
          <w:p w14:paraId="3868B410" w14:textId="6AFF92E4" w:rsidR="008228E9" w:rsidRPr="00E63DCC" w:rsidRDefault="008228E9" w:rsidP="00235E1E">
            <w:pPr>
              <w:pStyle w:val="Tabletext0"/>
              <w:rPr>
                <w:lang w:eastAsia="de-CH"/>
              </w:rPr>
            </w:pPr>
          </w:p>
        </w:tc>
      </w:tr>
      <w:tr w:rsidR="00780B3D" w:rsidRPr="00E63DCC" w14:paraId="525A50C8" w14:textId="77777777" w:rsidTr="00780B3D">
        <w:trPr>
          <w:trHeight w:val="274"/>
        </w:trPr>
        <w:tc>
          <w:tcPr>
            <w:tcW w:w="202" w:type="dxa"/>
            <w:tcBorders>
              <w:right w:val="nil"/>
            </w:tcBorders>
            <w:shd w:val="clear" w:color="auto" w:fill="auto"/>
            <w:noWrap/>
            <w:vAlign w:val="bottom"/>
            <w:hideMark/>
          </w:tcPr>
          <w:p w14:paraId="16F4E5E7"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hideMark/>
          </w:tcPr>
          <w:p w14:paraId="4C248803" w14:textId="77777777" w:rsidR="008228E9" w:rsidRPr="00E63DCC" w:rsidRDefault="008228E9" w:rsidP="00235E1E">
            <w:pPr>
              <w:pStyle w:val="Tabletext0"/>
              <w:rPr>
                <w:lang w:eastAsia="de-CH"/>
              </w:rPr>
            </w:pPr>
            <w:r w:rsidRPr="00E63DCC">
              <w:rPr>
                <w:lang w:eastAsia="de-CH"/>
              </w:rPr>
              <w:t>Health authorities</w:t>
            </w:r>
          </w:p>
        </w:tc>
        <w:tc>
          <w:tcPr>
            <w:tcW w:w="1281" w:type="dxa"/>
            <w:shd w:val="clear" w:color="auto" w:fill="auto"/>
            <w:noWrap/>
            <w:vAlign w:val="bottom"/>
            <w:hideMark/>
          </w:tcPr>
          <w:p w14:paraId="3082C4AA" w14:textId="77777777" w:rsidR="008228E9" w:rsidRPr="00E63DCC" w:rsidRDefault="008228E9" w:rsidP="00235E1E">
            <w:pPr>
              <w:pStyle w:val="Tabletext0"/>
              <w:jc w:val="center"/>
              <w:rPr>
                <w:lang w:eastAsia="de-CH"/>
              </w:rPr>
            </w:pPr>
            <w:r w:rsidRPr="00E63DCC">
              <w:rPr>
                <w:lang w:eastAsia="de-CH"/>
              </w:rPr>
              <w:t>1</w:t>
            </w:r>
          </w:p>
        </w:tc>
        <w:tc>
          <w:tcPr>
            <w:tcW w:w="1282" w:type="dxa"/>
            <w:shd w:val="clear" w:color="auto" w:fill="auto"/>
            <w:noWrap/>
            <w:vAlign w:val="bottom"/>
            <w:hideMark/>
          </w:tcPr>
          <w:p w14:paraId="23BF84FA" w14:textId="58559E68" w:rsidR="008228E9" w:rsidRPr="00E63DCC" w:rsidRDefault="008228E9" w:rsidP="00235E1E">
            <w:pPr>
              <w:pStyle w:val="Tabletext0"/>
              <w:jc w:val="center"/>
              <w:rPr>
                <w:lang w:eastAsia="de-CH"/>
              </w:rPr>
            </w:pPr>
            <w:r w:rsidRPr="00E63DCC">
              <w:rPr>
                <w:lang w:eastAsia="de-CH"/>
              </w:rPr>
              <w:t>1</w:t>
            </w:r>
          </w:p>
        </w:tc>
        <w:tc>
          <w:tcPr>
            <w:tcW w:w="2693" w:type="dxa"/>
            <w:shd w:val="clear" w:color="auto" w:fill="auto"/>
            <w:noWrap/>
            <w:vAlign w:val="bottom"/>
          </w:tcPr>
          <w:p w14:paraId="3A43B3ED" w14:textId="69B31675" w:rsidR="008228E9" w:rsidRPr="00E63DCC" w:rsidRDefault="008228E9" w:rsidP="00235E1E">
            <w:pPr>
              <w:pStyle w:val="Tabletext0"/>
              <w:rPr>
                <w:lang w:eastAsia="de-CH"/>
              </w:rPr>
            </w:pPr>
          </w:p>
        </w:tc>
      </w:tr>
      <w:tr w:rsidR="00780B3D" w:rsidRPr="00E63DCC" w14:paraId="3F11FA9F" w14:textId="77777777" w:rsidTr="00780B3D">
        <w:trPr>
          <w:trHeight w:val="274"/>
        </w:trPr>
        <w:tc>
          <w:tcPr>
            <w:tcW w:w="202" w:type="dxa"/>
            <w:tcBorders>
              <w:right w:val="nil"/>
            </w:tcBorders>
            <w:shd w:val="clear" w:color="auto" w:fill="auto"/>
            <w:noWrap/>
            <w:vAlign w:val="bottom"/>
          </w:tcPr>
          <w:p w14:paraId="6DD9DFA5"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tcPr>
          <w:p w14:paraId="5A65B8B9" w14:textId="77777777" w:rsidR="008228E9" w:rsidRPr="00E63DCC" w:rsidRDefault="008228E9" w:rsidP="00235E1E">
            <w:pPr>
              <w:pStyle w:val="Tabletext0"/>
              <w:rPr>
                <w:lang w:eastAsia="de-CH"/>
              </w:rPr>
            </w:pPr>
            <w:r w:rsidRPr="00E63DCC">
              <w:rPr>
                <w:lang w:eastAsia="de-CH"/>
              </w:rPr>
              <w:t>Environmental authorities</w:t>
            </w:r>
          </w:p>
        </w:tc>
        <w:tc>
          <w:tcPr>
            <w:tcW w:w="1281" w:type="dxa"/>
            <w:shd w:val="clear" w:color="auto" w:fill="auto"/>
            <w:noWrap/>
            <w:vAlign w:val="bottom"/>
          </w:tcPr>
          <w:p w14:paraId="0B6C6DBF" w14:textId="77777777" w:rsidR="008228E9" w:rsidRPr="00E63DCC" w:rsidRDefault="008228E9" w:rsidP="00235E1E">
            <w:pPr>
              <w:pStyle w:val="Tabletext0"/>
              <w:jc w:val="center"/>
              <w:rPr>
                <w:lang w:eastAsia="de-CH"/>
              </w:rPr>
            </w:pPr>
            <w:r w:rsidRPr="00E63DCC">
              <w:rPr>
                <w:lang w:eastAsia="de-CH"/>
              </w:rPr>
              <w:t>1</w:t>
            </w:r>
          </w:p>
        </w:tc>
        <w:tc>
          <w:tcPr>
            <w:tcW w:w="1282" w:type="dxa"/>
            <w:shd w:val="clear" w:color="auto" w:fill="auto"/>
            <w:noWrap/>
            <w:vAlign w:val="bottom"/>
          </w:tcPr>
          <w:p w14:paraId="59BAF860" w14:textId="67AAEF9E" w:rsidR="008228E9" w:rsidRPr="00E63DCC" w:rsidRDefault="008228E9" w:rsidP="00235E1E">
            <w:pPr>
              <w:pStyle w:val="Tabletext0"/>
              <w:jc w:val="center"/>
              <w:rPr>
                <w:lang w:eastAsia="de-CH"/>
              </w:rPr>
            </w:pPr>
            <w:r w:rsidRPr="00E63DCC">
              <w:rPr>
                <w:lang w:eastAsia="de-CH"/>
              </w:rPr>
              <w:t>1</w:t>
            </w:r>
          </w:p>
        </w:tc>
        <w:tc>
          <w:tcPr>
            <w:tcW w:w="2693" w:type="dxa"/>
            <w:shd w:val="clear" w:color="auto" w:fill="auto"/>
            <w:noWrap/>
            <w:vAlign w:val="bottom"/>
          </w:tcPr>
          <w:p w14:paraId="5C8A41FA" w14:textId="16717A6C" w:rsidR="008228E9" w:rsidRPr="00E63DCC" w:rsidRDefault="008228E9" w:rsidP="00235E1E">
            <w:pPr>
              <w:pStyle w:val="Tabletext0"/>
              <w:rPr>
                <w:lang w:eastAsia="de-CH"/>
              </w:rPr>
            </w:pPr>
          </w:p>
        </w:tc>
      </w:tr>
      <w:tr w:rsidR="00780B3D" w:rsidRPr="00E63DCC" w14:paraId="28A05638" w14:textId="77777777" w:rsidTr="00780B3D">
        <w:trPr>
          <w:trHeight w:val="274"/>
        </w:trPr>
        <w:tc>
          <w:tcPr>
            <w:tcW w:w="202" w:type="dxa"/>
            <w:tcBorders>
              <w:right w:val="nil"/>
            </w:tcBorders>
            <w:shd w:val="clear" w:color="auto" w:fill="auto"/>
            <w:noWrap/>
            <w:vAlign w:val="bottom"/>
            <w:hideMark/>
          </w:tcPr>
          <w:p w14:paraId="2FC887B2"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hideMark/>
          </w:tcPr>
          <w:p w14:paraId="3B0A7AA7" w14:textId="77777777" w:rsidR="008228E9" w:rsidRPr="00E63DCC" w:rsidRDefault="008228E9" w:rsidP="00235E1E">
            <w:pPr>
              <w:pStyle w:val="Tabletext0"/>
              <w:rPr>
                <w:lang w:eastAsia="de-CH"/>
              </w:rPr>
            </w:pPr>
            <w:r w:rsidRPr="00E63DCC">
              <w:rPr>
                <w:lang w:eastAsia="de-CH"/>
              </w:rPr>
              <w:t>Health care providers</w:t>
            </w:r>
          </w:p>
        </w:tc>
        <w:tc>
          <w:tcPr>
            <w:tcW w:w="1281" w:type="dxa"/>
            <w:shd w:val="clear" w:color="auto" w:fill="auto"/>
            <w:noWrap/>
            <w:vAlign w:val="bottom"/>
            <w:hideMark/>
          </w:tcPr>
          <w:p w14:paraId="1C101AFB" w14:textId="3707B8A6" w:rsidR="008228E9" w:rsidRPr="00E63DCC" w:rsidRDefault="008228E9" w:rsidP="00235E1E">
            <w:pPr>
              <w:pStyle w:val="Tabletext0"/>
              <w:jc w:val="center"/>
              <w:rPr>
                <w:lang w:eastAsia="de-CH"/>
              </w:rPr>
            </w:pPr>
            <w:r w:rsidRPr="00E63DCC">
              <w:rPr>
                <w:lang w:eastAsia="de-CH"/>
              </w:rPr>
              <w:t>2</w:t>
            </w:r>
            <w:r w:rsidR="008125CD" w:rsidRPr="00E63DCC">
              <w:rPr>
                <w:lang w:eastAsia="de-CH"/>
              </w:rPr>
              <w:t>–</w:t>
            </w:r>
            <w:r w:rsidRPr="00E63DCC">
              <w:rPr>
                <w:lang w:eastAsia="de-CH"/>
              </w:rPr>
              <w:t>3</w:t>
            </w:r>
          </w:p>
        </w:tc>
        <w:tc>
          <w:tcPr>
            <w:tcW w:w="1282" w:type="dxa"/>
            <w:shd w:val="clear" w:color="auto" w:fill="auto"/>
            <w:noWrap/>
            <w:vAlign w:val="bottom"/>
            <w:hideMark/>
          </w:tcPr>
          <w:p w14:paraId="30E7DF82" w14:textId="3E438E3F" w:rsidR="008228E9" w:rsidRPr="00E63DCC" w:rsidRDefault="008228E9" w:rsidP="00235E1E">
            <w:pPr>
              <w:pStyle w:val="Tabletext0"/>
              <w:jc w:val="center"/>
              <w:rPr>
                <w:lang w:eastAsia="de-CH"/>
              </w:rPr>
            </w:pPr>
            <w:r w:rsidRPr="00E63DCC">
              <w:rPr>
                <w:lang w:eastAsia="de-CH"/>
              </w:rPr>
              <w:t>2</w:t>
            </w:r>
            <w:r w:rsidR="008125CD" w:rsidRPr="00E63DCC">
              <w:rPr>
                <w:lang w:eastAsia="de-CH"/>
              </w:rPr>
              <w:t>–</w:t>
            </w:r>
            <w:r w:rsidRPr="00E63DCC">
              <w:rPr>
                <w:lang w:eastAsia="de-CH"/>
              </w:rPr>
              <w:t>3</w:t>
            </w:r>
          </w:p>
        </w:tc>
        <w:tc>
          <w:tcPr>
            <w:tcW w:w="2693" w:type="dxa"/>
            <w:shd w:val="clear" w:color="auto" w:fill="auto"/>
            <w:noWrap/>
            <w:vAlign w:val="bottom"/>
          </w:tcPr>
          <w:p w14:paraId="7087E670" w14:textId="1A7234A3" w:rsidR="008228E9" w:rsidRPr="00E63DCC" w:rsidRDefault="008228E9" w:rsidP="00235E1E">
            <w:pPr>
              <w:pStyle w:val="Tabletext0"/>
              <w:rPr>
                <w:lang w:eastAsia="de-CH"/>
              </w:rPr>
            </w:pPr>
          </w:p>
        </w:tc>
      </w:tr>
      <w:tr w:rsidR="00780B3D" w:rsidRPr="00E63DCC" w14:paraId="21741C03" w14:textId="77777777" w:rsidTr="00780B3D">
        <w:trPr>
          <w:trHeight w:val="274"/>
        </w:trPr>
        <w:tc>
          <w:tcPr>
            <w:tcW w:w="202" w:type="dxa"/>
            <w:tcBorders>
              <w:right w:val="nil"/>
            </w:tcBorders>
            <w:shd w:val="clear" w:color="auto" w:fill="auto"/>
            <w:noWrap/>
            <w:vAlign w:val="bottom"/>
          </w:tcPr>
          <w:p w14:paraId="2A185BD1"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tcPr>
          <w:p w14:paraId="0387209E" w14:textId="40B4EDD7" w:rsidR="008228E9" w:rsidRPr="00E63DCC" w:rsidRDefault="008228E9" w:rsidP="00235E1E">
            <w:pPr>
              <w:pStyle w:val="Tabletext0"/>
              <w:rPr>
                <w:lang w:eastAsia="de-CH"/>
              </w:rPr>
            </w:pPr>
            <w:r w:rsidRPr="00E63DCC">
              <w:rPr>
                <w:lang w:eastAsia="de-CH"/>
              </w:rPr>
              <w:t>Community and ASGM</w:t>
            </w:r>
            <w:r w:rsidR="008125CD" w:rsidRPr="00E63DCC">
              <w:rPr>
                <w:lang w:eastAsia="de-CH"/>
              </w:rPr>
              <w:t xml:space="preserve"> </w:t>
            </w:r>
            <w:r w:rsidRPr="00E63DCC">
              <w:rPr>
                <w:lang w:eastAsia="de-CH"/>
              </w:rPr>
              <w:t>community leaders</w:t>
            </w:r>
          </w:p>
        </w:tc>
        <w:tc>
          <w:tcPr>
            <w:tcW w:w="1281" w:type="dxa"/>
            <w:shd w:val="clear" w:color="auto" w:fill="auto"/>
            <w:noWrap/>
            <w:vAlign w:val="bottom"/>
          </w:tcPr>
          <w:p w14:paraId="71FB1002" w14:textId="78151A9B" w:rsidR="008228E9" w:rsidRPr="00E63DCC" w:rsidRDefault="008228E9" w:rsidP="00235E1E">
            <w:pPr>
              <w:pStyle w:val="Tabletext0"/>
              <w:jc w:val="center"/>
              <w:rPr>
                <w:lang w:eastAsia="de-CH"/>
              </w:rPr>
            </w:pPr>
            <w:r w:rsidRPr="00E63DCC">
              <w:rPr>
                <w:lang w:eastAsia="de-CH"/>
              </w:rPr>
              <w:t>2</w:t>
            </w:r>
            <w:r w:rsidR="008125CD" w:rsidRPr="00E63DCC">
              <w:rPr>
                <w:lang w:eastAsia="de-CH"/>
              </w:rPr>
              <w:t>–</w:t>
            </w:r>
            <w:r w:rsidRPr="00E63DCC">
              <w:rPr>
                <w:lang w:eastAsia="de-CH"/>
              </w:rPr>
              <w:t>3</w:t>
            </w:r>
          </w:p>
        </w:tc>
        <w:tc>
          <w:tcPr>
            <w:tcW w:w="1282" w:type="dxa"/>
            <w:shd w:val="clear" w:color="auto" w:fill="auto"/>
            <w:noWrap/>
            <w:vAlign w:val="bottom"/>
          </w:tcPr>
          <w:p w14:paraId="47A208EC" w14:textId="5CAAB3C7" w:rsidR="008228E9" w:rsidRPr="00E63DCC" w:rsidRDefault="008228E9" w:rsidP="00235E1E">
            <w:pPr>
              <w:pStyle w:val="Tabletext0"/>
              <w:jc w:val="center"/>
              <w:rPr>
                <w:lang w:eastAsia="de-CH"/>
              </w:rPr>
            </w:pPr>
            <w:r w:rsidRPr="00E63DCC">
              <w:rPr>
                <w:lang w:eastAsia="de-CH"/>
              </w:rPr>
              <w:t>2</w:t>
            </w:r>
            <w:r w:rsidR="008125CD" w:rsidRPr="00E63DCC">
              <w:rPr>
                <w:lang w:eastAsia="de-CH"/>
              </w:rPr>
              <w:t>–</w:t>
            </w:r>
            <w:r w:rsidRPr="00E63DCC">
              <w:rPr>
                <w:lang w:eastAsia="de-CH"/>
              </w:rPr>
              <w:t>3</w:t>
            </w:r>
          </w:p>
        </w:tc>
        <w:tc>
          <w:tcPr>
            <w:tcW w:w="2693" w:type="dxa"/>
            <w:shd w:val="clear" w:color="auto" w:fill="auto"/>
            <w:noWrap/>
            <w:vAlign w:val="bottom"/>
          </w:tcPr>
          <w:p w14:paraId="50CE9D44" w14:textId="5DEDE3E1" w:rsidR="008228E9" w:rsidRPr="00E63DCC" w:rsidRDefault="008228E9" w:rsidP="00235E1E">
            <w:pPr>
              <w:pStyle w:val="Tabletext0"/>
              <w:rPr>
                <w:lang w:eastAsia="de-CH"/>
              </w:rPr>
            </w:pPr>
          </w:p>
        </w:tc>
      </w:tr>
      <w:tr w:rsidR="00780B3D" w:rsidRPr="00E63DCC" w14:paraId="1F1DE364" w14:textId="77777777" w:rsidTr="00780B3D">
        <w:trPr>
          <w:trHeight w:val="274"/>
        </w:trPr>
        <w:tc>
          <w:tcPr>
            <w:tcW w:w="202" w:type="dxa"/>
            <w:tcBorders>
              <w:right w:val="nil"/>
            </w:tcBorders>
            <w:shd w:val="clear" w:color="auto" w:fill="auto"/>
            <w:noWrap/>
            <w:vAlign w:val="bottom"/>
            <w:hideMark/>
          </w:tcPr>
          <w:p w14:paraId="7E635E8D"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hideMark/>
          </w:tcPr>
          <w:p w14:paraId="452F41A8" w14:textId="09A70A35" w:rsidR="008228E9" w:rsidRPr="00E63DCC" w:rsidRDefault="008228E9" w:rsidP="00235E1E">
            <w:pPr>
              <w:pStyle w:val="Tabletext0"/>
              <w:rPr>
                <w:lang w:eastAsia="de-CH"/>
              </w:rPr>
            </w:pPr>
            <w:r w:rsidRPr="00E63DCC">
              <w:rPr>
                <w:lang w:eastAsia="de-CH"/>
              </w:rPr>
              <w:t>Civil society organi</w:t>
            </w:r>
            <w:r w:rsidR="0051471F" w:rsidRPr="00E63DCC">
              <w:rPr>
                <w:lang w:eastAsia="de-CH"/>
              </w:rPr>
              <w:t>z</w:t>
            </w:r>
            <w:r w:rsidRPr="00E63DCC">
              <w:rPr>
                <w:lang w:eastAsia="de-CH"/>
              </w:rPr>
              <w:t>ations</w:t>
            </w:r>
          </w:p>
        </w:tc>
        <w:tc>
          <w:tcPr>
            <w:tcW w:w="1281" w:type="dxa"/>
            <w:shd w:val="clear" w:color="auto" w:fill="auto"/>
            <w:noWrap/>
            <w:vAlign w:val="bottom"/>
            <w:hideMark/>
          </w:tcPr>
          <w:p w14:paraId="40F69C61" w14:textId="1BBFC2B8" w:rsidR="008228E9" w:rsidRPr="00E63DCC" w:rsidRDefault="008228E9" w:rsidP="00235E1E">
            <w:pPr>
              <w:pStyle w:val="Tabletext0"/>
              <w:jc w:val="center"/>
              <w:rPr>
                <w:lang w:eastAsia="de-CH"/>
              </w:rPr>
            </w:pPr>
            <w:r w:rsidRPr="00E63DCC">
              <w:rPr>
                <w:lang w:eastAsia="de-CH"/>
              </w:rPr>
              <w:t>1</w:t>
            </w:r>
            <w:r w:rsidR="008125CD" w:rsidRPr="00E63DCC">
              <w:rPr>
                <w:lang w:eastAsia="de-CH"/>
              </w:rPr>
              <w:t>–</w:t>
            </w:r>
            <w:r w:rsidRPr="00E63DCC">
              <w:rPr>
                <w:lang w:eastAsia="de-CH"/>
              </w:rPr>
              <w:t>2</w:t>
            </w:r>
          </w:p>
        </w:tc>
        <w:tc>
          <w:tcPr>
            <w:tcW w:w="1282" w:type="dxa"/>
            <w:shd w:val="clear" w:color="auto" w:fill="auto"/>
            <w:noWrap/>
            <w:vAlign w:val="bottom"/>
            <w:hideMark/>
          </w:tcPr>
          <w:p w14:paraId="4FDA009E" w14:textId="269DD620" w:rsidR="008228E9" w:rsidRPr="00E63DCC" w:rsidRDefault="008228E9" w:rsidP="00235E1E">
            <w:pPr>
              <w:pStyle w:val="Tabletext0"/>
              <w:jc w:val="center"/>
              <w:rPr>
                <w:lang w:eastAsia="de-CH"/>
              </w:rPr>
            </w:pPr>
            <w:r w:rsidRPr="00E63DCC">
              <w:rPr>
                <w:lang w:eastAsia="de-CH"/>
              </w:rPr>
              <w:t>1</w:t>
            </w:r>
            <w:r w:rsidR="008125CD" w:rsidRPr="00E63DCC">
              <w:rPr>
                <w:lang w:eastAsia="de-CH"/>
              </w:rPr>
              <w:t>–</w:t>
            </w:r>
            <w:r w:rsidRPr="00E63DCC">
              <w:rPr>
                <w:lang w:eastAsia="de-CH"/>
              </w:rPr>
              <w:t>2</w:t>
            </w:r>
          </w:p>
        </w:tc>
        <w:tc>
          <w:tcPr>
            <w:tcW w:w="2693" w:type="dxa"/>
            <w:shd w:val="clear" w:color="auto" w:fill="auto"/>
            <w:noWrap/>
            <w:vAlign w:val="bottom"/>
          </w:tcPr>
          <w:p w14:paraId="2BCE2994" w14:textId="0A4C22F5" w:rsidR="008228E9" w:rsidRPr="00E63DCC" w:rsidRDefault="008228E9" w:rsidP="00235E1E">
            <w:pPr>
              <w:pStyle w:val="Tabletext0"/>
              <w:rPr>
                <w:lang w:eastAsia="de-CH"/>
              </w:rPr>
            </w:pPr>
          </w:p>
        </w:tc>
      </w:tr>
      <w:tr w:rsidR="00780B3D" w:rsidRPr="00E63DCC" w14:paraId="75F173CF" w14:textId="77777777" w:rsidTr="00780B3D">
        <w:trPr>
          <w:trHeight w:val="274"/>
        </w:trPr>
        <w:tc>
          <w:tcPr>
            <w:tcW w:w="202" w:type="dxa"/>
            <w:tcBorders>
              <w:right w:val="nil"/>
            </w:tcBorders>
            <w:shd w:val="clear" w:color="auto" w:fill="auto"/>
            <w:noWrap/>
            <w:vAlign w:val="bottom"/>
            <w:hideMark/>
          </w:tcPr>
          <w:p w14:paraId="58A937E3"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hideMark/>
          </w:tcPr>
          <w:p w14:paraId="6ED1E105" w14:textId="77777777" w:rsidR="008228E9" w:rsidRPr="00E63DCC" w:rsidRDefault="008228E9" w:rsidP="00235E1E">
            <w:pPr>
              <w:pStyle w:val="Tabletext0"/>
              <w:rPr>
                <w:b/>
                <w:lang w:eastAsia="de-CH"/>
              </w:rPr>
            </w:pPr>
            <w:r w:rsidRPr="00E63DCC">
              <w:rPr>
                <w:b/>
                <w:lang w:eastAsia="de-CH"/>
              </w:rPr>
              <w:t>Total KIIs</w:t>
            </w:r>
          </w:p>
        </w:tc>
        <w:tc>
          <w:tcPr>
            <w:tcW w:w="1281" w:type="dxa"/>
            <w:shd w:val="clear" w:color="auto" w:fill="auto"/>
            <w:noWrap/>
            <w:vAlign w:val="bottom"/>
            <w:hideMark/>
          </w:tcPr>
          <w:p w14:paraId="04B269B1" w14:textId="102C55D5" w:rsidR="008228E9" w:rsidRPr="00E63DCC" w:rsidRDefault="008228E9" w:rsidP="00235E1E">
            <w:pPr>
              <w:pStyle w:val="Tabletext0"/>
              <w:jc w:val="center"/>
              <w:rPr>
                <w:b/>
                <w:bCs/>
                <w:lang w:eastAsia="de-CH"/>
              </w:rPr>
            </w:pPr>
            <w:r w:rsidRPr="00E63DCC">
              <w:rPr>
                <w:b/>
                <w:bCs/>
                <w:lang w:eastAsia="de-CH"/>
              </w:rPr>
              <w:t>8</w:t>
            </w:r>
            <w:r w:rsidR="008125CD" w:rsidRPr="00E63DCC">
              <w:rPr>
                <w:lang w:eastAsia="de-CH"/>
              </w:rPr>
              <w:t>–</w:t>
            </w:r>
            <w:r w:rsidRPr="00E63DCC">
              <w:rPr>
                <w:b/>
                <w:bCs/>
                <w:lang w:eastAsia="de-CH"/>
              </w:rPr>
              <w:t>11</w:t>
            </w:r>
          </w:p>
        </w:tc>
        <w:tc>
          <w:tcPr>
            <w:tcW w:w="1282" w:type="dxa"/>
            <w:shd w:val="clear" w:color="auto" w:fill="auto"/>
            <w:noWrap/>
            <w:vAlign w:val="bottom"/>
            <w:hideMark/>
          </w:tcPr>
          <w:p w14:paraId="4B8D5BEE" w14:textId="0FE57571" w:rsidR="008228E9" w:rsidRPr="00E63DCC" w:rsidRDefault="008228E9" w:rsidP="00235E1E">
            <w:pPr>
              <w:pStyle w:val="Tabletext0"/>
              <w:jc w:val="center"/>
              <w:rPr>
                <w:b/>
                <w:bCs/>
                <w:lang w:eastAsia="de-CH"/>
              </w:rPr>
            </w:pPr>
            <w:r w:rsidRPr="00E63DCC">
              <w:rPr>
                <w:b/>
                <w:bCs/>
                <w:lang w:eastAsia="de-CH"/>
              </w:rPr>
              <w:t>8</w:t>
            </w:r>
            <w:r w:rsidR="008125CD" w:rsidRPr="00E63DCC">
              <w:rPr>
                <w:lang w:eastAsia="de-CH"/>
              </w:rPr>
              <w:t>–</w:t>
            </w:r>
            <w:r w:rsidRPr="00E63DCC">
              <w:rPr>
                <w:b/>
                <w:bCs/>
                <w:lang w:eastAsia="de-CH"/>
              </w:rPr>
              <w:t>11</w:t>
            </w:r>
          </w:p>
        </w:tc>
        <w:tc>
          <w:tcPr>
            <w:tcW w:w="2693" w:type="dxa"/>
            <w:shd w:val="clear" w:color="auto" w:fill="auto"/>
            <w:noWrap/>
            <w:vAlign w:val="bottom"/>
            <w:hideMark/>
          </w:tcPr>
          <w:p w14:paraId="53EAE8CA" w14:textId="5B78C7FA" w:rsidR="008228E9" w:rsidRPr="00E63DCC" w:rsidRDefault="008228E9" w:rsidP="00235E1E">
            <w:pPr>
              <w:pStyle w:val="Tabletext0"/>
              <w:rPr>
                <w:b/>
                <w:bCs/>
                <w:lang w:eastAsia="de-CH"/>
              </w:rPr>
            </w:pPr>
          </w:p>
        </w:tc>
      </w:tr>
      <w:tr w:rsidR="008228E9" w:rsidRPr="00E63DCC" w14:paraId="4591595F" w14:textId="77777777" w:rsidTr="00B711EE">
        <w:trPr>
          <w:trHeight w:val="274"/>
        </w:trPr>
        <w:tc>
          <w:tcPr>
            <w:tcW w:w="3264" w:type="dxa"/>
            <w:gridSpan w:val="2"/>
            <w:tcBorders>
              <w:bottom w:val="single" w:sz="4" w:space="0" w:color="A6A6A6" w:themeColor="background1" w:themeShade="A6"/>
            </w:tcBorders>
            <w:shd w:val="clear" w:color="auto" w:fill="auto"/>
            <w:noWrap/>
            <w:vAlign w:val="bottom"/>
            <w:hideMark/>
          </w:tcPr>
          <w:p w14:paraId="4AF4B1A7" w14:textId="77777777" w:rsidR="008228E9" w:rsidRPr="00E63DCC" w:rsidRDefault="008228E9" w:rsidP="00235E1E">
            <w:pPr>
              <w:pStyle w:val="Tabletext0"/>
              <w:rPr>
                <w:b/>
                <w:lang w:eastAsia="de-CH"/>
              </w:rPr>
            </w:pPr>
            <w:r w:rsidRPr="00E63DCC">
              <w:rPr>
                <w:b/>
                <w:lang w:eastAsia="de-CH"/>
              </w:rPr>
              <w:t>FGD</w:t>
            </w:r>
          </w:p>
        </w:tc>
        <w:tc>
          <w:tcPr>
            <w:tcW w:w="1281" w:type="dxa"/>
            <w:shd w:val="clear" w:color="auto" w:fill="auto"/>
            <w:noWrap/>
            <w:vAlign w:val="bottom"/>
            <w:hideMark/>
          </w:tcPr>
          <w:p w14:paraId="28502B69" w14:textId="77777777" w:rsidR="008228E9" w:rsidRPr="00E63DCC" w:rsidRDefault="008228E9" w:rsidP="00235E1E">
            <w:pPr>
              <w:pStyle w:val="Tabletext0"/>
              <w:jc w:val="center"/>
              <w:rPr>
                <w:lang w:eastAsia="de-CH"/>
              </w:rPr>
            </w:pPr>
          </w:p>
        </w:tc>
        <w:tc>
          <w:tcPr>
            <w:tcW w:w="1282" w:type="dxa"/>
            <w:shd w:val="clear" w:color="auto" w:fill="auto"/>
            <w:noWrap/>
            <w:vAlign w:val="bottom"/>
            <w:hideMark/>
          </w:tcPr>
          <w:p w14:paraId="269E2985" w14:textId="77777777" w:rsidR="008228E9" w:rsidRPr="00E63DCC" w:rsidRDefault="008228E9" w:rsidP="00235E1E">
            <w:pPr>
              <w:pStyle w:val="Tabletext0"/>
              <w:jc w:val="center"/>
              <w:rPr>
                <w:lang w:eastAsia="de-CH"/>
              </w:rPr>
            </w:pPr>
          </w:p>
        </w:tc>
        <w:tc>
          <w:tcPr>
            <w:tcW w:w="2693" w:type="dxa"/>
            <w:shd w:val="clear" w:color="auto" w:fill="auto"/>
            <w:noWrap/>
            <w:vAlign w:val="bottom"/>
            <w:hideMark/>
          </w:tcPr>
          <w:p w14:paraId="06E6211F" w14:textId="77777777" w:rsidR="008228E9" w:rsidRPr="00E63DCC" w:rsidRDefault="008228E9" w:rsidP="00235E1E">
            <w:pPr>
              <w:pStyle w:val="Tabletext0"/>
              <w:rPr>
                <w:lang w:eastAsia="de-CH"/>
              </w:rPr>
            </w:pPr>
          </w:p>
        </w:tc>
      </w:tr>
      <w:tr w:rsidR="00780B3D" w:rsidRPr="00E63DCC" w14:paraId="6C6205F9" w14:textId="77777777" w:rsidTr="00780B3D">
        <w:trPr>
          <w:trHeight w:val="274"/>
        </w:trPr>
        <w:tc>
          <w:tcPr>
            <w:tcW w:w="202" w:type="dxa"/>
            <w:tcBorders>
              <w:right w:val="nil"/>
            </w:tcBorders>
            <w:shd w:val="clear" w:color="auto" w:fill="auto"/>
            <w:noWrap/>
            <w:vAlign w:val="bottom"/>
            <w:hideMark/>
          </w:tcPr>
          <w:p w14:paraId="741E6F0F"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hideMark/>
          </w:tcPr>
          <w:p w14:paraId="4E977701" w14:textId="77777777" w:rsidR="008228E9" w:rsidRPr="00E63DCC" w:rsidRDefault="008228E9" w:rsidP="00235E1E">
            <w:pPr>
              <w:pStyle w:val="Tabletext0"/>
              <w:rPr>
                <w:lang w:eastAsia="de-CH"/>
              </w:rPr>
            </w:pPr>
            <w:r w:rsidRPr="00E63DCC">
              <w:rPr>
                <w:lang w:eastAsia="de-CH"/>
              </w:rPr>
              <w:t>Miners</w:t>
            </w:r>
          </w:p>
        </w:tc>
        <w:tc>
          <w:tcPr>
            <w:tcW w:w="1281" w:type="dxa"/>
            <w:shd w:val="clear" w:color="auto" w:fill="auto"/>
            <w:noWrap/>
            <w:vAlign w:val="bottom"/>
            <w:hideMark/>
          </w:tcPr>
          <w:p w14:paraId="23BD3237" w14:textId="70D73834" w:rsidR="008228E9" w:rsidRPr="00E63DCC" w:rsidRDefault="008228E9" w:rsidP="00235E1E">
            <w:pPr>
              <w:pStyle w:val="Tabletext0"/>
              <w:jc w:val="center"/>
              <w:rPr>
                <w:lang w:eastAsia="de-CH"/>
              </w:rPr>
            </w:pPr>
            <w:r w:rsidRPr="00E63DCC">
              <w:rPr>
                <w:lang w:eastAsia="de-CH"/>
              </w:rPr>
              <w:t>2</w:t>
            </w:r>
            <w:r w:rsidR="008125CD" w:rsidRPr="00E63DCC">
              <w:rPr>
                <w:lang w:eastAsia="de-CH"/>
              </w:rPr>
              <w:t>–</w:t>
            </w:r>
            <w:r w:rsidRPr="00E63DCC">
              <w:rPr>
                <w:lang w:eastAsia="de-CH"/>
              </w:rPr>
              <w:t>3</w:t>
            </w:r>
          </w:p>
        </w:tc>
        <w:tc>
          <w:tcPr>
            <w:tcW w:w="1282" w:type="dxa"/>
            <w:shd w:val="clear" w:color="auto" w:fill="auto"/>
            <w:noWrap/>
            <w:vAlign w:val="bottom"/>
            <w:hideMark/>
          </w:tcPr>
          <w:p w14:paraId="2C3C1B15" w14:textId="0B942006" w:rsidR="008228E9" w:rsidRPr="00E63DCC" w:rsidRDefault="008228E9" w:rsidP="00235E1E">
            <w:pPr>
              <w:pStyle w:val="Tabletext0"/>
              <w:jc w:val="center"/>
              <w:rPr>
                <w:lang w:eastAsia="de-CH"/>
              </w:rPr>
            </w:pPr>
            <w:r w:rsidRPr="00E63DCC">
              <w:rPr>
                <w:lang w:eastAsia="de-CH"/>
              </w:rPr>
              <w:t>2</w:t>
            </w:r>
            <w:r w:rsidR="008125CD" w:rsidRPr="00E63DCC">
              <w:rPr>
                <w:lang w:eastAsia="de-CH"/>
              </w:rPr>
              <w:t>–</w:t>
            </w:r>
            <w:r w:rsidRPr="00E63DCC">
              <w:rPr>
                <w:lang w:eastAsia="de-CH"/>
              </w:rPr>
              <w:t>3</w:t>
            </w:r>
          </w:p>
        </w:tc>
        <w:tc>
          <w:tcPr>
            <w:tcW w:w="2693" w:type="dxa"/>
            <w:shd w:val="clear" w:color="auto" w:fill="auto"/>
            <w:noWrap/>
            <w:vAlign w:val="bottom"/>
          </w:tcPr>
          <w:p w14:paraId="69B1FDC9" w14:textId="439C9F8E" w:rsidR="008228E9" w:rsidRPr="00E63DCC" w:rsidRDefault="008228E9" w:rsidP="00235E1E">
            <w:pPr>
              <w:pStyle w:val="Tabletext0"/>
              <w:rPr>
                <w:lang w:eastAsia="de-CH"/>
              </w:rPr>
            </w:pPr>
          </w:p>
        </w:tc>
      </w:tr>
      <w:tr w:rsidR="00780B3D" w:rsidRPr="00E63DCC" w14:paraId="677D36E6" w14:textId="77777777" w:rsidTr="00780B3D">
        <w:trPr>
          <w:trHeight w:val="274"/>
        </w:trPr>
        <w:tc>
          <w:tcPr>
            <w:tcW w:w="202" w:type="dxa"/>
            <w:tcBorders>
              <w:right w:val="nil"/>
            </w:tcBorders>
            <w:shd w:val="clear" w:color="auto" w:fill="auto"/>
            <w:noWrap/>
            <w:vAlign w:val="bottom"/>
            <w:hideMark/>
          </w:tcPr>
          <w:p w14:paraId="078C0843"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hideMark/>
          </w:tcPr>
          <w:p w14:paraId="2225ADE9" w14:textId="77777777" w:rsidR="008228E9" w:rsidRPr="00E63DCC" w:rsidRDefault="008228E9" w:rsidP="00235E1E">
            <w:pPr>
              <w:pStyle w:val="Tabletext0"/>
              <w:rPr>
                <w:lang w:eastAsia="de-CH"/>
              </w:rPr>
            </w:pPr>
            <w:r w:rsidRPr="00E63DCC">
              <w:rPr>
                <w:lang w:eastAsia="de-CH"/>
              </w:rPr>
              <w:t>Family members of miners</w:t>
            </w:r>
          </w:p>
        </w:tc>
        <w:tc>
          <w:tcPr>
            <w:tcW w:w="1281" w:type="dxa"/>
            <w:shd w:val="clear" w:color="auto" w:fill="auto"/>
            <w:noWrap/>
            <w:vAlign w:val="bottom"/>
            <w:hideMark/>
          </w:tcPr>
          <w:p w14:paraId="1A8D86A2" w14:textId="4C9D46D8" w:rsidR="008228E9" w:rsidRPr="00E63DCC" w:rsidRDefault="008228E9" w:rsidP="00235E1E">
            <w:pPr>
              <w:pStyle w:val="Tabletext0"/>
              <w:jc w:val="center"/>
              <w:rPr>
                <w:lang w:eastAsia="de-CH"/>
              </w:rPr>
            </w:pPr>
            <w:r w:rsidRPr="00E63DCC">
              <w:rPr>
                <w:lang w:eastAsia="de-CH"/>
              </w:rPr>
              <w:t>2</w:t>
            </w:r>
            <w:r w:rsidR="008125CD" w:rsidRPr="00E63DCC">
              <w:rPr>
                <w:lang w:eastAsia="de-CH"/>
              </w:rPr>
              <w:t>–</w:t>
            </w:r>
            <w:r w:rsidRPr="00E63DCC">
              <w:rPr>
                <w:lang w:eastAsia="de-CH"/>
              </w:rPr>
              <w:t>3</w:t>
            </w:r>
          </w:p>
        </w:tc>
        <w:tc>
          <w:tcPr>
            <w:tcW w:w="1282" w:type="dxa"/>
            <w:shd w:val="clear" w:color="auto" w:fill="auto"/>
            <w:noWrap/>
            <w:vAlign w:val="bottom"/>
            <w:hideMark/>
          </w:tcPr>
          <w:p w14:paraId="4272B72A" w14:textId="48B39CF1" w:rsidR="008228E9" w:rsidRPr="00E63DCC" w:rsidRDefault="008228E9" w:rsidP="00235E1E">
            <w:pPr>
              <w:pStyle w:val="Tabletext0"/>
              <w:jc w:val="center"/>
              <w:rPr>
                <w:lang w:eastAsia="de-CH"/>
              </w:rPr>
            </w:pPr>
            <w:r w:rsidRPr="00E63DCC">
              <w:rPr>
                <w:lang w:eastAsia="de-CH"/>
              </w:rPr>
              <w:t>2</w:t>
            </w:r>
            <w:r w:rsidR="008125CD" w:rsidRPr="00E63DCC">
              <w:rPr>
                <w:lang w:eastAsia="de-CH"/>
              </w:rPr>
              <w:t>–</w:t>
            </w:r>
            <w:r w:rsidRPr="00E63DCC">
              <w:rPr>
                <w:lang w:eastAsia="de-CH"/>
              </w:rPr>
              <w:t>3</w:t>
            </w:r>
          </w:p>
        </w:tc>
        <w:tc>
          <w:tcPr>
            <w:tcW w:w="2693" w:type="dxa"/>
            <w:shd w:val="clear" w:color="auto" w:fill="auto"/>
            <w:noWrap/>
            <w:vAlign w:val="bottom"/>
          </w:tcPr>
          <w:p w14:paraId="514F3A52" w14:textId="6AA1ED57" w:rsidR="008228E9" w:rsidRPr="00E63DCC" w:rsidRDefault="008228E9" w:rsidP="00235E1E">
            <w:pPr>
              <w:pStyle w:val="Tabletext0"/>
              <w:rPr>
                <w:lang w:eastAsia="de-CH"/>
              </w:rPr>
            </w:pPr>
          </w:p>
        </w:tc>
      </w:tr>
      <w:tr w:rsidR="00780B3D" w:rsidRPr="00E63DCC" w14:paraId="04894242" w14:textId="77777777" w:rsidTr="00780B3D">
        <w:trPr>
          <w:trHeight w:val="274"/>
        </w:trPr>
        <w:tc>
          <w:tcPr>
            <w:tcW w:w="202" w:type="dxa"/>
            <w:tcBorders>
              <w:right w:val="nil"/>
            </w:tcBorders>
            <w:shd w:val="clear" w:color="auto" w:fill="auto"/>
            <w:noWrap/>
            <w:vAlign w:val="bottom"/>
            <w:hideMark/>
          </w:tcPr>
          <w:p w14:paraId="49B010F6"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hideMark/>
          </w:tcPr>
          <w:p w14:paraId="02878D6E" w14:textId="77777777" w:rsidR="008228E9" w:rsidRPr="00E63DCC" w:rsidRDefault="008228E9" w:rsidP="00235E1E">
            <w:pPr>
              <w:pStyle w:val="Tabletext0"/>
              <w:rPr>
                <w:lang w:eastAsia="de-CH"/>
              </w:rPr>
            </w:pPr>
            <w:r w:rsidRPr="00E63DCC">
              <w:rPr>
                <w:lang w:eastAsia="de-CH"/>
              </w:rPr>
              <w:t>ASGM community members</w:t>
            </w:r>
          </w:p>
        </w:tc>
        <w:tc>
          <w:tcPr>
            <w:tcW w:w="1281" w:type="dxa"/>
            <w:shd w:val="clear" w:color="auto" w:fill="auto"/>
            <w:noWrap/>
            <w:vAlign w:val="bottom"/>
            <w:hideMark/>
          </w:tcPr>
          <w:p w14:paraId="25496332" w14:textId="2D98A68A" w:rsidR="008228E9" w:rsidRPr="00E63DCC" w:rsidRDefault="008228E9" w:rsidP="00235E1E">
            <w:pPr>
              <w:pStyle w:val="Tabletext0"/>
              <w:jc w:val="center"/>
              <w:rPr>
                <w:lang w:eastAsia="de-CH"/>
              </w:rPr>
            </w:pPr>
            <w:r w:rsidRPr="00E63DCC">
              <w:rPr>
                <w:lang w:eastAsia="de-CH"/>
              </w:rPr>
              <w:t>2</w:t>
            </w:r>
            <w:r w:rsidR="008125CD" w:rsidRPr="00E63DCC">
              <w:rPr>
                <w:lang w:eastAsia="de-CH"/>
              </w:rPr>
              <w:t>–</w:t>
            </w:r>
            <w:r w:rsidRPr="00E63DCC">
              <w:rPr>
                <w:lang w:eastAsia="de-CH"/>
              </w:rPr>
              <w:t>3</w:t>
            </w:r>
          </w:p>
        </w:tc>
        <w:tc>
          <w:tcPr>
            <w:tcW w:w="1282" w:type="dxa"/>
            <w:shd w:val="clear" w:color="auto" w:fill="auto"/>
            <w:noWrap/>
            <w:vAlign w:val="bottom"/>
            <w:hideMark/>
          </w:tcPr>
          <w:p w14:paraId="0B6F2B6B" w14:textId="5439BF91" w:rsidR="008228E9" w:rsidRPr="00E63DCC" w:rsidRDefault="008228E9" w:rsidP="00235E1E">
            <w:pPr>
              <w:pStyle w:val="Tabletext0"/>
              <w:jc w:val="center"/>
              <w:rPr>
                <w:lang w:eastAsia="de-CH"/>
              </w:rPr>
            </w:pPr>
            <w:r w:rsidRPr="00E63DCC">
              <w:rPr>
                <w:lang w:eastAsia="de-CH"/>
              </w:rPr>
              <w:t>2</w:t>
            </w:r>
            <w:r w:rsidR="008125CD" w:rsidRPr="00E63DCC">
              <w:rPr>
                <w:lang w:eastAsia="de-CH"/>
              </w:rPr>
              <w:t>–</w:t>
            </w:r>
            <w:r w:rsidRPr="00E63DCC">
              <w:rPr>
                <w:lang w:eastAsia="de-CH"/>
              </w:rPr>
              <w:t>3</w:t>
            </w:r>
          </w:p>
        </w:tc>
        <w:tc>
          <w:tcPr>
            <w:tcW w:w="2693" w:type="dxa"/>
            <w:shd w:val="clear" w:color="auto" w:fill="auto"/>
            <w:noWrap/>
            <w:vAlign w:val="bottom"/>
          </w:tcPr>
          <w:p w14:paraId="423EF6A7" w14:textId="611B0BE1" w:rsidR="008228E9" w:rsidRPr="00E63DCC" w:rsidRDefault="008228E9" w:rsidP="00235E1E">
            <w:pPr>
              <w:pStyle w:val="Tabletext0"/>
              <w:rPr>
                <w:lang w:eastAsia="de-CH"/>
              </w:rPr>
            </w:pPr>
          </w:p>
        </w:tc>
      </w:tr>
      <w:tr w:rsidR="00780B3D" w:rsidRPr="00E63DCC" w14:paraId="2BF086FA" w14:textId="77777777" w:rsidTr="00780B3D">
        <w:trPr>
          <w:trHeight w:val="274"/>
        </w:trPr>
        <w:tc>
          <w:tcPr>
            <w:tcW w:w="202" w:type="dxa"/>
            <w:tcBorders>
              <w:right w:val="nil"/>
            </w:tcBorders>
            <w:shd w:val="clear" w:color="auto" w:fill="auto"/>
            <w:noWrap/>
            <w:vAlign w:val="bottom"/>
            <w:hideMark/>
          </w:tcPr>
          <w:p w14:paraId="20BF8C6F"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hideMark/>
          </w:tcPr>
          <w:p w14:paraId="6F7B497A" w14:textId="77777777" w:rsidR="008228E9" w:rsidRPr="00E63DCC" w:rsidRDefault="008228E9" w:rsidP="00235E1E">
            <w:pPr>
              <w:pStyle w:val="Tabletext0"/>
              <w:rPr>
                <w:b/>
                <w:lang w:eastAsia="de-CH"/>
              </w:rPr>
            </w:pPr>
            <w:r w:rsidRPr="00E63DCC">
              <w:rPr>
                <w:b/>
                <w:lang w:eastAsia="de-CH"/>
              </w:rPr>
              <w:t>Total FGDs</w:t>
            </w:r>
          </w:p>
        </w:tc>
        <w:tc>
          <w:tcPr>
            <w:tcW w:w="1281" w:type="dxa"/>
            <w:shd w:val="clear" w:color="auto" w:fill="auto"/>
            <w:noWrap/>
            <w:vAlign w:val="bottom"/>
            <w:hideMark/>
          </w:tcPr>
          <w:p w14:paraId="67BEAE47" w14:textId="467709CC" w:rsidR="008228E9" w:rsidRPr="00E63DCC" w:rsidRDefault="008228E9" w:rsidP="00235E1E">
            <w:pPr>
              <w:pStyle w:val="Tabletext0"/>
              <w:jc w:val="center"/>
              <w:rPr>
                <w:b/>
                <w:bCs/>
                <w:lang w:eastAsia="de-CH"/>
              </w:rPr>
            </w:pPr>
            <w:r w:rsidRPr="00E63DCC">
              <w:rPr>
                <w:b/>
                <w:bCs/>
                <w:lang w:eastAsia="de-CH"/>
              </w:rPr>
              <w:t>6</w:t>
            </w:r>
            <w:r w:rsidR="008125CD" w:rsidRPr="00E63DCC">
              <w:rPr>
                <w:lang w:eastAsia="de-CH"/>
              </w:rPr>
              <w:t>–</w:t>
            </w:r>
            <w:r w:rsidRPr="00E63DCC">
              <w:rPr>
                <w:b/>
                <w:bCs/>
                <w:lang w:eastAsia="de-CH"/>
              </w:rPr>
              <w:t>9</w:t>
            </w:r>
          </w:p>
        </w:tc>
        <w:tc>
          <w:tcPr>
            <w:tcW w:w="1282" w:type="dxa"/>
            <w:shd w:val="clear" w:color="auto" w:fill="auto"/>
            <w:noWrap/>
            <w:vAlign w:val="bottom"/>
            <w:hideMark/>
          </w:tcPr>
          <w:p w14:paraId="1930B56F" w14:textId="5FBFB511" w:rsidR="008228E9" w:rsidRPr="00E63DCC" w:rsidRDefault="008228E9" w:rsidP="00235E1E">
            <w:pPr>
              <w:pStyle w:val="Tabletext0"/>
              <w:jc w:val="center"/>
              <w:rPr>
                <w:b/>
                <w:bCs/>
                <w:lang w:eastAsia="de-CH"/>
              </w:rPr>
            </w:pPr>
            <w:r w:rsidRPr="00E63DCC">
              <w:rPr>
                <w:b/>
                <w:bCs/>
                <w:lang w:eastAsia="de-CH"/>
              </w:rPr>
              <w:t>6</w:t>
            </w:r>
            <w:r w:rsidR="008125CD" w:rsidRPr="00E63DCC">
              <w:rPr>
                <w:b/>
                <w:bCs/>
                <w:lang w:eastAsia="de-CH"/>
              </w:rPr>
              <w:t>–</w:t>
            </w:r>
            <w:r w:rsidRPr="00E63DCC">
              <w:rPr>
                <w:b/>
                <w:bCs/>
                <w:lang w:eastAsia="de-CH"/>
              </w:rPr>
              <w:t>9</w:t>
            </w:r>
          </w:p>
        </w:tc>
        <w:tc>
          <w:tcPr>
            <w:tcW w:w="2693" w:type="dxa"/>
            <w:shd w:val="clear" w:color="auto" w:fill="auto"/>
            <w:noWrap/>
            <w:vAlign w:val="bottom"/>
          </w:tcPr>
          <w:p w14:paraId="6555E9A0" w14:textId="65A39871" w:rsidR="008228E9" w:rsidRPr="00E63DCC" w:rsidRDefault="008228E9" w:rsidP="00235E1E">
            <w:pPr>
              <w:pStyle w:val="Tabletext0"/>
              <w:rPr>
                <w:b/>
                <w:bCs/>
                <w:lang w:eastAsia="de-CH"/>
              </w:rPr>
            </w:pPr>
          </w:p>
        </w:tc>
      </w:tr>
      <w:tr w:rsidR="008228E9" w:rsidRPr="00E63DCC" w14:paraId="3D7416FB" w14:textId="77777777" w:rsidTr="00B711EE">
        <w:trPr>
          <w:trHeight w:val="274"/>
        </w:trPr>
        <w:tc>
          <w:tcPr>
            <w:tcW w:w="3264" w:type="dxa"/>
            <w:gridSpan w:val="2"/>
            <w:tcBorders>
              <w:bottom w:val="single" w:sz="4" w:space="0" w:color="A6A6A6" w:themeColor="background1" w:themeShade="A6"/>
            </w:tcBorders>
            <w:shd w:val="clear" w:color="auto" w:fill="auto"/>
            <w:noWrap/>
            <w:vAlign w:val="bottom"/>
            <w:hideMark/>
          </w:tcPr>
          <w:p w14:paraId="4576F538" w14:textId="77777777" w:rsidR="008228E9" w:rsidRPr="00E63DCC" w:rsidRDefault="008228E9" w:rsidP="00235E1E">
            <w:pPr>
              <w:pStyle w:val="Tabletext0"/>
              <w:rPr>
                <w:b/>
                <w:lang w:eastAsia="de-CH"/>
              </w:rPr>
            </w:pPr>
            <w:r w:rsidRPr="00E63DCC">
              <w:rPr>
                <w:b/>
                <w:lang w:eastAsia="de-CH"/>
              </w:rPr>
              <w:t>HFA</w:t>
            </w:r>
          </w:p>
        </w:tc>
        <w:tc>
          <w:tcPr>
            <w:tcW w:w="1281" w:type="dxa"/>
            <w:shd w:val="clear" w:color="auto" w:fill="auto"/>
            <w:noWrap/>
            <w:vAlign w:val="bottom"/>
            <w:hideMark/>
          </w:tcPr>
          <w:p w14:paraId="7FAA3B5C" w14:textId="77777777" w:rsidR="008228E9" w:rsidRPr="00E63DCC" w:rsidRDefault="008228E9" w:rsidP="00235E1E">
            <w:pPr>
              <w:pStyle w:val="Tabletext0"/>
              <w:jc w:val="center"/>
              <w:rPr>
                <w:lang w:eastAsia="de-CH"/>
              </w:rPr>
            </w:pPr>
          </w:p>
        </w:tc>
        <w:tc>
          <w:tcPr>
            <w:tcW w:w="1282" w:type="dxa"/>
            <w:shd w:val="clear" w:color="auto" w:fill="auto"/>
            <w:noWrap/>
            <w:vAlign w:val="bottom"/>
            <w:hideMark/>
          </w:tcPr>
          <w:p w14:paraId="40B42658" w14:textId="77777777" w:rsidR="008228E9" w:rsidRPr="00E63DCC" w:rsidRDefault="008228E9" w:rsidP="00235E1E">
            <w:pPr>
              <w:pStyle w:val="Tabletext0"/>
              <w:jc w:val="center"/>
              <w:rPr>
                <w:lang w:eastAsia="de-CH"/>
              </w:rPr>
            </w:pPr>
          </w:p>
        </w:tc>
        <w:tc>
          <w:tcPr>
            <w:tcW w:w="2693" w:type="dxa"/>
            <w:shd w:val="clear" w:color="auto" w:fill="auto"/>
            <w:noWrap/>
            <w:vAlign w:val="bottom"/>
          </w:tcPr>
          <w:p w14:paraId="3FB5D333" w14:textId="77777777" w:rsidR="008228E9" w:rsidRPr="00E63DCC" w:rsidRDefault="008228E9" w:rsidP="00235E1E">
            <w:pPr>
              <w:pStyle w:val="Tabletext0"/>
              <w:rPr>
                <w:lang w:eastAsia="de-CH"/>
              </w:rPr>
            </w:pPr>
          </w:p>
        </w:tc>
      </w:tr>
      <w:tr w:rsidR="00780B3D" w:rsidRPr="00E63DCC" w14:paraId="3EEE5D92" w14:textId="77777777" w:rsidTr="00780B3D">
        <w:trPr>
          <w:trHeight w:val="274"/>
        </w:trPr>
        <w:tc>
          <w:tcPr>
            <w:tcW w:w="202" w:type="dxa"/>
            <w:tcBorders>
              <w:right w:val="nil"/>
            </w:tcBorders>
            <w:shd w:val="clear" w:color="auto" w:fill="auto"/>
            <w:noWrap/>
            <w:vAlign w:val="bottom"/>
          </w:tcPr>
          <w:p w14:paraId="29A271A7"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tcPr>
          <w:p w14:paraId="57EEDEAC" w14:textId="77777777" w:rsidR="008228E9" w:rsidRPr="00E63DCC" w:rsidRDefault="008228E9" w:rsidP="00235E1E">
            <w:pPr>
              <w:pStyle w:val="Tabletext0"/>
              <w:rPr>
                <w:lang w:eastAsia="de-CH"/>
              </w:rPr>
            </w:pPr>
            <w:r w:rsidRPr="00E63DCC">
              <w:rPr>
                <w:lang w:eastAsia="de-CH"/>
              </w:rPr>
              <w:t>Health facility assessments</w:t>
            </w:r>
          </w:p>
        </w:tc>
        <w:tc>
          <w:tcPr>
            <w:tcW w:w="1281" w:type="dxa"/>
            <w:shd w:val="clear" w:color="auto" w:fill="auto"/>
            <w:noWrap/>
            <w:vAlign w:val="bottom"/>
          </w:tcPr>
          <w:p w14:paraId="01E13F82" w14:textId="589244D6" w:rsidR="008228E9" w:rsidRPr="00E63DCC" w:rsidRDefault="008228E9" w:rsidP="00235E1E">
            <w:pPr>
              <w:pStyle w:val="Tabletext0"/>
              <w:jc w:val="center"/>
              <w:rPr>
                <w:b/>
                <w:bCs/>
                <w:lang w:eastAsia="de-CH"/>
              </w:rPr>
            </w:pPr>
            <w:r w:rsidRPr="00E63DCC">
              <w:rPr>
                <w:b/>
                <w:bCs/>
                <w:lang w:eastAsia="de-CH"/>
              </w:rPr>
              <w:t>2</w:t>
            </w:r>
            <w:r w:rsidR="008125CD" w:rsidRPr="00E63DCC">
              <w:rPr>
                <w:lang w:eastAsia="de-CH"/>
              </w:rPr>
              <w:t>–</w:t>
            </w:r>
            <w:r w:rsidRPr="00E63DCC">
              <w:rPr>
                <w:b/>
                <w:bCs/>
                <w:lang w:eastAsia="de-CH"/>
              </w:rPr>
              <w:t>3</w:t>
            </w:r>
          </w:p>
        </w:tc>
        <w:tc>
          <w:tcPr>
            <w:tcW w:w="1282" w:type="dxa"/>
            <w:shd w:val="clear" w:color="auto" w:fill="auto"/>
            <w:noWrap/>
            <w:vAlign w:val="bottom"/>
          </w:tcPr>
          <w:p w14:paraId="394E1B98" w14:textId="7E67A2A6" w:rsidR="008228E9" w:rsidRPr="00E63DCC" w:rsidRDefault="008228E9" w:rsidP="00235E1E">
            <w:pPr>
              <w:pStyle w:val="Tabletext0"/>
              <w:jc w:val="center"/>
              <w:rPr>
                <w:b/>
                <w:bCs/>
                <w:lang w:eastAsia="de-CH"/>
              </w:rPr>
            </w:pPr>
            <w:r w:rsidRPr="00E63DCC">
              <w:rPr>
                <w:b/>
                <w:bCs/>
                <w:lang w:eastAsia="de-CH"/>
              </w:rPr>
              <w:t>2</w:t>
            </w:r>
            <w:r w:rsidR="008125CD" w:rsidRPr="00E63DCC">
              <w:rPr>
                <w:lang w:eastAsia="de-CH"/>
              </w:rPr>
              <w:t>–</w:t>
            </w:r>
            <w:r w:rsidRPr="00E63DCC">
              <w:rPr>
                <w:b/>
                <w:bCs/>
                <w:lang w:eastAsia="de-CH"/>
              </w:rPr>
              <w:t>3</w:t>
            </w:r>
          </w:p>
        </w:tc>
        <w:tc>
          <w:tcPr>
            <w:tcW w:w="2693" w:type="dxa"/>
            <w:shd w:val="clear" w:color="auto" w:fill="auto"/>
            <w:noWrap/>
            <w:vAlign w:val="bottom"/>
          </w:tcPr>
          <w:p w14:paraId="4539368B" w14:textId="501C21DC" w:rsidR="008228E9" w:rsidRPr="00E63DCC" w:rsidRDefault="008228E9" w:rsidP="00235E1E">
            <w:pPr>
              <w:pStyle w:val="Tabletext0"/>
              <w:rPr>
                <w:b/>
                <w:bCs/>
                <w:lang w:eastAsia="de-CH"/>
              </w:rPr>
            </w:pPr>
          </w:p>
        </w:tc>
      </w:tr>
    </w:tbl>
    <w:p w14:paraId="1BD8B9C8" w14:textId="2472D4AE" w:rsidR="004F62DA" w:rsidRPr="00E63DCC" w:rsidRDefault="00C1393F" w:rsidP="00A5640C">
      <w:pPr>
        <w:pStyle w:val="Heading2"/>
        <w:rPr>
          <w:lang w:val="en-GB"/>
        </w:rPr>
      </w:pPr>
      <w:bookmarkStart w:id="35" w:name="_Ref482775962"/>
      <w:bookmarkStart w:id="36" w:name="_Toc70926807"/>
      <w:r w:rsidRPr="00E63DCC">
        <w:rPr>
          <w:lang w:val="en-GB"/>
        </w:rPr>
        <w:t>3.4</w:t>
      </w:r>
      <w:r w:rsidRPr="00E63DCC">
        <w:rPr>
          <w:lang w:val="en-GB"/>
        </w:rPr>
        <w:tab/>
        <w:t>C</w:t>
      </w:r>
      <w:r w:rsidR="00E5345A" w:rsidRPr="00E63DCC">
        <w:rPr>
          <w:lang w:val="en-GB"/>
        </w:rPr>
        <w:t xml:space="preserve">ommunity </w:t>
      </w:r>
      <w:r w:rsidR="00CB5748" w:rsidRPr="00E63DCC">
        <w:rPr>
          <w:lang w:val="en-GB"/>
        </w:rPr>
        <w:t>mobili</w:t>
      </w:r>
      <w:r w:rsidR="00426F4E" w:rsidRPr="00E63DCC">
        <w:rPr>
          <w:lang w:val="en-GB"/>
        </w:rPr>
        <w:t>z</w:t>
      </w:r>
      <w:r w:rsidR="00CB5748" w:rsidRPr="00E63DCC">
        <w:rPr>
          <w:lang w:val="en-GB"/>
        </w:rPr>
        <w:t xml:space="preserve">ation </w:t>
      </w:r>
      <w:r w:rsidR="00E5345A" w:rsidRPr="00E63DCC">
        <w:rPr>
          <w:lang w:val="en-GB"/>
        </w:rPr>
        <w:t>and s</w:t>
      </w:r>
      <w:r w:rsidR="004F62DA" w:rsidRPr="00E63DCC">
        <w:rPr>
          <w:lang w:val="en-GB"/>
        </w:rPr>
        <w:t>ensiti</w:t>
      </w:r>
      <w:r w:rsidR="0051471F" w:rsidRPr="00E63DCC">
        <w:rPr>
          <w:lang w:val="en-GB"/>
        </w:rPr>
        <w:t>z</w:t>
      </w:r>
      <w:r w:rsidR="004F62DA" w:rsidRPr="00E63DCC">
        <w:rPr>
          <w:lang w:val="en-GB"/>
        </w:rPr>
        <w:t>ation activities</w:t>
      </w:r>
      <w:bookmarkEnd w:id="35"/>
      <w:bookmarkEnd w:id="36"/>
    </w:p>
    <w:p w14:paraId="2BDB41B6" w14:textId="2ACB80A5" w:rsidR="00225B6F" w:rsidRPr="00E63DCC" w:rsidRDefault="00225B6F" w:rsidP="00A5640C">
      <w:pPr>
        <w:rPr>
          <w:lang w:val="en-GB"/>
        </w:rPr>
      </w:pPr>
      <w:r w:rsidRPr="00E63DCC">
        <w:rPr>
          <w:lang w:val="en-GB"/>
        </w:rPr>
        <w:t xml:space="preserve">In the selected ASGM sites, community sensitization activities are required prior to the conduct of the study activities. Country-specific social mobilization plans will be developed in advance of carrying out the study based on the generalized </w:t>
      </w:r>
      <w:r w:rsidR="00962E88" w:rsidRPr="00E63DCC">
        <w:rPr>
          <w:lang w:val="en-GB"/>
        </w:rPr>
        <w:t>social mobilization plan</w:t>
      </w:r>
      <w:r w:rsidRPr="00E63DCC">
        <w:rPr>
          <w:lang w:val="en-GB"/>
        </w:rPr>
        <w:t xml:space="preserve"> for all project countries (</w:t>
      </w:r>
      <w:r w:rsidR="002F4516" w:rsidRPr="00E63DCC">
        <w:rPr>
          <w:lang w:val="en-GB"/>
        </w:rPr>
        <w:t xml:space="preserve">see </w:t>
      </w:r>
      <w:r w:rsidRPr="00E63DCC">
        <w:rPr>
          <w:lang w:val="en-GB"/>
        </w:rPr>
        <w:t xml:space="preserve">Annex </w:t>
      </w:r>
      <w:r w:rsidR="00E9374B" w:rsidRPr="00E63DCC">
        <w:rPr>
          <w:lang w:val="en-GB"/>
        </w:rPr>
        <w:t>8</w:t>
      </w:r>
      <w:r w:rsidR="002F4516" w:rsidRPr="00E63DCC">
        <w:rPr>
          <w:lang w:val="en-GB"/>
        </w:rPr>
        <w:t xml:space="preserve"> to the step-by-step guide</w:t>
      </w:r>
      <w:r w:rsidRPr="00E63DCC">
        <w:rPr>
          <w:lang w:val="en-GB"/>
        </w:rPr>
        <w:t>), with</w:t>
      </w:r>
      <w:r w:rsidR="00962E88" w:rsidRPr="00E63DCC">
        <w:rPr>
          <w:lang w:val="en-GB"/>
        </w:rPr>
        <w:t xml:space="preserve"> the</w:t>
      </w:r>
      <w:r w:rsidRPr="00E63DCC">
        <w:rPr>
          <w:lang w:val="en-GB"/>
        </w:rPr>
        <w:t xml:space="preserve"> support of the </w:t>
      </w:r>
      <w:r w:rsidR="00962E88" w:rsidRPr="00E63DCC">
        <w:rPr>
          <w:lang w:val="en-GB"/>
        </w:rPr>
        <w:t>m</w:t>
      </w:r>
      <w:r w:rsidRPr="00E63DCC">
        <w:rPr>
          <w:lang w:val="en-GB"/>
        </w:rPr>
        <w:t xml:space="preserve">inistries of </w:t>
      </w:r>
      <w:r w:rsidR="00962E88" w:rsidRPr="00E63DCC">
        <w:rPr>
          <w:lang w:val="en-GB"/>
        </w:rPr>
        <w:t>h</w:t>
      </w:r>
      <w:r w:rsidRPr="00E63DCC">
        <w:rPr>
          <w:lang w:val="en-GB"/>
        </w:rPr>
        <w:t xml:space="preserve">ealth. The </w:t>
      </w:r>
      <w:r w:rsidR="00962E88" w:rsidRPr="00E63DCC">
        <w:rPr>
          <w:lang w:val="en-GB"/>
        </w:rPr>
        <w:t>social mobilization plan</w:t>
      </w:r>
      <w:r w:rsidRPr="00E63DCC">
        <w:rPr>
          <w:lang w:val="en-GB"/>
        </w:rPr>
        <w:t xml:space="preserve"> describes the process of (</w:t>
      </w:r>
      <w:r w:rsidR="00962E88" w:rsidRPr="00E63DCC">
        <w:rPr>
          <w:lang w:val="en-GB"/>
        </w:rPr>
        <w:t>a</w:t>
      </w:r>
      <w:r w:rsidRPr="00E63DCC">
        <w:rPr>
          <w:lang w:val="en-GB"/>
        </w:rPr>
        <w:t>) informing the community about the pilot project and involving community leaders and others; (</w:t>
      </w:r>
      <w:r w:rsidR="00962E88" w:rsidRPr="00E63DCC">
        <w:rPr>
          <w:lang w:val="en-GB"/>
        </w:rPr>
        <w:t>b</w:t>
      </w:r>
      <w:r w:rsidRPr="00E63DCC">
        <w:rPr>
          <w:lang w:val="en-GB"/>
        </w:rPr>
        <w:t>) explaining</w:t>
      </w:r>
      <w:r w:rsidR="00962E88" w:rsidRPr="00E63DCC">
        <w:rPr>
          <w:lang w:val="en-GB"/>
        </w:rPr>
        <w:t xml:space="preserve"> to</w:t>
      </w:r>
      <w:r w:rsidRPr="00E63DCC">
        <w:rPr>
          <w:lang w:val="en-GB"/>
        </w:rPr>
        <w:t xml:space="preserve"> the study population the necessity of</w:t>
      </w:r>
      <w:r w:rsidR="00962E88" w:rsidRPr="00E63DCC">
        <w:rPr>
          <w:lang w:val="en-GB"/>
        </w:rPr>
        <w:t xml:space="preserve"> undertaking</w:t>
      </w:r>
      <w:r w:rsidRPr="00E63DCC">
        <w:rPr>
          <w:lang w:val="en-GB"/>
        </w:rPr>
        <w:t xml:space="preserve"> the survey and</w:t>
      </w:r>
      <w:r w:rsidR="00962E88" w:rsidRPr="00E63DCC">
        <w:rPr>
          <w:lang w:val="en-GB"/>
        </w:rPr>
        <w:t xml:space="preserve"> how it will </w:t>
      </w:r>
      <w:r w:rsidRPr="00E63DCC">
        <w:rPr>
          <w:lang w:val="en-GB"/>
        </w:rPr>
        <w:t>unfold (duration and period of investigation, participant selection process and survey tools); (</w:t>
      </w:r>
      <w:r w:rsidR="00962E88" w:rsidRPr="00E63DCC">
        <w:rPr>
          <w:lang w:val="en-GB"/>
        </w:rPr>
        <w:t>c</w:t>
      </w:r>
      <w:r w:rsidRPr="00E63DCC">
        <w:rPr>
          <w:lang w:val="en-GB"/>
        </w:rPr>
        <w:t>) creating a space for continuous exchange to engage with different community groups; (</w:t>
      </w:r>
      <w:r w:rsidR="00962E88" w:rsidRPr="00E63DCC">
        <w:rPr>
          <w:lang w:val="en-GB"/>
        </w:rPr>
        <w:t>d</w:t>
      </w:r>
      <w:r w:rsidRPr="00E63DCC">
        <w:rPr>
          <w:lang w:val="en-GB"/>
        </w:rPr>
        <w:t>) roles and responsibilities of different local stakeholders</w:t>
      </w:r>
      <w:r w:rsidR="00962E88" w:rsidRPr="00E63DCC">
        <w:rPr>
          <w:lang w:val="en-GB"/>
        </w:rPr>
        <w:t xml:space="preserve"> (such as </w:t>
      </w:r>
      <w:r w:rsidRPr="00E63DCC">
        <w:rPr>
          <w:lang w:val="en-GB"/>
        </w:rPr>
        <w:t xml:space="preserve">community-based organizations and </w:t>
      </w:r>
      <w:r w:rsidR="005003AC" w:rsidRPr="00E63DCC">
        <w:rPr>
          <w:lang w:val="en-GB"/>
        </w:rPr>
        <w:t>CSOs</w:t>
      </w:r>
      <w:r w:rsidR="00962E88" w:rsidRPr="00E63DCC">
        <w:rPr>
          <w:lang w:val="en-GB"/>
        </w:rPr>
        <w:t>)</w:t>
      </w:r>
      <w:r w:rsidRPr="00E63DCC">
        <w:rPr>
          <w:lang w:val="en-GB"/>
        </w:rPr>
        <w:t xml:space="preserve"> as</w:t>
      </w:r>
      <w:r w:rsidR="00962E88" w:rsidRPr="00E63DCC">
        <w:rPr>
          <w:lang w:val="en-GB"/>
        </w:rPr>
        <w:t xml:space="preserve"> an</w:t>
      </w:r>
      <w:r w:rsidRPr="00E63DCC">
        <w:rPr>
          <w:lang w:val="en-GB"/>
        </w:rPr>
        <w:t xml:space="preserve"> entry point for a participatory approach to engage with the community; (</w:t>
      </w:r>
      <w:r w:rsidR="00962E88" w:rsidRPr="00E63DCC">
        <w:rPr>
          <w:lang w:val="en-GB"/>
        </w:rPr>
        <w:t>e</w:t>
      </w:r>
      <w:r w:rsidRPr="00E63DCC">
        <w:rPr>
          <w:lang w:val="en-GB"/>
        </w:rPr>
        <w:t xml:space="preserve">) how </w:t>
      </w:r>
      <w:r w:rsidRPr="00E63DCC">
        <w:rPr>
          <w:lang w:val="en-GB"/>
        </w:rPr>
        <w:lastRenderedPageBreak/>
        <w:t>data will be gathered and used, safeguarding full confidentiality; and (</w:t>
      </w:r>
      <w:r w:rsidR="00962E88" w:rsidRPr="00E63DCC">
        <w:rPr>
          <w:lang w:val="en-GB"/>
        </w:rPr>
        <w:t>f</w:t>
      </w:r>
      <w:r w:rsidRPr="00E63DCC">
        <w:rPr>
          <w:lang w:val="en-GB"/>
        </w:rPr>
        <w:t>)</w:t>
      </w:r>
      <w:r w:rsidR="00962E88" w:rsidRPr="00E63DCC">
        <w:rPr>
          <w:lang w:val="en-GB"/>
        </w:rPr>
        <w:t> </w:t>
      </w:r>
      <w:r w:rsidRPr="00E63DCC">
        <w:rPr>
          <w:lang w:val="en-GB"/>
        </w:rPr>
        <w:t>strategies for disseminating the</w:t>
      </w:r>
      <w:r w:rsidR="00A5640C" w:rsidRPr="00E63DCC">
        <w:rPr>
          <w:lang w:val="en-GB"/>
        </w:rPr>
        <w:t xml:space="preserve"> </w:t>
      </w:r>
      <w:r w:rsidRPr="00E63DCC">
        <w:rPr>
          <w:lang w:val="en-GB"/>
        </w:rPr>
        <w:t xml:space="preserve">findings of the pilot project. </w:t>
      </w:r>
    </w:p>
    <w:p w14:paraId="15BC5C44" w14:textId="514650CC" w:rsidR="00225B6F" w:rsidRPr="00E63DCC" w:rsidRDefault="00225B6F" w:rsidP="00A5640C">
      <w:pPr>
        <w:rPr>
          <w:lang w:val="en-GB"/>
        </w:rPr>
      </w:pPr>
      <w:r w:rsidRPr="00E63DCC">
        <w:rPr>
          <w:lang w:val="en-GB"/>
        </w:rPr>
        <w:t xml:space="preserve">In order to carry out community mobilization and sensitization activities, the project team will work closely with </w:t>
      </w:r>
      <w:r w:rsidR="005003AC" w:rsidRPr="00E63DCC">
        <w:rPr>
          <w:lang w:val="en-GB"/>
        </w:rPr>
        <w:t>CSOs</w:t>
      </w:r>
      <w:r w:rsidRPr="00E63DCC">
        <w:rPr>
          <w:lang w:val="en-GB"/>
        </w:rPr>
        <w:t xml:space="preserve"> as</w:t>
      </w:r>
      <w:r w:rsidR="005003AC" w:rsidRPr="00E63DCC">
        <w:rPr>
          <w:lang w:val="en-GB"/>
        </w:rPr>
        <w:t xml:space="preserve"> an</w:t>
      </w:r>
      <w:r w:rsidRPr="00E63DCC">
        <w:rPr>
          <w:lang w:val="en-GB"/>
        </w:rPr>
        <w:t xml:space="preserve"> entry point for a participatory approach</w:t>
      </w:r>
      <w:r w:rsidR="005003AC" w:rsidRPr="00E63DCC">
        <w:rPr>
          <w:lang w:val="en-GB"/>
        </w:rPr>
        <w:t>,</w:t>
      </w:r>
      <w:r w:rsidRPr="00E63DCC">
        <w:rPr>
          <w:lang w:val="en-GB"/>
        </w:rPr>
        <w:t xml:space="preserve"> as follows</w:t>
      </w:r>
      <w:r w:rsidR="005003AC" w:rsidRPr="00E63DCC">
        <w:rPr>
          <w:lang w:val="en-GB"/>
        </w:rPr>
        <w:t>.</w:t>
      </w:r>
    </w:p>
    <w:p w14:paraId="1EDB9190" w14:textId="330A0B82" w:rsidR="00225B6F" w:rsidRPr="00E63DCC" w:rsidRDefault="00EF71AD" w:rsidP="00A5640C">
      <w:pPr>
        <w:rPr>
          <w:lang w:val="en-GB"/>
        </w:rPr>
      </w:pPr>
      <w:r w:rsidRPr="00E63DCC">
        <w:rPr>
          <w:lang w:val="en-GB"/>
        </w:rPr>
        <w:t xml:space="preserve">In a first step, the project team will explore and identify at national, regional and </w:t>
      </w:r>
      <w:proofErr w:type="spellStart"/>
      <w:r w:rsidRPr="00E63DCC">
        <w:rPr>
          <w:lang w:val="en-GB"/>
        </w:rPr>
        <w:t>subregional</w:t>
      </w:r>
      <w:proofErr w:type="spellEnd"/>
      <w:r w:rsidRPr="00E63DCC">
        <w:rPr>
          <w:lang w:val="en-GB"/>
        </w:rPr>
        <w:t xml:space="preserve"> level</w:t>
      </w:r>
      <w:r w:rsidR="005003AC" w:rsidRPr="00E63DCC">
        <w:rPr>
          <w:lang w:val="en-GB"/>
        </w:rPr>
        <w:t>s</w:t>
      </w:r>
      <w:r w:rsidRPr="00E63DCC">
        <w:rPr>
          <w:lang w:val="en-GB"/>
        </w:rPr>
        <w:t xml:space="preserve"> whether there are NGOs, associations or CSOs that are authentically representative of the study population in proposed study sites in [country name]. The organizations include [please list here the identified CSOs/NGOs]. </w:t>
      </w:r>
    </w:p>
    <w:p w14:paraId="44AA98BD" w14:textId="26E9A364" w:rsidR="00EF71AD" w:rsidRPr="00E63DCC" w:rsidRDefault="00EF71AD" w:rsidP="00A5640C">
      <w:pPr>
        <w:spacing w:after="200"/>
        <w:contextualSpacing/>
        <w:rPr>
          <w:lang w:val="en-GB"/>
        </w:rPr>
      </w:pPr>
      <w:r w:rsidRPr="00E63DCC">
        <w:rPr>
          <w:lang w:val="en-GB"/>
        </w:rPr>
        <w:t>[Describe here each NGO</w:t>
      </w:r>
      <w:r w:rsidR="0037448D" w:rsidRPr="00E63DCC">
        <w:rPr>
          <w:lang w:val="en-GB"/>
        </w:rPr>
        <w:t>,</w:t>
      </w:r>
      <w:r w:rsidRPr="00E63DCC">
        <w:rPr>
          <w:lang w:val="en-GB"/>
        </w:rPr>
        <w:t xml:space="preserve"> including their focus, objectives, experience and expertise</w:t>
      </w:r>
      <w:r w:rsidR="0037448D" w:rsidRPr="00E63DCC">
        <w:rPr>
          <w:lang w:val="en-GB"/>
        </w:rPr>
        <w:t>,</w:t>
      </w:r>
      <w:r w:rsidRPr="00E63DCC">
        <w:rPr>
          <w:lang w:val="en-GB"/>
        </w:rPr>
        <w:t xml:space="preserve"> involved in the </w:t>
      </w:r>
      <w:r w:rsidR="00962E88" w:rsidRPr="00E63DCC">
        <w:rPr>
          <w:lang w:val="en-GB"/>
        </w:rPr>
        <w:t>social mobilization plan</w:t>
      </w:r>
      <w:r w:rsidRPr="00E63DCC">
        <w:rPr>
          <w:lang w:val="en-GB"/>
        </w:rPr>
        <w:t>.]</w:t>
      </w:r>
    </w:p>
    <w:p w14:paraId="592C8D3C" w14:textId="77777777" w:rsidR="00EF71AD" w:rsidRPr="00E63DCC" w:rsidRDefault="00EF71AD" w:rsidP="009E4347">
      <w:pPr>
        <w:pStyle w:val="Normalboldhead"/>
      </w:pPr>
      <w:r w:rsidRPr="00E63DCC">
        <w:t>Example from Nigeria [delete in final version of your study protocol]:</w:t>
      </w:r>
    </w:p>
    <w:p w14:paraId="4880018E" w14:textId="79641390" w:rsidR="00EF71AD" w:rsidRPr="00E63DCC" w:rsidRDefault="00EF71AD" w:rsidP="009E4347">
      <w:pPr>
        <w:rPr>
          <w:lang w:val="en-GB"/>
        </w:rPr>
      </w:pPr>
      <w:r w:rsidRPr="00E63DCC">
        <w:rPr>
          <w:lang w:val="en-GB"/>
        </w:rPr>
        <w:t xml:space="preserve">Geo-Mob Social Response Centre is an NGO working on </w:t>
      </w:r>
      <w:r w:rsidR="00FC6C29" w:rsidRPr="00E63DCC">
        <w:rPr>
          <w:lang w:val="en-GB"/>
        </w:rPr>
        <w:t>w</w:t>
      </w:r>
      <w:r w:rsidRPr="00E63DCC">
        <w:rPr>
          <w:lang w:val="en-GB"/>
        </w:rPr>
        <w:t xml:space="preserve">ater and </w:t>
      </w:r>
      <w:r w:rsidR="00FC6C29" w:rsidRPr="00E63DCC">
        <w:rPr>
          <w:lang w:val="en-GB"/>
        </w:rPr>
        <w:t>s</w:t>
      </w:r>
      <w:r w:rsidRPr="00E63DCC">
        <w:rPr>
          <w:lang w:val="en-GB"/>
        </w:rPr>
        <w:t xml:space="preserve">anitation and </w:t>
      </w:r>
      <w:r w:rsidR="00FC6C29" w:rsidRPr="00E63DCC">
        <w:rPr>
          <w:lang w:val="en-GB"/>
        </w:rPr>
        <w:t>h</w:t>
      </w:r>
      <w:r w:rsidRPr="00E63DCC">
        <w:rPr>
          <w:lang w:val="en-GB"/>
        </w:rPr>
        <w:t xml:space="preserve">ealth </w:t>
      </w:r>
      <w:r w:rsidR="00FC6C29" w:rsidRPr="00E63DCC">
        <w:rPr>
          <w:lang w:val="en-GB"/>
        </w:rPr>
        <w:t>p</w:t>
      </w:r>
      <w:r w:rsidRPr="00E63DCC">
        <w:rPr>
          <w:lang w:val="en-GB"/>
        </w:rPr>
        <w:t>romotion</w:t>
      </w:r>
      <w:r w:rsidR="00FC6C29" w:rsidRPr="00E63DCC">
        <w:rPr>
          <w:lang w:val="en-GB"/>
        </w:rPr>
        <w:t>,</w:t>
      </w:r>
      <w:r w:rsidRPr="00E63DCC">
        <w:rPr>
          <w:lang w:val="en-GB"/>
        </w:rPr>
        <w:t xml:space="preserve"> especially as they concern communities with extractive industries. The joint community mobilizers’ team will be led by senior personnel of Geo-Mob. Geo-Mob has experienced health professionals serving as social mobilizers</w:t>
      </w:r>
      <w:r w:rsidR="00FC6C29" w:rsidRPr="00E63DCC">
        <w:rPr>
          <w:lang w:val="en-GB"/>
        </w:rPr>
        <w:t xml:space="preserve"> at the grass-roots level</w:t>
      </w:r>
      <w:r w:rsidRPr="00E63DCC">
        <w:rPr>
          <w:lang w:val="en-GB"/>
        </w:rPr>
        <w:t>. The organi</w:t>
      </w:r>
      <w:r w:rsidR="00FC6C29" w:rsidRPr="00E63DCC">
        <w:rPr>
          <w:lang w:val="en-GB"/>
        </w:rPr>
        <w:t>z</w:t>
      </w:r>
      <w:r w:rsidRPr="00E63DCC">
        <w:rPr>
          <w:lang w:val="en-GB"/>
        </w:rPr>
        <w:t>ation had worked extensively with local communities</w:t>
      </w:r>
      <w:r w:rsidR="00C378CA" w:rsidRPr="00E63DCC">
        <w:rPr>
          <w:lang w:val="en-GB"/>
        </w:rPr>
        <w:t xml:space="preserve"> in</w:t>
      </w:r>
      <w:r w:rsidRPr="00E63DCC">
        <w:rPr>
          <w:lang w:val="en-GB"/>
        </w:rPr>
        <w:t xml:space="preserve"> conducting public health surveillance and monitoring across Nigeria. They also have </w:t>
      </w:r>
      <w:r w:rsidR="00C378CA" w:rsidRPr="00E63DCC">
        <w:rPr>
          <w:lang w:val="en-GB"/>
        </w:rPr>
        <w:t xml:space="preserve">a </w:t>
      </w:r>
      <w:r w:rsidRPr="00E63DCC">
        <w:rPr>
          <w:lang w:val="en-GB"/>
        </w:rPr>
        <w:t>grass</w:t>
      </w:r>
      <w:r w:rsidR="00C378CA" w:rsidRPr="00E63DCC">
        <w:rPr>
          <w:lang w:val="en-GB"/>
        </w:rPr>
        <w:t>-</w:t>
      </w:r>
      <w:r w:rsidRPr="00E63DCC">
        <w:rPr>
          <w:lang w:val="en-GB"/>
        </w:rPr>
        <w:t xml:space="preserve">roots-oriented </w:t>
      </w:r>
      <w:r w:rsidR="005440BA" w:rsidRPr="00E63DCC">
        <w:rPr>
          <w:lang w:val="en-GB"/>
        </w:rPr>
        <w:t>mobiliz</w:t>
      </w:r>
      <w:r w:rsidRPr="00E63DCC">
        <w:rPr>
          <w:lang w:val="en-GB"/>
        </w:rPr>
        <w:t xml:space="preserve">er who speaks the local language of the ASGM population in Niger </w:t>
      </w:r>
      <w:r w:rsidR="00C378CA" w:rsidRPr="00E63DCC">
        <w:rPr>
          <w:lang w:val="en-GB"/>
        </w:rPr>
        <w:t>s</w:t>
      </w:r>
      <w:r w:rsidRPr="00E63DCC">
        <w:rPr>
          <w:lang w:val="en-GB"/>
        </w:rPr>
        <w:t>tate. Geo-Mob will be working closely with the local communities</w:t>
      </w:r>
      <w:r w:rsidR="00FC0EE4" w:rsidRPr="00E63DCC">
        <w:rPr>
          <w:lang w:val="en-GB"/>
        </w:rPr>
        <w:t xml:space="preserve"> and</w:t>
      </w:r>
      <w:r w:rsidRPr="00E63DCC">
        <w:rPr>
          <w:lang w:val="en-GB"/>
        </w:rPr>
        <w:t xml:space="preserve"> groups,</w:t>
      </w:r>
      <w:r w:rsidR="00FC0EE4" w:rsidRPr="00E63DCC">
        <w:rPr>
          <w:lang w:val="en-GB"/>
        </w:rPr>
        <w:t xml:space="preserve"> the</w:t>
      </w:r>
      <w:r w:rsidRPr="00E63DCC">
        <w:rPr>
          <w:lang w:val="en-GB"/>
        </w:rPr>
        <w:t xml:space="preserve"> traditional rulers</w:t>
      </w:r>
      <w:r w:rsidR="00FC0EE4" w:rsidRPr="00E63DCC">
        <w:rPr>
          <w:lang w:val="en-GB"/>
        </w:rPr>
        <w:t>’</w:t>
      </w:r>
      <w:r w:rsidRPr="00E63DCC">
        <w:rPr>
          <w:lang w:val="en-GB"/>
        </w:rPr>
        <w:t xml:space="preserve"> council,</w:t>
      </w:r>
      <w:r w:rsidR="00FC0EE4" w:rsidRPr="00E63DCC">
        <w:rPr>
          <w:lang w:val="en-GB"/>
        </w:rPr>
        <w:t xml:space="preserve"> and</w:t>
      </w:r>
      <w:r w:rsidRPr="00E63DCC">
        <w:rPr>
          <w:lang w:val="en-GB"/>
        </w:rPr>
        <w:t xml:space="preserve"> other civil society coalitions in Niger </w:t>
      </w:r>
      <w:r w:rsidR="00FC0EE4" w:rsidRPr="00E63DCC">
        <w:rPr>
          <w:lang w:val="en-GB"/>
        </w:rPr>
        <w:t>s</w:t>
      </w:r>
      <w:r w:rsidRPr="00E63DCC">
        <w:rPr>
          <w:lang w:val="en-GB"/>
        </w:rPr>
        <w:t>tate and the Federal Capital Territory</w:t>
      </w:r>
      <w:r w:rsidR="00FC0EE4" w:rsidRPr="00E63DCC">
        <w:rPr>
          <w:lang w:val="en-GB"/>
        </w:rPr>
        <w:t xml:space="preserve"> of </w:t>
      </w:r>
      <w:r w:rsidRPr="00E63DCC">
        <w:rPr>
          <w:lang w:val="en-GB"/>
        </w:rPr>
        <w:t xml:space="preserve">Abuja to ensure effective stakeholder involvement and social mobilization towards the survey. </w:t>
      </w:r>
    </w:p>
    <w:p w14:paraId="71C891C1" w14:textId="2C768700" w:rsidR="00EF71AD" w:rsidRPr="00E63DCC" w:rsidRDefault="00EF71AD" w:rsidP="009E4347">
      <w:pPr>
        <w:rPr>
          <w:lang w:val="en-GB"/>
        </w:rPr>
      </w:pPr>
      <w:r w:rsidRPr="00E63DCC">
        <w:rPr>
          <w:lang w:val="en-GB"/>
        </w:rPr>
        <w:t xml:space="preserve">In the same vein, the involvement and social mobilization of NGOs, professional associations, and religious bodies in Osun </w:t>
      </w:r>
      <w:r w:rsidR="00FC0EE4" w:rsidRPr="00E63DCC">
        <w:rPr>
          <w:lang w:val="en-GB"/>
        </w:rPr>
        <w:t>s</w:t>
      </w:r>
      <w:r w:rsidRPr="00E63DCC">
        <w:rPr>
          <w:lang w:val="en-GB"/>
        </w:rPr>
        <w:t>tate</w:t>
      </w:r>
      <w:r w:rsidR="00FC0EE4" w:rsidRPr="00E63DCC">
        <w:rPr>
          <w:lang w:val="en-GB"/>
        </w:rPr>
        <w:t xml:space="preserve"> will</w:t>
      </w:r>
      <w:r w:rsidRPr="00E63DCC">
        <w:rPr>
          <w:lang w:val="en-GB"/>
        </w:rPr>
        <w:t xml:space="preserve"> be strengthened by the participation of the indigenous NGO, the Initiative for Advancement of Humanity</w:t>
      </w:r>
      <w:r w:rsidR="00FC0EE4" w:rsidRPr="00E63DCC">
        <w:rPr>
          <w:lang w:val="en-GB"/>
        </w:rPr>
        <w:t xml:space="preserve">, which </w:t>
      </w:r>
      <w:r w:rsidRPr="00E63DCC">
        <w:rPr>
          <w:lang w:val="en-GB"/>
        </w:rPr>
        <w:t xml:space="preserve">is a </w:t>
      </w:r>
      <w:r w:rsidR="005003AC" w:rsidRPr="00E63DCC">
        <w:rPr>
          <w:lang w:val="en-GB"/>
        </w:rPr>
        <w:t>CSO</w:t>
      </w:r>
      <w:r w:rsidRPr="00E63DCC">
        <w:rPr>
          <w:lang w:val="en-GB"/>
        </w:rPr>
        <w:t xml:space="preserve"> dedicated to paralegal and public health intervention services. </w:t>
      </w:r>
      <w:r w:rsidR="00FC0EE4" w:rsidRPr="00E63DCC">
        <w:rPr>
          <w:lang w:val="en-GB"/>
        </w:rPr>
        <w:t>Its</w:t>
      </w:r>
      <w:r w:rsidRPr="00E63DCC">
        <w:rPr>
          <w:lang w:val="en-GB"/>
        </w:rPr>
        <w:t xml:space="preserve"> goal is to assist vulnerable populations through the law as an instrument of social engineering</w:t>
      </w:r>
      <w:r w:rsidR="00FC0EE4" w:rsidRPr="00E63DCC">
        <w:rPr>
          <w:lang w:val="en-GB"/>
        </w:rPr>
        <w:t xml:space="preserve">, thereby </w:t>
      </w:r>
      <w:r w:rsidRPr="00E63DCC">
        <w:rPr>
          <w:lang w:val="en-GB"/>
        </w:rPr>
        <w:t>providing</w:t>
      </w:r>
      <w:r w:rsidR="00FC0EE4" w:rsidRPr="00E63DCC">
        <w:rPr>
          <w:lang w:val="en-GB"/>
        </w:rPr>
        <w:t xml:space="preserve"> a</w:t>
      </w:r>
      <w:r w:rsidRPr="00E63DCC">
        <w:rPr>
          <w:lang w:val="en-GB"/>
        </w:rPr>
        <w:t xml:space="preserve"> 50% improvement </w:t>
      </w:r>
      <w:r w:rsidR="00FC0EE4" w:rsidRPr="00E63DCC">
        <w:rPr>
          <w:lang w:val="en-GB"/>
        </w:rPr>
        <w:t>i</w:t>
      </w:r>
      <w:r w:rsidRPr="00E63DCC">
        <w:rPr>
          <w:lang w:val="en-GB"/>
        </w:rPr>
        <w:t>n access to health care services, education and</w:t>
      </w:r>
      <w:r w:rsidR="00FC0EE4" w:rsidRPr="00E63DCC">
        <w:rPr>
          <w:lang w:val="en-GB"/>
        </w:rPr>
        <w:t xml:space="preserve"> the</w:t>
      </w:r>
      <w:r w:rsidRPr="00E63DCC">
        <w:rPr>
          <w:lang w:val="en-GB"/>
        </w:rPr>
        <w:t xml:space="preserve"> human rights of women, youth</w:t>
      </w:r>
      <w:r w:rsidR="00FC0EE4" w:rsidRPr="00E63DCC">
        <w:rPr>
          <w:lang w:val="en-GB"/>
        </w:rPr>
        <w:t>s</w:t>
      </w:r>
      <w:r w:rsidRPr="00E63DCC">
        <w:rPr>
          <w:lang w:val="en-GB"/>
        </w:rPr>
        <w:t xml:space="preserve"> and</w:t>
      </w:r>
      <w:r w:rsidR="00FC0EE4" w:rsidRPr="00E63DCC">
        <w:rPr>
          <w:lang w:val="en-GB"/>
        </w:rPr>
        <w:t xml:space="preserve"> populations most at risk</w:t>
      </w:r>
      <w:r w:rsidRPr="00E63DCC">
        <w:rPr>
          <w:lang w:val="en-GB"/>
        </w:rPr>
        <w:t xml:space="preserve">. </w:t>
      </w:r>
      <w:r w:rsidR="00FC0EE4" w:rsidRPr="00E63DCC">
        <w:rPr>
          <w:lang w:val="en-GB"/>
        </w:rPr>
        <w:t>The Initiative for Advancement of Humanity</w:t>
      </w:r>
      <w:r w:rsidRPr="00E63DCC">
        <w:rPr>
          <w:lang w:val="en-GB"/>
        </w:rPr>
        <w:t xml:space="preserve"> has programme staff</w:t>
      </w:r>
      <w:r w:rsidR="00FC0EE4" w:rsidRPr="00E63DCC">
        <w:rPr>
          <w:lang w:val="en-GB"/>
        </w:rPr>
        <w:t xml:space="preserve"> experienced</w:t>
      </w:r>
      <w:r w:rsidRPr="00E63DCC">
        <w:rPr>
          <w:lang w:val="en-GB"/>
        </w:rPr>
        <w:t xml:space="preserve"> in managing stakeholders and implementing public health intervention programmes</w:t>
      </w:r>
      <w:r w:rsidR="00FC0EE4" w:rsidRPr="00E63DCC">
        <w:rPr>
          <w:lang w:val="en-GB"/>
        </w:rPr>
        <w:t xml:space="preserve">. The staff, who are </w:t>
      </w:r>
      <w:r w:rsidRPr="00E63DCC">
        <w:rPr>
          <w:lang w:val="en-GB"/>
        </w:rPr>
        <w:t>indigen</w:t>
      </w:r>
      <w:r w:rsidR="00FC0EE4" w:rsidRPr="00E63DCC">
        <w:rPr>
          <w:lang w:val="en-GB"/>
        </w:rPr>
        <w:t xml:space="preserve">ous to </w:t>
      </w:r>
      <w:r w:rsidRPr="00E63DCC">
        <w:rPr>
          <w:lang w:val="en-GB"/>
        </w:rPr>
        <w:t xml:space="preserve">Osun </w:t>
      </w:r>
      <w:r w:rsidR="00FC0EE4" w:rsidRPr="00E63DCC">
        <w:rPr>
          <w:lang w:val="en-GB"/>
        </w:rPr>
        <w:t>s</w:t>
      </w:r>
      <w:r w:rsidRPr="00E63DCC">
        <w:rPr>
          <w:lang w:val="en-GB"/>
        </w:rPr>
        <w:t>tate</w:t>
      </w:r>
      <w:r w:rsidR="00FC0EE4" w:rsidRPr="00E63DCC">
        <w:rPr>
          <w:lang w:val="en-GB"/>
        </w:rPr>
        <w:t xml:space="preserve">, </w:t>
      </w:r>
      <w:r w:rsidRPr="00E63DCC">
        <w:rPr>
          <w:lang w:val="en-GB"/>
        </w:rPr>
        <w:t xml:space="preserve">will be engaged as social mobilizers. </w:t>
      </w:r>
    </w:p>
    <w:p w14:paraId="5C70A7F6" w14:textId="133EEA98" w:rsidR="00EF71AD" w:rsidRPr="00E63DCC" w:rsidRDefault="00FC0EE4" w:rsidP="009E4347">
      <w:pPr>
        <w:rPr>
          <w:lang w:val="en-GB"/>
        </w:rPr>
      </w:pPr>
      <w:proofErr w:type="spellStart"/>
      <w:r w:rsidRPr="00E63DCC">
        <w:rPr>
          <w:lang w:val="en-GB"/>
        </w:rPr>
        <w:t>Cerpmist</w:t>
      </w:r>
      <w:proofErr w:type="spellEnd"/>
      <w:r w:rsidRPr="00E63DCC">
        <w:rPr>
          <w:lang w:val="en-GB"/>
        </w:rPr>
        <w:t xml:space="preserve"> </w:t>
      </w:r>
      <w:r w:rsidR="00EF71AD" w:rsidRPr="00E63DCC">
        <w:rPr>
          <w:lang w:val="en-GB"/>
        </w:rPr>
        <w:t>Environmental Academy is a world-class innovative</w:t>
      </w:r>
      <w:r w:rsidRPr="00E63DCC">
        <w:rPr>
          <w:lang w:val="en-GB"/>
        </w:rPr>
        <w:t xml:space="preserve"> pan-</w:t>
      </w:r>
      <w:r w:rsidR="00EF71AD" w:rsidRPr="00E63DCC">
        <w:rPr>
          <w:lang w:val="en-GB"/>
        </w:rPr>
        <w:t>African</w:t>
      </w:r>
      <w:r w:rsidRPr="00E63DCC">
        <w:rPr>
          <w:lang w:val="en-GB"/>
        </w:rPr>
        <w:t xml:space="preserve"> a</w:t>
      </w:r>
      <w:r w:rsidR="00EF71AD" w:rsidRPr="00E63DCC">
        <w:rPr>
          <w:lang w:val="en-GB"/>
        </w:rPr>
        <w:t>cademy that delivers</w:t>
      </w:r>
      <w:r w:rsidRPr="00E63DCC">
        <w:rPr>
          <w:lang w:val="en-GB"/>
        </w:rPr>
        <w:t xml:space="preserve"> and</w:t>
      </w:r>
      <w:r w:rsidR="00EF71AD" w:rsidRPr="00E63DCC">
        <w:rPr>
          <w:lang w:val="en-GB"/>
        </w:rPr>
        <w:t xml:space="preserve"> promotes solution-oriented environmental and sustainable development education, research and advocacy in a way that empowers individuals, governments and communities. </w:t>
      </w:r>
      <w:proofErr w:type="spellStart"/>
      <w:r w:rsidRPr="00E63DCC">
        <w:rPr>
          <w:lang w:val="en-GB"/>
        </w:rPr>
        <w:t>Cerpmist</w:t>
      </w:r>
      <w:proofErr w:type="spellEnd"/>
      <w:r w:rsidRPr="00E63DCC">
        <w:rPr>
          <w:lang w:val="en-GB"/>
        </w:rPr>
        <w:t xml:space="preserve"> </w:t>
      </w:r>
      <w:r w:rsidR="00EF71AD" w:rsidRPr="00E63DCC">
        <w:rPr>
          <w:lang w:val="en-GB"/>
        </w:rPr>
        <w:t xml:space="preserve">Environmental Academy </w:t>
      </w:r>
      <w:r w:rsidRPr="00E63DCC">
        <w:rPr>
          <w:lang w:val="en-GB"/>
        </w:rPr>
        <w:t>is</w:t>
      </w:r>
      <w:r w:rsidR="00EF71AD" w:rsidRPr="00E63DCC">
        <w:rPr>
          <w:lang w:val="en-GB"/>
        </w:rPr>
        <w:t xml:space="preserve"> experienced in building networks with academic communities and coordinating logistics within the country.</w:t>
      </w:r>
      <w:r w:rsidRPr="00E63DCC">
        <w:rPr>
          <w:lang w:val="en-GB"/>
        </w:rPr>
        <w:t xml:space="preserve"> It will </w:t>
      </w:r>
      <w:r w:rsidR="00EF71AD" w:rsidRPr="00E63DCC">
        <w:rPr>
          <w:lang w:val="en-GB"/>
        </w:rPr>
        <w:t>coordinat</w:t>
      </w:r>
      <w:r w:rsidRPr="00E63DCC">
        <w:rPr>
          <w:lang w:val="en-GB"/>
        </w:rPr>
        <w:t>e</w:t>
      </w:r>
      <w:r w:rsidR="00EF71AD" w:rsidRPr="00E63DCC">
        <w:rPr>
          <w:lang w:val="en-GB"/>
        </w:rPr>
        <w:t xml:space="preserve"> the engagement of academic communities for the study in the two project locations, including providing oversight support as an integral strategy for stakeholder engagement for the survey.</w:t>
      </w:r>
      <w:r w:rsidR="00200844" w:rsidRPr="00E63DCC">
        <w:rPr>
          <w:lang w:val="en-GB"/>
        </w:rPr>
        <w:t xml:space="preserve"> It will </w:t>
      </w:r>
      <w:r w:rsidR="00EF71AD" w:rsidRPr="00E63DCC">
        <w:rPr>
          <w:lang w:val="en-GB"/>
        </w:rPr>
        <w:t>also support the involvement of the University of Nigeria Centre for Environmental Management and Control.</w:t>
      </w:r>
    </w:p>
    <w:p w14:paraId="30A0AAD1" w14:textId="1EC5D0EB" w:rsidR="00EF71AD" w:rsidRPr="00E63DCC" w:rsidRDefault="00EF71AD" w:rsidP="00A5640C">
      <w:pPr>
        <w:rPr>
          <w:b/>
          <w:bCs/>
          <w:lang w:val="en-GB"/>
        </w:rPr>
      </w:pPr>
      <w:r w:rsidRPr="00E63DCC">
        <w:rPr>
          <w:b/>
          <w:bCs/>
          <w:lang w:val="en-GB"/>
        </w:rPr>
        <w:lastRenderedPageBreak/>
        <w:t>[End of example]</w:t>
      </w:r>
    </w:p>
    <w:p w14:paraId="179001CC" w14:textId="2685D2D9" w:rsidR="00EF71AD" w:rsidRPr="00E63DCC" w:rsidRDefault="00EF71AD" w:rsidP="009E4347">
      <w:pPr>
        <w:rPr>
          <w:lang w:val="en-GB"/>
        </w:rPr>
      </w:pPr>
      <w:r w:rsidRPr="00E63DCC">
        <w:rPr>
          <w:lang w:val="en-GB"/>
        </w:rPr>
        <w:t xml:space="preserve">In a second step, the project team will engage with identified </w:t>
      </w:r>
      <w:r w:rsidR="005003AC" w:rsidRPr="00E63DCC">
        <w:rPr>
          <w:lang w:val="en-GB"/>
        </w:rPr>
        <w:t>CSOs</w:t>
      </w:r>
      <w:r w:rsidRPr="00E63DCC">
        <w:rPr>
          <w:lang w:val="en-GB"/>
        </w:rPr>
        <w:t xml:space="preserve"> to collect valuable information on how to conduct the study in a way in which potential harms can be reduced and how to approach the communities. </w:t>
      </w:r>
    </w:p>
    <w:p w14:paraId="78934762" w14:textId="5F61250F" w:rsidR="00EF71AD" w:rsidRPr="00E63DCC" w:rsidRDefault="00EF71AD" w:rsidP="009E4347">
      <w:pPr>
        <w:rPr>
          <w:lang w:val="en-GB"/>
        </w:rPr>
      </w:pPr>
      <w:r w:rsidRPr="00E63DCC">
        <w:rPr>
          <w:lang w:val="en-GB"/>
        </w:rPr>
        <w:t xml:space="preserve">In a third step, CSOs will engage in a participatory approach with the communities to explain the study’s objectives and the risk and benefits associated with it. It will be particularly important to learn about community members’ fears of potential harm that the implementation of the study may cause. Due to their familiarity and legitimate engagement with the communities, these </w:t>
      </w:r>
      <w:r w:rsidR="005003AC" w:rsidRPr="00E63DCC">
        <w:rPr>
          <w:lang w:val="en-GB"/>
        </w:rPr>
        <w:t>CSO</w:t>
      </w:r>
      <w:r w:rsidRPr="00E63DCC">
        <w:rPr>
          <w:lang w:val="en-GB"/>
        </w:rPr>
        <w:t xml:space="preserve">s will be responsible for providing adequate information to the community regarding the survey activities, clarifying any fears or doubts the community may have about the subject and risks of being involved. They will also establish effective channels of communication and encourage community participation and involvement in the study. </w:t>
      </w:r>
    </w:p>
    <w:p w14:paraId="15B62D36" w14:textId="5C12F223" w:rsidR="00EF71AD" w:rsidRPr="00E63DCC" w:rsidRDefault="00EF71AD" w:rsidP="009E4347">
      <w:pPr>
        <w:rPr>
          <w:lang w:val="en-GB"/>
        </w:rPr>
      </w:pPr>
      <w:r w:rsidRPr="00E63DCC">
        <w:rPr>
          <w:lang w:val="en-GB"/>
        </w:rPr>
        <w:t xml:space="preserve">In a fourth step, </w:t>
      </w:r>
      <w:r w:rsidR="005003AC" w:rsidRPr="00E63DCC">
        <w:rPr>
          <w:lang w:val="en-GB"/>
        </w:rPr>
        <w:t>CSO</w:t>
      </w:r>
      <w:r w:rsidRPr="00E63DCC">
        <w:rPr>
          <w:lang w:val="en-GB"/>
        </w:rPr>
        <w:t>s will work closely with community leaders and with the leaders of miners’ associations, as they have greater facility to enter into contact with the community and the target group of the study. Community leaders will be sensitized, explaining the whole process of the survey and the need for the active engagement of the community and the target group so that they can</w:t>
      </w:r>
      <w:r w:rsidR="001F2094" w:rsidRPr="00E63DCC">
        <w:rPr>
          <w:lang w:val="en-GB"/>
        </w:rPr>
        <w:t xml:space="preserve"> also</w:t>
      </w:r>
      <w:r w:rsidRPr="00E63DCC">
        <w:rPr>
          <w:lang w:val="en-GB"/>
        </w:rPr>
        <w:t xml:space="preserve"> participate as mobili</w:t>
      </w:r>
      <w:r w:rsidR="005440BA" w:rsidRPr="00E63DCC">
        <w:rPr>
          <w:lang w:val="en-GB"/>
        </w:rPr>
        <w:t>z</w:t>
      </w:r>
      <w:r w:rsidRPr="00E63DCC">
        <w:rPr>
          <w:lang w:val="en-GB"/>
        </w:rPr>
        <w:t>ers in this process. Indeed, participation of a broad range of community stakeholders,</w:t>
      </w:r>
      <w:r w:rsidR="009E4347" w:rsidRPr="00E63DCC">
        <w:rPr>
          <w:lang w:val="en-GB"/>
        </w:rPr>
        <w:t xml:space="preserve"> including </w:t>
      </w:r>
      <w:r w:rsidRPr="00E63DCC">
        <w:rPr>
          <w:lang w:val="en-GB"/>
        </w:rPr>
        <w:t xml:space="preserve">local community leaders ([name a few examples, e.g. religious/sheik, healers, </w:t>
      </w:r>
      <w:r w:rsidR="009E4347" w:rsidRPr="00E63DCC">
        <w:rPr>
          <w:lang w:val="en-GB"/>
        </w:rPr>
        <w:t>p</w:t>
      </w:r>
      <w:r w:rsidRPr="00E63DCC">
        <w:rPr>
          <w:lang w:val="en-GB"/>
        </w:rPr>
        <w:t xml:space="preserve">astors, Christ </w:t>
      </w:r>
      <w:r w:rsidR="009E4347" w:rsidRPr="00E63DCC">
        <w:rPr>
          <w:lang w:val="en-GB"/>
        </w:rPr>
        <w:t>s</w:t>
      </w:r>
      <w:r w:rsidRPr="00E63DCC">
        <w:rPr>
          <w:lang w:val="en-GB"/>
        </w:rPr>
        <w:t>ervants, ward bosses])</w:t>
      </w:r>
      <w:r w:rsidR="006B5CC3" w:rsidRPr="00E63DCC">
        <w:rPr>
          <w:lang w:val="en-GB"/>
        </w:rPr>
        <w:t xml:space="preserve">, </w:t>
      </w:r>
      <w:r w:rsidRPr="00E63DCC">
        <w:rPr>
          <w:lang w:val="en-GB"/>
        </w:rPr>
        <w:t xml:space="preserve">community groups </w:t>
      </w:r>
      <w:r w:rsidR="006B5CC3" w:rsidRPr="00E63DCC">
        <w:rPr>
          <w:lang w:val="en-GB"/>
        </w:rPr>
        <w:t xml:space="preserve">([name a few examples, e.g. </w:t>
      </w:r>
      <w:r w:rsidRPr="00E63DCC">
        <w:rPr>
          <w:lang w:val="en-GB"/>
        </w:rPr>
        <w:t>youth organizations, women</w:t>
      </w:r>
      <w:r w:rsidR="009E4347" w:rsidRPr="00E63DCC">
        <w:rPr>
          <w:lang w:val="en-GB"/>
        </w:rPr>
        <w:t>’s</w:t>
      </w:r>
      <w:r w:rsidRPr="00E63DCC">
        <w:rPr>
          <w:lang w:val="en-GB"/>
        </w:rPr>
        <w:t xml:space="preserve"> associations</w:t>
      </w:r>
      <w:r w:rsidR="006B5CC3" w:rsidRPr="00E63DCC">
        <w:rPr>
          <w:lang w:val="en-GB"/>
        </w:rPr>
        <w:t>])</w:t>
      </w:r>
      <w:r w:rsidRPr="00E63DCC">
        <w:rPr>
          <w:lang w:val="en-GB"/>
        </w:rPr>
        <w:t>, and other influential community members (</w:t>
      </w:r>
      <w:r w:rsidR="006B5CC3" w:rsidRPr="00E63DCC">
        <w:rPr>
          <w:lang w:val="en-GB"/>
        </w:rPr>
        <w:t xml:space="preserve">[name a few examples, e.g. </w:t>
      </w:r>
      <w:r w:rsidRPr="00E63DCC">
        <w:rPr>
          <w:lang w:val="en-GB"/>
        </w:rPr>
        <w:t>godmothers/godparents of initiation rites, teachers</w:t>
      </w:r>
      <w:r w:rsidR="006B5CC3" w:rsidRPr="00E63DCC">
        <w:rPr>
          <w:lang w:val="en-GB"/>
        </w:rPr>
        <w:t>]</w:t>
      </w:r>
      <w:r w:rsidRPr="00E63DCC">
        <w:rPr>
          <w:lang w:val="en-GB"/>
        </w:rPr>
        <w:t>)</w:t>
      </w:r>
      <w:r w:rsidR="00CD726E" w:rsidRPr="00E63DCC">
        <w:rPr>
          <w:lang w:val="en-GB"/>
        </w:rPr>
        <w:t>,</w:t>
      </w:r>
      <w:r w:rsidRPr="00E63DCC">
        <w:rPr>
          <w:lang w:val="en-GB"/>
        </w:rPr>
        <w:t xml:space="preserve"> is very important for message acceptability and adherence to the study</w:t>
      </w:r>
      <w:r w:rsidR="009E4347" w:rsidRPr="00E63DCC">
        <w:rPr>
          <w:lang w:val="en-GB"/>
        </w:rPr>
        <w:t>,</w:t>
      </w:r>
      <w:r w:rsidRPr="00E63DCC">
        <w:rPr>
          <w:lang w:val="en-GB"/>
        </w:rPr>
        <w:t xml:space="preserve"> and</w:t>
      </w:r>
      <w:r w:rsidR="009E4347" w:rsidRPr="00E63DCC">
        <w:rPr>
          <w:lang w:val="en-GB"/>
        </w:rPr>
        <w:t xml:space="preserve"> as</w:t>
      </w:r>
      <w:r w:rsidRPr="00E63DCC">
        <w:rPr>
          <w:lang w:val="en-GB"/>
        </w:rPr>
        <w:t xml:space="preserve"> a means to contribute to </w:t>
      </w:r>
      <w:r w:rsidR="009E4347" w:rsidRPr="00E63DCC">
        <w:rPr>
          <w:lang w:val="en-GB"/>
        </w:rPr>
        <w:t>the study objectives</w:t>
      </w:r>
      <w:r w:rsidRPr="00E63DCC">
        <w:rPr>
          <w:lang w:val="en-GB"/>
        </w:rPr>
        <w:t xml:space="preserve"> and drive it forward (see also the social mobilization plan in Annex </w:t>
      </w:r>
      <w:r w:rsidR="009A7D4B" w:rsidRPr="00E63DCC">
        <w:rPr>
          <w:lang w:val="en-GB"/>
        </w:rPr>
        <w:t>8</w:t>
      </w:r>
      <w:r w:rsidR="005302CB" w:rsidRPr="00E63DCC">
        <w:rPr>
          <w:lang w:val="en-GB"/>
        </w:rPr>
        <w:t xml:space="preserve"> to the step-by-step guide</w:t>
      </w:r>
      <w:r w:rsidRPr="00E63DCC">
        <w:rPr>
          <w:lang w:val="en-GB"/>
        </w:rPr>
        <w:t xml:space="preserve">). The sensitization approach for the local communities will adhere to [mention here the protocols and practices the </w:t>
      </w:r>
      <w:r w:rsidR="00962E88" w:rsidRPr="00E63DCC">
        <w:rPr>
          <w:lang w:val="en-GB"/>
        </w:rPr>
        <w:t>social mobilization plan</w:t>
      </w:r>
      <w:r w:rsidRPr="00E63DCC">
        <w:rPr>
          <w:lang w:val="en-GB"/>
        </w:rPr>
        <w:t xml:space="preserve"> will adhere to] and will include relevant stakeholders at all involved levels.</w:t>
      </w:r>
    </w:p>
    <w:p w14:paraId="4712ACE5" w14:textId="57343C35" w:rsidR="009E5664" w:rsidRPr="00E63DCC" w:rsidRDefault="00CD726E" w:rsidP="00A5640C">
      <w:pPr>
        <w:pStyle w:val="Heading2"/>
        <w:rPr>
          <w:lang w:val="en-GB"/>
        </w:rPr>
      </w:pPr>
      <w:bookmarkStart w:id="37" w:name="_Toc70926808"/>
      <w:r w:rsidRPr="00E63DCC">
        <w:rPr>
          <w:lang w:val="en-GB"/>
        </w:rPr>
        <w:t>3.5</w:t>
      </w:r>
      <w:r w:rsidRPr="00E63DCC">
        <w:rPr>
          <w:lang w:val="en-GB"/>
        </w:rPr>
        <w:tab/>
        <w:t>D</w:t>
      </w:r>
      <w:r w:rsidR="009E5664" w:rsidRPr="00E63DCC">
        <w:rPr>
          <w:lang w:val="en-GB"/>
        </w:rPr>
        <w:t xml:space="preserve">ata collection </w:t>
      </w:r>
      <w:r w:rsidR="00953E80" w:rsidRPr="00E63DCC">
        <w:rPr>
          <w:lang w:val="en-GB"/>
        </w:rPr>
        <w:t>and</w:t>
      </w:r>
      <w:r w:rsidR="009E5664" w:rsidRPr="00E63DCC">
        <w:rPr>
          <w:lang w:val="en-GB"/>
        </w:rPr>
        <w:t xml:space="preserve"> tools</w:t>
      </w:r>
      <w:bookmarkEnd w:id="37"/>
    </w:p>
    <w:p w14:paraId="2695369D" w14:textId="09F69599" w:rsidR="0031708F" w:rsidRPr="00E63DCC" w:rsidRDefault="0031708F" w:rsidP="00A5640C">
      <w:pPr>
        <w:rPr>
          <w:lang w:val="en-GB"/>
        </w:rPr>
      </w:pPr>
      <w:r w:rsidRPr="00E63DCC">
        <w:rPr>
          <w:lang w:val="en-GB"/>
        </w:rPr>
        <w:t>[</w:t>
      </w:r>
      <w:r w:rsidR="00943963" w:rsidRPr="00E63DCC">
        <w:rPr>
          <w:lang w:val="en-GB"/>
        </w:rPr>
        <w:t>For providing an overview of the methods and tools used for data collection in your study, p</w:t>
      </w:r>
      <w:r w:rsidRPr="00E63DCC">
        <w:rPr>
          <w:lang w:val="en-GB"/>
        </w:rPr>
        <w:t>lease modify each sub</w:t>
      </w:r>
      <w:r w:rsidR="003278F0" w:rsidRPr="00E63DCC">
        <w:rPr>
          <w:lang w:val="en-GB"/>
        </w:rPr>
        <w:t>section</w:t>
      </w:r>
      <w:r w:rsidRPr="00E63DCC">
        <w:rPr>
          <w:lang w:val="en-GB"/>
        </w:rPr>
        <w:t xml:space="preserve"> below</w:t>
      </w:r>
      <w:r w:rsidR="00943963" w:rsidRPr="00E63DCC">
        <w:rPr>
          <w:lang w:val="en-GB"/>
        </w:rPr>
        <w:t>.]</w:t>
      </w:r>
    </w:p>
    <w:p w14:paraId="295F3D76" w14:textId="53D5C7FA" w:rsidR="00311E72" w:rsidRPr="00E63DCC" w:rsidRDefault="003278F0" w:rsidP="00AE7A4D">
      <w:pPr>
        <w:pStyle w:val="Heading3"/>
      </w:pPr>
      <w:bookmarkStart w:id="38" w:name="_Toc70926809"/>
      <w:r w:rsidRPr="00E63DCC">
        <w:t>3.5.1</w:t>
      </w:r>
      <w:r w:rsidRPr="00E63DCC">
        <w:tab/>
        <w:t>D</w:t>
      </w:r>
      <w:r w:rsidR="00DA6548" w:rsidRPr="00E63DCC">
        <w:t>ocument</w:t>
      </w:r>
      <w:r w:rsidR="005D12D9" w:rsidRPr="00E63DCC">
        <w:t xml:space="preserve"> review</w:t>
      </w:r>
      <w:bookmarkEnd w:id="38"/>
    </w:p>
    <w:p w14:paraId="6081EBC1" w14:textId="4FEE3C18" w:rsidR="00D83F57" w:rsidRPr="00E63DCC" w:rsidRDefault="006A638A" w:rsidP="00A5640C">
      <w:pPr>
        <w:rPr>
          <w:lang w:val="en-GB"/>
        </w:rPr>
      </w:pPr>
      <w:r w:rsidRPr="00E63DCC">
        <w:rPr>
          <w:lang w:val="en-GB"/>
        </w:rPr>
        <w:t>A</w:t>
      </w:r>
      <w:r w:rsidR="00D83F57" w:rsidRPr="00E63DCC">
        <w:rPr>
          <w:lang w:val="en-GB"/>
        </w:rPr>
        <w:t xml:space="preserve"> review of available literature and reports produced on ASGM </w:t>
      </w:r>
      <w:r w:rsidRPr="00E63DCC">
        <w:rPr>
          <w:lang w:val="en-GB"/>
        </w:rPr>
        <w:t xml:space="preserve">in [country name] </w:t>
      </w:r>
      <w:r w:rsidR="00D83F57" w:rsidRPr="00E63DCC">
        <w:rPr>
          <w:lang w:val="en-GB"/>
        </w:rPr>
        <w:t xml:space="preserve">will be carried out in the initial phase of the health situation assessment. This will also include information that has potentially already been collected by relevant </w:t>
      </w:r>
      <w:r w:rsidR="003278F0" w:rsidRPr="00E63DCC">
        <w:rPr>
          <w:lang w:val="en-GB"/>
        </w:rPr>
        <w:t>g</w:t>
      </w:r>
      <w:r w:rsidR="00D83F57" w:rsidRPr="00E63DCC">
        <w:rPr>
          <w:lang w:val="en-GB"/>
        </w:rPr>
        <w:t xml:space="preserve">overnment authorities as </w:t>
      </w:r>
      <w:r w:rsidR="003278F0" w:rsidRPr="00E63DCC">
        <w:rPr>
          <w:lang w:val="en-GB"/>
        </w:rPr>
        <w:t xml:space="preserve">a </w:t>
      </w:r>
      <w:r w:rsidR="00D83F57" w:rsidRPr="00E63DCC">
        <w:rPr>
          <w:lang w:val="en-GB"/>
        </w:rPr>
        <w:t>requirement of the Minamata Convention. The literature review will not only constitute an important element of the evidence</w:t>
      </w:r>
      <w:r w:rsidR="003278F0" w:rsidRPr="00E63DCC">
        <w:rPr>
          <w:lang w:val="en-GB"/>
        </w:rPr>
        <w:t xml:space="preserve"> </w:t>
      </w:r>
      <w:r w:rsidR="00D83F57" w:rsidRPr="00E63DCC">
        <w:rPr>
          <w:lang w:val="en-GB"/>
        </w:rPr>
        <w:t>base of the assessment but will also inform the refinement of semi-structured questionnaires for conducting KII</w:t>
      </w:r>
      <w:r w:rsidR="003278F0" w:rsidRPr="00E63DCC">
        <w:rPr>
          <w:lang w:val="en-GB"/>
        </w:rPr>
        <w:t>s</w:t>
      </w:r>
      <w:r w:rsidR="00D83F57" w:rsidRPr="00E63DCC">
        <w:rPr>
          <w:lang w:val="en-GB"/>
        </w:rPr>
        <w:t xml:space="preserve"> and FGD</w:t>
      </w:r>
      <w:r w:rsidR="003278F0" w:rsidRPr="00E63DCC">
        <w:rPr>
          <w:lang w:val="en-GB"/>
        </w:rPr>
        <w:t>s</w:t>
      </w:r>
      <w:r w:rsidR="00D83F57" w:rsidRPr="00E63DCC">
        <w:rPr>
          <w:lang w:val="en-GB"/>
        </w:rPr>
        <w:t xml:space="preserve"> at the local level</w:t>
      </w:r>
      <w:r w:rsidR="003278F0" w:rsidRPr="00E63DCC">
        <w:rPr>
          <w:lang w:val="en-GB"/>
        </w:rPr>
        <w:t xml:space="preserve">, as </w:t>
      </w:r>
      <w:r w:rsidR="00D83F57" w:rsidRPr="00E63DCC">
        <w:rPr>
          <w:lang w:val="en-GB"/>
        </w:rPr>
        <w:t xml:space="preserve">described in the following </w:t>
      </w:r>
      <w:r w:rsidR="003278F0" w:rsidRPr="00E63DCC">
        <w:rPr>
          <w:lang w:val="en-GB"/>
        </w:rPr>
        <w:t>sub</w:t>
      </w:r>
      <w:r w:rsidR="00D83F57" w:rsidRPr="00E63DCC">
        <w:rPr>
          <w:lang w:val="en-GB"/>
        </w:rPr>
        <w:t>sections.</w:t>
      </w:r>
    </w:p>
    <w:p w14:paraId="39BCE0C9" w14:textId="5427E3C5" w:rsidR="003F6E11" w:rsidRPr="00E63DCC" w:rsidRDefault="003278F0" w:rsidP="00A5640C">
      <w:pPr>
        <w:pStyle w:val="Heading3"/>
      </w:pPr>
      <w:bookmarkStart w:id="39" w:name="_Toc70926810"/>
      <w:r w:rsidRPr="00E63DCC">
        <w:lastRenderedPageBreak/>
        <w:t>3.5.2</w:t>
      </w:r>
      <w:r w:rsidRPr="00E63DCC">
        <w:tab/>
        <w:t>K</w:t>
      </w:r>
      <w:r w:rsidR="003F6E11" w:rsidRPr="00E63DCC">
        <w:t>ey informant interviews</w:t>
      </w:r>
      <w:bookmarkEnd w:id="39"/>
    </w:p>
    <w:p w14:paraId="172FBF9F" w14:textId="01B2D44F" w:rsidR="00442FAC" w:rsidRPr="00E63DCC" w:rsidRDefault="00D142C1" w:rsidP="00A5640C">
      <w:pPr>
        <w:rPr>
          <w:lang w:val="en-GB"/>
        </w:rPr>
      </w:pPr>
      <w:bookmarkStart w:id="40" w:name="_Hlk46593009"/>
      <w:r w:rsidRPr="00E63DCC">
        <w:rPr>
          <w:lang w:val="en-GB"/>
        </w:rPr>
        <w:t>The interviews will follow semi-structured questionnaire</w:t>
      </w:r>
      <w:r w:rsidR="00614451" w:rsidRPr="00E63DCC">
        <w:rPr>
          <w:lang w:val="en-GB"/>
        </w:rPr>
        <w:t xml:space="preserve"> templates</w:t>
      </w:r>
      <w:r w:rsidRPr="00E63DCC">
        <w:rPr>
          <w:lang w:val="en-GB"/>
        </w:rPr>
        <w:t xml:space="preserve"> </w:t>
      </w:r>
      <w:r w:rsidR="00614451" w:rsidRPr="00E63DCC">
        <w:rPr>
          <w:lang w:val="en-GB"/>
        </w:rPr>
        <w:t xml:space="preserve">from the WHO step-by-step guide </w:t>
      </w:r>
      <w:r w:rsidRPr="00E63DCC">
        <w:rPr>
          <w:lang w:val="en-GB"/>
        </w:rPr>
        <w:t xml:space="preserve">that </w:t>
      </w:r>
      <w:r w:rsidR="00614451" w:rsidRPr="00E63DCC">
        <w:rPr>
          <w:lang w:val="en-GB"/>
        </w:rPr>
        <w:t>are</w:t>
      </w:r>
      <w:r w:rsidRPr="00E63DCC">
        <w:rPr>
          <w:lang w:val="en-GB"/>
        </w:rPr>
        <w:t xml:space="preserve"> specific </w:t>
      </w:r>
      <w:r w:rsidR="00AE7A4D" w:rsidRPr="00E63DCC">
        <w:rPr>
          <w:lang w:val="en-GB"/>
        </w:rPr>
        <w:t>to</w:t>
      </w:r>
      <w:r w:rsidRPr="00E63DCC">
        <w:rPr>
          <w:lang w:val="en-GB"/>
        </w:rPr>
        <w:t xml:space="preserve"> the different type</w:t>
      </w:r>
      <w:r w:rsidR="00AE7A4D" w:rsidRPr="00E63DCC">
        <w:rPr>
          <w:lang w:val="en-GB"/>
        </w:rPr>
        <w:t>s</w:t>
      </w:r>
      <w:r w:rsidRPr="00E63DCC">
        <w:rPr>
          <w:lang w:val="en-GB"/>
        </w:rPr>
        <w:t xml:space="preserve"> of key informants consulted</w:t>
      </w:r>
      <w:bookmarkEnd w:id="40"/>
      <w:r w:rsidRPr="00E63DCC">
        <w:rPr>
          <w:lang w:val="en-GB"/>
        </w:rPr>
        <w:t>. The KII</w:t>
      </w:r>
      <w:r w:rsidR="00AE7A4D" w:rsidRPr="00E63DCC">
        <w:rPr>
          <w:lang w:val="en-GB"/>
        </w:rPr>
        <w:t xml:space="preserve"> </w:t>
      </w:r>
      <w:r w:rsidRPr="00E63DCC">
        <w:rPr>
          <w:lang w:val="en-GB"/>
        </w:rPr>
        <w:t>questionnaires are</w:t>
      </w:r>
      <w:r w:rsidR="00AE7A4D" w:rsidRPr="00E63DCC">
        <w:rPr>
          <w:lang w:val="en-GB"/>
        </w:rPr>
        <w:t xml:space="preserve"> set out in </w:t>
      </w:r>
      <w:r w:rsidRPr="00E63DCC">
        <w:rPr>
          <w:lang w:val="en-GB"/>
        </w:rPr>
        <w:t>Annex</w:t>
      </w:r>
      <w:r w:rsidR="00AB4CB9" w:rsidRPr="00E63DCC">
        <w:rPr>
          <w:lang w:val="en-GB"/>
        </w:rPr>
        <w:t xml:space="preserve"> 6</w:t>
      </w:r>
      <w:r w:rsidR="00AE7A4D" w:rsidRPr="00E63DCC">
        <w:rPr>
          <w:lang w:val="en-GB"/>
        </w:rPr>
        <w:t xml:space="preserve"> to th</w:t>
      </w:r>
      <w:r w:rsidR="00B15017" w:rsidRPr="00E63DCC">
        <w:rPr>
          <w:lang w:val="en-GB"/>
        </w:rPr>
        <w:t xml:space="preserve">e step-by-step guide </w:t>
      </w:r>
      <w:r w:rsidR="00B15017" w:rsidRPr="00E63DCC">
        <w:rPr>
          <w:i/>
          <w:lang w:val="en-GB"/>
        </w:rPr>
        <w:t>(8)</w:t>
      </w:r>
      <w:r w:rsidRPr="00E63DCC">
        <w:rPr>
          <w:lang w:val="en-GB"/>
        </w:rPr>
        <w:t xml:space="preserve">. Adaptations to the local context will be made after document review and in collaboration with the local partner. </w:t>
      </w:r>
    </w:p>
    <w:p w14:paraId="6E662390" w14:textId="7C66652B" w:rsidR="00D142C1" w:rsidRPr="00E63DCC" w:rsidRDefault="00442FAC" w:rsidP="00A5640C">
      <w:pPr>
        <w:rPr>
          <w:lang w:val="en-GB"/>
        </w:rPr>
      </w:pPr>
      <w:r w:rsidRPr="00E63DCC">
        <w:rPr>
          <w:lang w:val="en-GB"/>
        </w:rPr>
        <w:t>The total number of KII</w:t>
      </w:r>
      <w:r w:rsidR="00AE7A4D" w:rsidRPr="00E63DCC">
        <w:rPr>
          <w:lang w:val="en-GB"/>
        </w:rPr>
        <w:t>s</w:t>
      </w:r>
      <w:r w:rsidRPr="00E63DCC">
        <w:rPr>
          <w:lang w:val="en-GB"/>
        </w:rPr>
        <w:t xml:space="preserve"> (in the range </w:t>
      </w:r>
      <w:r w:rsidR="000E3F58" w:rsidRPr="00E63DCC">
        <w:rPr>
          <w:lang w:val="en-GB"/>
        </w:rPr>
        <w:t>[</w:t>
      </w:r>
      <w:r w:rsidRPr="00E63DCC">
        <w:rPr>
          <w:lang w:val="en-GB"/>
        </w:rPr>
        <w:t>8</w:t>
      </w:r>
      <w:r w:rsidR="00AE7A4D" w:rsidRPr="00E63DCC">
        <w:rPr>
          <w:lang w:val="en-GB"/>
        </w:rPr>
        <w:t>–</w:t>
      </w:r>
      <w:r w:rsidRPr="00E63DCC">
        <w:rPr>
          <w:lang w:val="en-GB"/>
        </w:rPr>
        <w:t>11</w:t>
      </w:r>
      <w:r w:rsidR="000E3F58" w:rsidRPr="00E63DCC">
        <w:rPr>
          <w:lang w:val="en-GB"/>
        </w:rPr>
        <w:t>]</w:t>
      </w:r>
      <w:r w:rsidRPr="00E63DCC">
        <w:rPr>
          <w:lang w:val="en-GB"/>
        </w:rPr>
        <w:t xml:space="preserve"> per ASGM area) will be determined at the time of the study when the investigator feels that all questions asked in the survey tools have been answered with sufficient depth</w:t>
      </w:r>
      <w:r w:rsidR="00AE7A4D" w:rsidRPr="00E63DCC">
        <w:rPr>
          <w:lang w:val="en-GB"/>
        </w:rPr>
        <w:t>,</w:t>
      </w:r>
      <w:r w:rsidRPr="00E63DCC">
        <w:rPr>
          <w:lang w:val="en-GB"/>
        </w:rPr>
        <w:t xml:space="preserve"> representing all population groups of interest.</w:t>
      </w:r>
    </w:p>
    <w:p w14:paraId="1D911A4C" w14:textId="501FD893" w:rsidR="003F6E11" w:rsidRPr="00E63DCC" w:rsidRDefault="00AE7A4D" w:rsidP="00A5640C">
      <w:pPr>
        <w:pStyle w:val="Heading3"/>
      </w:pPr>
      <w:bookmarkStart w:id="41" w:name="_Toc70926811"/>
      <w:r w:rsidRPr="00E63DCC">
        <w:t>3.5.3</w:t>
      </w:r>
      <w:r w:rsidRPr="00E63DCC">
        <w:tab/>
        <w:t>F</w:t>
      </w:r>
      <w:r w:rsidR="003F6E11" w:rsidRPr="00E63DCC">
        <w:t>ocus group discussions</w:t>
      </w:r>
      <w:bookmarkEnd w:id="41"/>
    </w:p>
    <w:p w14:paraId="3BDB6FEA" w14:textId="76B226B1" w:rsidR="000E3F58" w:rsidRPr="00E63DCC" w:rsidRDefault="000E3F58" w:rsidP="00A5640C">
      <w:pPr>
        <w:rPr>
          <w:lang w:val="en-GB"/>
        </w:rPr>
      </w:pPr>
      <w:r w:rsidRPr="00E63DCC">
        <w:rPr>
          <w:lang w:val="en-GB"/>
        </w:rPr>
        <w:t>The interviews will follow semi-structured questionnaire templates from the WHO step-by-step guide that are specific</w:t>
      </w:r>
      <w:r w:rsidR="007A5E2B" w:rsidRPr="00E63DCC">
        <w:rPr>
          <w:lang w:val="en-GB"/>
        </w:rPr>
        <w:t xml:space="preserve"> to</w:t>
      </w:r>
      <w:r w:rsidRPr="00E63DCC">
        <w:rPr>
          <w:lang w:val="en-GB"/>
        </w:rPr>
        <w:t xml:space="preserve"> the different type</w:t>
      </w:r>
      <w:r w:rsidR="007A5E2B" w:rsidRPr="00E63DCC">
        <w:rPr>
          <w:lang w:val="en-GB"/>
        </w:rPr>
        <w:t>s</w:t>
      </w:r>
      <w:r w:rsidRPr="00E63DCC">
        <w:rPr>
          <w:lang w:val="en-GB"/>
        </w:rPr>
        <w:t xml:space="preserve"> of participant group targeted. The FGD</w:t>
      </w:r>
      <w:r w:rsidR="007A5E2B" w:rsidRPr="00E63DCC">
        <w:rPr>
          <w:lang w:val="en-GB"/>
        </w:rPr>
        <w:t xml:space="preserve"> </w:t>
      </w:r>
      <w:r w:rsidRPr="00E63DCC">
        <w:rPr>
          <w:lang w:val="en-GB"/>
        </w:rPr>
        <w:t xml:space="preserve">questionnaire templates are shown in Annex </w:t>
      </w:r>
      <w:r w:rsidR="005302CB" w:rsidRPr="00E63DCC">
        <w:rPr>
          <w:lang w:val="en-GB"/>
        </w:rPr>
        <w:t>7 to the step-by-step guide</w:t>
      </w:r>
      <w:r w:rsidRPr="00E63DCC">
        <w:rPr>
          <w:lang w:val="en-GB"/>
        </w:rPr>
        <w:t xml:space="preserve">. Adaptations to the local context will be made after document review and in collaboration with the local partner. The same topics as for the KII will be covered under the FGD using an open-ended questioning route. The questionnaires will be translated </w:t>
      </w:r>
      <w:r w:rsidR="007A5E2B" w:rsidRPr="00E63DCC">
        <w:rPr>
          <w:lang w:val="en-GB"/>
        </w:rPr>
        <w:t xml:space="preserve">into </w:t>
      </w:r>
      <w:r w:rsidRPr="00E63DCC">
        <w:rPr>
          <w:lang w:val="en-GB"/>
        </w:rPr>
        <w:t>and administered in local languages. Whilst the researcher will steer the FGD, the local partner and community health worker will support the translations.</w:t>
      </w:r>
    </w:p>
    <w:p w14:paraId="3F1ABCAE" w14:textId="6E80C05B" w:rsidR="00051C1A" w:rsidRPr="00E63DCC" w:rsidRDefault="000E3F58" w:rsidP="00A5640C">
      <w:pPr>
        <w:rPr>
          <w:lang w:val="en-GB"/>
        </w:rPr>
      </w:pPr>
      <w:r w:rsidRPr="00E63DCC">
        <w:rPr>
          <w:lang w:val="en-GB"/>
        </w:rPr>
        <w:t>Flipcharts will be used as an aid to address specific issues such as access to health care and exposure pathways to mercury and potentially other pollutants. The discussions will be left open after a question is posed, encouraging active and spontaneous participation. The questions will be translated into the local languages as needed. The total number of FGDs (in the range of [6</w:t>
      </w:r>
      <w:r w:rsidR="007A5E2B" w:rsidRPr="00E63DCC">
        <w:rPr>
          <w:lang w:val="en-GB"/>
        </w:rPr>
        <w:t>–</w:t>
      </w:r>
      <w:r w:rsidRPr="00E63DCC">
        <w:rPr>
          <w:lang w:val="en-GB"/>
        </w:rPr>
        <w:t>12] per ASGM area) will be determined at the time of the study when the investigator feels that all questions asked in the survey tools have been answered with sufficient depth</w:t>
      </w:r>
      <w:r w:rsidR="006F3769" w:rsidRPr="00E63DCC">
        <w:rPr>
          <w:lang w:val="en-GB"/>
        </w:rPr>
        <w:t>,</w:t>
      </w:r>
      <w:r w:rsidRPr="00E63DCC">
        <w:rPr>
          <w:lang w:val="en-GB"/>
        </w:rPr>
        <w:t xml:space="preserve"> representing all population groups of interest.</w:t>
      </w:r>
    </w:p>
    <w:p w14:paraId="7FC5384C" w14:textId="1071A5A4" w:rsidR="00F612FB" w:rsidRPr="00E63DCC" w:rsidRDefault="006F3769" w:rsidP="00A5640C">
      <w:pPr>
        <w:pStyle w:val="Heading3"/>
      </w:pPr>
      <w:bookmarkStart w:id="42" w:name="_Toc70926812"/>
      <w:r w:rsidRPr="00E63DCC">
        <w:t>3.5.4</w:t>
      </w:r>
      <w:r w:rsidRPr="00E63DCC">
        <w:tab/>
        <w:t>H</w:t>
      </w:r>
      <w:r w:rsidR="00F612FB" w:rsidRPr="00E63DCC">
        <w:t>ealth facility assessment</w:t>
      </w:r>
      <w:bookmarkEnd w:id="42"/>
    </w:p>
    <w:p w14:paraId="206CE6D9" w14:textId="472F080A" w:rsidR="00091506" w:rsidRPr="00E63DCC" w:rsidRDefault="00091506" w:rsidP="00A5640C">
      <w:pPr>
        <w:rPr>
          <w:lang w:val="en-GB"/>
        </w:rPr>
      </w:pPr>
      <w:r w:rsidRPr="00E63DCC">
        <w:rPr>
          <w:lang w:val="en-GB"/>
        </w:rPr>
        <w:t>At the level of health facilities (in the range of [2</w:t>
      </w:r>
      <w:r w:rsidR="007A5E2B" w:rsidRPr="00E63DCC">
        <w:rPr>
          <w:lang w:val="en-GB"/>
        </w:rPr>
        <w:t>–</w:t>
      </w:r>
      <w:r w:rsidRPr="00E63DCC">
        <w:rPr>
          <w:lang w:val="en-GB"/>
        </w:rPr>
        <w:t>3] per ASGM area), a</w:t>
      </w:r>
      <w:r w:rsidR="00972C2B" w:rsidRPr="00E63DCC">
        <w:rPr>
          <w:lang w:val="en-GB"/>
        </w:rPr>
        <w:t>n</w:t>
      </w:r>
      <w:r w:rsidRPr="00E63DCC">
        <w:rPr>
          <w:lang w:val="en-GB"/>
        </w:rPr>
        <w:t xml:space="preserve"> HFA will be conducted for assessing the capacit</w:t>
      </w:r>
      <w:r w:rsidR="00261D79" w:rsidRPr="00E63DCC">
        <w:rPr>
          <w:lang w:val="en-GB"/>
        </w:rPr>
        <w:t>y</w:t>
      </w:r>
      <w:r w:rsidRPr="00E63DCC">
        <w:rPr>
          <w:lang w:val="en-GB"/>
        </w:rPr>
        <w:t xml:space="preserve"> and readiness of the health system to provide health services. This covers for example human resource capacit</w:t>
      </w:r>
      <w:r w:rsidR="00261D79" w:rsidRPr="00E63DCC">
        <w:rPr>
          <w:lang w:val="en-GB"/>
        </w:rPr>
        <w:t>y</w:t>
      </w:r>
      <w:r w:rsidRPr="00E63DCC">
        <w:rPr>
          <w:lang w:val="en-GB"/>
        </w:rPr>
        <w:t>, protocols in place, availability and functionality of equipment and diagnostics, availability of medicines and infection control measures in place.</w:t>
      </w:r>
    </w:p>
    <w:p w14:paraId="1C54230F" w14:textId="2B83582D" w:rsidR="00091506" w:rsidRPr="00E63DCC" w:rsidRDefault="00091506" w:rsidP="00A5640C">
      <w:pPr>
        <w:rPr>
          <w:lang w:val="en-GB"/>
        </w:rPr>
      </w:pPr>
      <w:r w:rsidRPr="00E63DCC">
        <w:rPr>
          <w:lang w:val="en-GB"/>
        </w:rPr>
        <w:t>For this purpose, the HFA template provided in the WHO step-by-step guide will be employed. The template is an adapted and abbreviated version of the WHO Service Availability and Readiness Assessment (SARA) tool</w:t>
      </w:r>
      <w:r w:rsidR="0049143B" w:rsidRPr="00E63DCC">
        <w:rPr>
          <w:lang w:val="en-GB"/>
        </w:rPr>
        <w:t xml:space="preserve">, </w:t>
      </w:r>
      <w:r w:rsidR="008B7298" w:rsidRPr="00E63DCC">
        <w:rPr>
          <w:lang w:val="en-GB"/>
        </w:rPr>
        <w:t>with</w:t>
      </w:r>
      <w:r w:rsidR="0049143B" w:rsidRPr="00E63DCC">
        <w:rPr>
          <w:lang w:val="en-GB"/>
        </w:rPr>
        <w:t xml:space="preserve"> a</w:t>
      </w:r>
      <w:r w:rsidRPr="00E63DCC">
        <w:rPr>
          <w:lang w:val="en-GB"/>
        </w:rPr>
        <w:t xml:space="preserve">dditional questions </w:t>
      </w:r>
      <w:r w:rsidR="0049143B" w:rsidRPr="00E63DCC">
        <w:rPr>
          <w:lang w:val="en-GB"/>
        </w:rPr>
        <w:t xml:space="preserve">included </w:t>
      </w:r>
      <w:r w:rsidRPr="00E63DCC">
        <w:rPr>
          <w:lang w:val="en-GB"/>
        </w:rPr>
        <w:t xml:space="preserve">on the basis of the WHO technical paper </w:t>
      </w:r>
      <w:r w:rsidRPr="00E63DCC">
        <w:rPr>
          <w:i/>
          <w:lang w:val="en-GB"/>
        </w:rPr>
        <w:t>Environmental and occupational health hazards</w:t>
      </w:r>
      <w:r w:rsidR="00972C2B" w:rsidRPr="00E63DCC">
        <w:rPr>
          <w:i/>
          <w:lang w:val="en-GB"/>
        </w:rPr>
        <w:t xml:space="preserve"> associated with artisanal and small-scale gold mining (5)</w:t>
      </w:r>
      <w:r w:rsidRPr="00E63DCC">
        <w:rPr>
          <w:lang w:val="en-GB"/>
        </w:rPr>
        <w:t xml:space="preserve"> to determine readiness to deal with common environmental and occupational health problems associated with ASGM. These include capacity to deal with poisonings, in particular mercury and cyanide poisoning, availability of basic occupational health services, and capacity to deal with trauma</w:t>
      </w:r>
      <w:r w:rsidR="00AE59C0" w:rsidRPr="00E63DCC">
        <w:rPr>
          <w:lang w:val="en-GB"/>
        </w:rPr>
        <w:t>,</w:t>
      </w:r>
      <w:r w:rsidRPr="00E63DCC">
        <w:rPr>
          <w:lang w:val="en-GB"/>
        </w:rPr>
        <w:t xml:space="preserve"> including burns. Basic laboratory capacity available and referral protocols for dealing with ASGM</w:t>
      </w:r>
      <w:r w:rsidR="00AE59C0" w:rsidRPr="00E63DCC">
        <w:rPr>
          <w:lang w:val="en-GB"/>
        </w:rPr>
        <w:t>-</w:t>
      </w:r>
      <w:r w:rsidRPr="00E63DCC">
        <w:rPr>
          <w:lang w:val="en-GB"/>
        </w:rPr>
        <w:lastRenderedPageBreak/>
        <w:t xml:space="preserve">related health issues will also be considered. The HFA tool </w:t>
      </w:r>
      <w:r w:rsidR="0049143B" w:rsidRPr="00E63DCC">
        <w:rPr>
          <w:lang w:val="en-GB"/>
        </w:rPr>
        <w:t xml:space="preserve">template </w:t>
      </w:r>
      <w:r w:rsidRPr="00E63DCC">
        <w:rPr>
          <w:lang w:val="en-GB"/>
        </w:rPr>
        <w:t xml:space="preserve">is included in </w:t>
      </w:r>
      <w:r w:rsidR="0049143B" w:rsidRPr="00E63DCC">
        <w:rPr>
          <w:lang w:val="en-GB"/>
        </w:rPr>
        <w:t>A</w:t>
      </w:r>
      <w:r w:rsidRPr="00E63DCC">
        <w:rPr>
          <w:lang w:val="en-GB"/>
        </w:rPr>
        <w:t xml:space="preserve">nnex </w:t>
      </w:r>
      <w:r w:rsidR="00C62AB5" w:rsidRPr="00E63DCC">
        <w:rPr>
          <w:lang w:val="en-GB"/>
        </w:rPr>
        <w:t>9 to the step-by-step guide</w:t>
      </w:r>
      <w:r w:rsidRPr="00E63DCC">
        <w:rPr>
          <w:lang w:val="en-GB"/>
        </w:rPr>
        <w:t>.</w:t>
      </w:r>
    </w:p>
    <w:p w14:paraId="09C47D0F" w14:textId="753A3C25" w:rsidR="0049143B" w:rsidRPr="00E63DCC" w:rsidRDefault="0049143B" w:rsidP="00A5640C">
      <w:pPr>
        <w:rPr>
          <w:lang w:val="en-GB"/>
        </w:rPr>
      </w:pPr>
      <w:r w:rsidRPr="00E63DCC">
        <w:rPr>
          <w:lang w:val="en-GB"/>
        </w:rPr>
        <w:t>During the KII with the health care provider and the HFA, statistics from the routine health information will be retrieved</w:t>
      </w:r>
      <w:r w:rsidR="00AE59C0" w:rsidRPr="00E63DCC">
        <w:rPr>
          <w:lang w:val="en-GB"/>
        </w:rPr>
        <w:t>,</w:t>
      </w:r>
      <w:r w:rsidRPr="00E63DCC">
        <w:rPr>
          <w:lang w:val="en-GB"/>
        </w:rPr>
        <w:t xml:space="preserve"> with a specific focus on health conditions related to ASGM</w:t>
      </w:r>
      <w:r w:rsidR="00AE59C0" w:rsidRPr="00E63DCC">
        <w:rPr>
          <w:lang w:val="en-GB"/>
        </w:rPr>
        <w:t xml:space="preserve"> </w:t>
      </w:r>
      <w:r w:rsidRPr="00E63DCC">
        <w:rPr>
          <w:lang w:val="en-GB"/>
        </w:rPr>
        <w:t>issues</w:t>
      </w:r>
      <w:r w:rsidR="00AE59C0" w:rsidRPr="00E63DCC">
        <w:rPr>
          <w:lang w:val="en-GB"/>
        </w:rPr>
        <w:t>,</w:t>
      </w:r>
      <w:r w:rsidRPr="00E63DCC">
        <w:rPr>
          <w:lang w:val="en-GB"/>
        </w:rPr>
        <w:t xml:space="preserve"> such as frequency and types of accidents and injuries. Any health data will be collected in anonymous form. In addition, the coverage of respective ASGM</w:t>
      </w:r>
      <w:r w:rsidR="00AE59C0" w:rsidRPr="00E63DCC">
        <w:rPr>
          <w:lang w:val="en-GB"/>
        </w:rPr>
        <w:t xml:space="preserve"> </w:t>
      </w:r>
      <w:r w:rsidRPr="00E63DCC">
        <w:rPr>
          <w:lang w:val="en-GB"/>
        </w:rPr>
        <w:t>site</w:t>
      </w:r>
      <w:r w:rsidR="00AE59C0" w:rsidRPr="00E63DCC">
        <w:rPr>
          <w:lang w:val="en-GB"/>
        </w:rPr>
        <w:t>s</w:t>
      </w:r>
      <w:r w:rsidRPr="00E63DCC">
        <w:rPr>
          <w:lang w:val="en-GB"/>
        </w:rPr>
        <w:t xml:space="preserve"> by the peripheral health system will be mapped. Through the triangulation of HFA, KII and health statistics data a deeper understanding of the health burden, health</w:t>
      </w:r>
      <w:r w:rsidR="005761FD" w:rsidRPr="00E63DCC">
        <w:rPr>
          <w:lang w:val="en-GB"/>
        </w:rPr>
        <w:t>-</w:t>
      </w:r>
      <w:r w:rsidRPr="00E63DCC">
        <w:rPr>
          <w:lang w:val="en-GB"/>
        </w:rPr>
        <w:t>seeking behaviour and readiness of the health system can be gained.</w:t>
      </w:r>
    </w:p>
    <w:p w14:paraId="0FA1C13C" w14:textId="12981056" w:rsidR="006F619D" w:rsidRPr="00E63DCC" w:rsidRDefault="000C1B29" w:rsidP="00A5640C">
      <w:pPr>
        <w:pStyle w:val="Heading3"/>
      </w:pPr>
      <w:bookmarkStart w:id="43" w:name="_Toc70926813"/>
      <w:r w:rsidRPr="00E63DCC">
        <w:t>3.5.5</w:t>
      </w:r>
      <w:r w:rsidRPr="00E63DCC">
        <w:tab/>
        <w:t>D</w:t>
      </w:r>
      <w:r w:rsidR="003F6E11" w:rsidRPr="00E63DCC">
        <w:t>irect observation</w:t>
      </w:r>
      <w:bookmarkEnd w:id="43"/>
    </w:p>
    <w:p w14:paraId="5999E92A" w14:textId="68DA8432" w:rsidR="006F619D" w:rsidRPr="00E63DCC" w:rsidRDefault="006F619D" w:rsidP="00A5640C">
      <w:pPr>
        <w:rPr>
          <w:lang w:val="en-GB"/>
        </w:rPr>
      </w:pPr>
      <w:r w:rsidRPr="00E63DCC">
        <w:rPr>
          <w:lang w:val="en-GB"/>
        </w:rPr>
        <w:t>Direct observation is another important means of data collection during the fieldwork activities. While a comprehensive assessment of work processes, exposure pathways and other aspects of the ASGM</w:t>
      </w:r>
      <w:r w:rsidR="00AE59C0" w:rsidRPr="00E63DCC">
        <w:rPr>
          <w:lang w:val="en-GB"/>
        </w:rPr>
        <w:t xml:space="preserve"> </w:t>
      </w:r>
      <w:r w:rsidRPr="00E63DCC">
        <w:rPr>
          <w:lang w:val="en-GB"/>
        </w:rPr>
        <w:t>site is beyond the scope of this research, a rapid observational assessment will be conducted to the extent feasible. For this purpose, an observational “site walk-through” tool template provided in the WHO guidance will be used to describe ASGM working processes and conditions, access to drinking</w:t>
      </w:r>
      <w:r w:rsidR="006032AD" w:rsidRPr="00E63DCC">
        <w:rPr>
          <w:lang w:val="en-GB"/>
        </w:rPr>
        <w:t>-</w:t>
      </w:r>
      <w:r w:rsidRPr="00E63DCC">
        <w:rPr>
          <w:lang w:val="en-GB"/>
        </w:rPr>
        <w:t xml:space="preserve">water and sanitation, use of personal protection measures, means of transportation, public health outreach activities at ASGM sites and other important characteristics of the site. The tool is included in Annex </w:t>
      </w:r>
      <w:r w:rsidR="00AD3D90" w:rsidRPr="00E63DCC">
        <w:rPr>
          <w:lang w:val="en-GB"/>
        </w:rPr>
        <w:t>10 to the step-by-step guide</w:t>
      </w:r>
      <w:r w:rsidRPr="00E63DCC">
        <w:rPr>
          <w:lang w:val="en-GB"/>
        </w:rPr>
        <w:t>.</w:t>
      </w:r>
    </w:p>
    <w:p w14:paraId="261AA3A0" w14:textId="50609AFE" w:rsidR="009E5664" w:rsidRPr="00E63DCC" w:rsidRDefault="006032AD" w:rsidP="00A5640C">
      <w:pPr>
        <w:pStyle w:val="Heading3"/>
      </w:pPr>
      <w:bookmarkStart w:id="44" w:name="_Toc70926814"/>
      <w:r w:rsidRPr="00E63DCC">
        <w:t>3.5.6</w:t>
      </w:r>
      <w:r w:rsidRPr="00E63DCC">
        <w:tab/>
        <w:t>S</w:t>
      </w:r>
      <w:r w:rsidR="00DA6548" w:rsidRPr="00E63DCC">
        <w:t>ummary of data collection</w:t>
      </w:r>
      <w:bookmarkEnd w:id="44"/>
    </w:p>
    <w:p w14:paraId="4D6F7939" w14:textId="6149BA03" w:rsidR="006F619D" w:rsidRPr="00E63DCC" w:rsidRDefault="006F619D" w:rsidP="00A5640C">
      <w:pPr>
        <w:rPr>
          <w:lang w:val="en-GB"/>
        </w:rPr>
      </w:pPr>
      <w:r w:rsidRPr="00E63DCC">
        <w:rPr>
          <w:lang w:val="en-GB"/>
        </w:rPr>
        <w:t>Table 4 presents a summary of the study participant groups and related study tools (including the participant information)</w:t>
      </w:r>
      <w:r w:rsidR="006032AD" w:rsidRPr="00E63DCC">
        <w:rPr>
          <w:lang w:val="en-GB"/>
        </w:rPr>
        <w:t>,</w:t>
      </w:r>
      <w:r w:rsidRPr="00E63DCC">
        <w:rPr>
          <w:lang w:val="en-GB"/>
        </w:rPr>
        <w:t xml:space="preserve"> with </w:t>
      </w:r>
      <w:r w:rsidR="006032AD" w:rsidRPr="00E63DCC">
        <w:rPr>
          <w:lang w:val="en-GB"/>
        </w:rPr>
        <w:t>a</w:t>
      </w:r>
      <w:r w:rsidRPr="00E63DCC">
        <w:rPr>
          <w:lang w:val="en-GB"/>
        </w:rPr>
        <w:t>nnex numbers where available.</w:t>
      </w:r>
    </w:p>
    <w:p w14:paraId="516D73DC" w14:textId="77777777" w:rsidR="001C036D" w:rsidRPr="00E63DCC" w:rsidRDefault="001C036D" w:rsidP="00A5640C">
      <w:pPr>
        <w:rPr>
          <w:lang w:val="en-GB"/>
        </w:rPr>
      </w:pPr>
    </w:p>
    <w:p w14:paraId="7F098C0E" w14:textId="77777777" w:rsidR="00237414" w:rsidRPr="00E63DCC" w:rsidRDefault="00237414" w:rsidP="00A5640C">
      <w:pPr>
        <w:rPr>
          <w:lang w:val="en-GB"/>
        </w:rPr>
        <w:sectPr w:rsidR="00237414" w:rsidRPr="00E63DCC" w:rsidSect="00E63DCC">
          <w:headerReference w:type="default" r:id="rId13"/>
          <w:footerReference w:type="even" r:id="rId14"/>
          <w:footerReference w:type="default" r:id="rId15"/>
          <w:pgSz w:w="11906" w:h="16838"/>
          <w:pgMar w:top="1440" w:right="1440" w:bottom="1440" w:left="1440" w:header="720" w:footer="720" w:gutter="0"/>
          <w:cols w:space="708"/>
          <w:docGrid w:linePitch="360"/>
        </w:sectPr>
      </w:pPr>
    </w:p>
    <w:p w14:paraId="3A7637E0" w14:textId="77777777" w:rsidR="00CE4343" w:rsidRPr="00E63DCC" w:rsidRDefault="006F619D" w:rsidP="00A5640C">
      <w:pPr>
        <w:rPr>
          <w:lang w:val="en-GB"/>
        </w:rPr>
      </w:pPr>
      <w:bookmarkStart w:id="45" w:name="_Ref479604736"/>
      <w:r w:rsidRPr="00E63DCC">
        <w:rPr>
          <w:lang w:val="en-GB"/>
        </w:rPr>
        <w:lastRenderedPageBreak/>
        <w:t xml:space="preserve">[Example for table]: </w:t>
      </w:r>
    </w:p>
    <w:p w14:paraId="2C4EE4A8" w14:textId="332B9B4C" w:rsidR="00DA6548" w:rsidRPr="00E63DCC" w:rsidRDefault="008874D2" w:rsidP="009104B7">
      <w:pPr>
        <w:pStyle w:val="Tablehead"/>
      </w:pPr>
      <w:bookmarkStart w:id="46" w:name="_Toc475116181"/>
      <w:r w:rsidRPr="00E63DCC">
        <w:t xml:space="preserve">Table </w:t>
      </w:r>
      <w:fldSimple w:instr=" SEQ Table \* ARABIC ">
        <w:r w:rsidR="00DB50D1">
          <w:rPr>
            <w:noProof/>
          </w:rPr>
          <w:t>4</w:t>
        </w:r>
      </w:fldSimple>
      <w:bookmarkEnd w:id="45"/>
      <w:r w:rsidR="00FF6DAE" w:rsidRPr="00E63DCC">
        <w:t>.</w:t>
      </w:r>
      <w:r w:rsidR="00DA6548" w:rsidRPr="00E63DCC">
        <w:t xml:space="preserve"> Data collection summary table</w:t>
      </w:r>
      <w:bookmarkEnd w:id="46"/>
      <w:r w:rsidR="006F1F28" w:rsidRPr="00E63DCC">
        <w:t xml:space="preserve"> </w:t>
      </w:r>
    </w:p>
    <w:tbl>
      <w:tblPr>
        <w:tblW w:w="15452" w:type="dxa"/>
        <w:tblInd w:w="-76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45" w:type="dxa"/>
          <w:left w:w="85" w:type="dxa"/>
          <w:bottom w:w="45" w:type="dxa"/>
          <w:right w:w="85" w:type="dxa"/>
        </w:tblCellMar>
        <w:tblLook w:val="04A0" w:firstRow="1" w:lastRow="0" w:firstColumn="1" w:lastColumn="0" w:noHBand="0" w:noVBand="1"/>
      </w:tblPr>
      <w:tblGrid>
        <w:gridCol w:w="3946"/>
        <w:gridCol w:w="3142"/>
        <w:gridCol w:w="1560"/>
        <w:gridCol w:w="1984"/>
        <w:gridCol w:w="2552"/>
        <w:gridCol w:w="2268"/>
      </w:tblGrid>
      <w:tr w:rsidR="001A527B" w:rsidRPr="00E63DCC" w14:paraId="3C98EDB4" w14:textId="77777777" w:rsidTr="001A527B">
        <w:trPr>
          <w:tblHeader/>
        </w:trPr>
        <w:tc>
          <w:tcPr>
            <w:tcW w:w="3946" w:type="dxa"/>
            <w:shd w:val="clear" w:color="auto" w:fill="CCFFFF"/>
            <w:vAlign w:val="center"/>
          </w:tcPr>
          <w:p w14:paraId="69A6C656" w14:textId="77777777" w:rsidR="00DA6548" w:rsidRPr="00E63DCC" w:rsidRDefault="00DA6548" w:rsidP="001A527B">
            <w:pPr>
              <w:pStyle w:val="Tabletext0"/>
              <w:spacing w:after="0" w:line="240" w:lineRule="auto"/>
              <w:rPr>
                <w:b/>
              </w:rPr>
            </w:pPr>
            <w:r w:rsidRPr="00E63DCC">
              <w:rPr>
                <w:b/>
              </w:rPr>
              <w:t>Data collection activity</w:t>
            </w:r>
          </w:p>
        </w:tc>
        <w:tc>
          <w:tcPr>
            <w:tcW w:w="3142" w:type="dxa"/>
            <w:shd w:val="clear" w:color="auto" w:fill="CCFFFF"/>
            <w:vAlign w:val="center"/>
          </w:tcPr>
          <w:p w14:paraId="3E13D21F" w14:textId="77777777" w:rsidR="00DA6548" w:rsidRPr="00E63DCC" w:rsidRDefault="00DA6548" w:rsidP="001A527B">
            <w:pPr>
              <w:pStyle w:val="Tabletext0"/>
              <w:spacing w:after="0" w:line="240" w:lineRule="auto"/>
              <w:rPr>
                <w:b/>
              </w:rPr>
            </w:pPr>
            <w:r w:rsidRPr="00E63DCC">
              <w:rPr>
                <w:b/>
              </w:rPr>
              <w:t>Study tool</w:t>
            </w:r>
            <w:r w:rsidR="00EF6780" w:rsidRPr="00E63DCC">
              <w:rPr>
                <w:b/>
              </w:rPr>
              <w:t>, data source</w:t>
            </w:r>
          </w:p>
        </w:tc>
        <w:tc>
          <w:tcPr>
            <w:tcW w:w="1560" w:type="dxa"/>
            <w:shd w:val="clear" w:color="auto" w:fill="CCFFFF"/>
            <w:vAlign w:val="center"/>
          </w:tcPr>
          <w:p w14:paraId="1970B2ED" w14:textId="622A7958" w:rsidR="00DA6548" w:rsidRPr="00E63DCC" w:rsidRDefault="00D4288D" w:rsidP="001A527B">
            <w:pPr>
              <w:pStyle w:val="Tabletext0"/>
              <w:spacing w:after="0" w:line="240" w:lineRule="auto"/>
              <w:rPr>
                <w:b/>
              </w:rPr>
            </w:pPr>
            <w:proofErr w:type="spellStart"/>
            <w:r w:rsidRPr="00E63DCC">
              <w:rPr>
                <w:b/>
              </w:rPr>
              <w:t>Annex</w:t>
            </w:r>
            <w:r w:rsidR="002F4516" w:rsidRPr="00E63DCC">
              <w:rPr>
                <w:b/>
                <w:vertAlign w:val="superscript"/>
              </w:rPr>
              <w:t>a</w:t>
            </w:r>
            <w:proofErr w:type="spellEnd"/>
          </w:p>
        </w:tc>
        <w:tc>
          <w:tcPr>
            <w:tcW w:w="1984" w:type="dxa"/>
            <w:shd w:val="clear" w:color="auto" w:fill="CCFFFF"/>
            <w:vAlign w:val="center"/>
          </w:tcPr>
          <w:p w14:paraId="138CE267" w14:textId="77777777" w:rsidR="00DA6548" w:rsidRPr="00E63DCC" w:rsidRDefault="00065CB1" w:rsidP="001A527B">
            <w:pPr>
              <w:pStyle w:val="Tabletext0"/>
              <w:spacing w:after="0" w:line="240" w:lineRule="auto"/>
              <w:rPr>
                <w:b/>
              </w:rPr>
            </w:pPr>
            <w:r w:rsidRPr="00E63DCC">
              <w:rPr>
                <w:b/>
              </w:rPr>
              <w:t>Data type</w:t>
            </w:r>
          </w:p>
        </w:tc>
        <w:tc>
          <w:tcPr>
            <w:tcW w:w="2552" w:type="dxa"/>
            <w:shd w:val="clear" w:color="auto" w:fill="CCFFFF"/>
            <w:vAlign w:val="center"/>
          </w:tcPr>
          <w:p w14:paraId="1ED634A7" w14:textId="0DD9FE25" w:rsidR="00DA6548" w:rsidRPr="00E63DCC" w:rsidRDefault="00405743" w:rsidP="001A527B">
            <w:pPr>
              <w:pStyle w:val="Tabletext0"/>
              <w:spacing w:after="0" w:line="240" w:lineRule="auto"/>
              <w:rPr>
                <w:b/>
              </w:rPr>
            </w:pPr>
            <w:r w:rsidRPr="00E63DCC">
              <w:rPr>
                <w:b/>
              </w:rPr>
              <w:t>Participants</w:t>
            </w:r>
            <w:r w:rsidR="00FF6DAE" w:rsidRPr="00E63DCC">
              <w:rPr>
                <w:b/>
              </w:rPr>
              <w:t xml:space="preserve">, </w:t>
            </w:r>
            <w:r w:rsidRPr="00E63DCC">
              <w:rPr>
                <w:b/>
              </w:rPr>
              <w:t>groups</w:t>
            </w:r>
          </w:p>
        </w:tc>
        <w:tc>
          <w:tcPr>
            <w:tcW w:w="2268" w:type="dxa"/>
            <w:shd w:val="clear" w:color="auto" w:fill="CCFFFF"/>
            <w:vAlign w:val="center"/>
          </w:tcPr>
          <w:p w14:paraId="1AAEBD17" w14:textId="77777777" w:rsidR="00DA6548" w:rsidRPr="00E63DCC" w:rsidRDefault="00A4376E" w:rsidP="001A527B">
            <w:pPr>
              <w:pStyle w:val="Tabletext0"/>
              <w:spacing w:after="0" w:line="240" w:lineRule="auto"/>
              <w:rPr>
                <w:b/>
              </w:rPr>
            </w:pPr>
            <w:r w:rsidRPr="00E63DCC">
              <w:rPr>
                <w:b/>
              </w:rPr>
              <w:t>Analysis</w:t>
            </w:r>
          </w:p>
        </w:tc>
      </w:tr>
      <w:tr w:rsidR="00D17821" w:rsidRPr="00E63DCC" w14:paraId="2DBF9E11" w14:textId="77777777" w:rsidTr="001A527B">
        <w:tc>
          <w:tcPr>
            <w:tcW w:w="15452" w:type="dxa"/>
            <w:gridSpan w:val="6"/>
            <w:shd w:val="clear" w:color="auto" w:fill="FFFF99"/>
            <w:vAlign w:val="center"/>
          </w:tcPr>
          <w:p w14:paraId="51E3DDC5" w14:textId="77777777" w:rsidR="00D17821" w:rsidRPr="00E63DCC" w:rsidRDefault="00D17821" w:rsidP="001A527B">
            <w:pPr>
              <w:pStyle w:val="Tabletext0"/>
              <w:spacing w:after="0" w:line="240" w:lineRule="auto"/>
            </w:pPr>
            <w:r w:rsidRPr="00E63DCC">
              <w:t>Document review</w:t>
            </w:r>
          </w:p>
        </w:tc>
      </w:tr>
      <w:tr w:rsidR="001A527B" w:rsidRPr="00E63DCC" w14:paraId="2BC67EF5" w14:textId="77777777" w:rsidTr="001A527B">
        <w:tc>
          <w:tcPr>
            <w:tcW w:w="3946" w:type="dxa"/>
            <w:vAlign w:val="center"/>
          </w:tcPr>
          <w:p w14:paraId="2B1FC14D" w14:textId="77777777" w:rsidR="00F158F4" w:rsidRPr="00E63DCC" w:rsidRDefault="00F158F4" w:rsidP="001A527B">
            <w:pPr>
              <w:pStyle w:val="Tabletext0"/>
              <w:spacing w:after="0" w:line="240" w:lineRule="auto"/>
            </w:pPr>
            <w:r w:rsidRPr="00E63DCC">
              <w:t>Scientific literature</w:t>
            </w:r>
          </w:p>
        </w:tc>
        <w:tc>
          <w:tcPr>
            <w:tcW w:w="3142" w:type="dxa"/>
            <w:vAlign w:val="center"/>
          </w:tcPr>
          <w:p w14:paraId="7C47799D" w14:textId="77777777" w:rsidR="00F158F4" w:rsidRPr="00E63DCC" w:rsidRDefault="00F158F4" w:rsidP="001A527B">
            <w:pPr>
              <w:pStyle w:val="Tabletext0"/>
              <w:spacing w:after="0" w:line="240" w:lineRule="auto"/>
            </w:pPr>
            <w:r w:rsidRPr="00E63DCC">
              <w:t>Scientific literature</w:t>
            </w:r>
          </w:p>
        </w:tc>
        <w:tc>
          <w:tcPr>
            <w:tcW w:w="1560" w:type="dxa"/>
            <w:vAlign w:val="center"/>
          </w:tcPr>
          <w:p w14:paraId="5D1189A6" w14:textId="79B5B167" w:rsidR="00F158F4" w:rsidRPr="00E63DCC" w:rsidRDefault="00FF6DAE" w:rsidP="001A527B">
            <w:pPr>
              <w:pStyle w:val="Tabletext0"/>
              <w:spacing w:after="0" w:line="240" w:lineRule="auto"/>
            </w:pPr>
            <w:r w:rsidRPr="00E63DCC">
              <w:t>NA</w:t>
            </w:r>
          </w:p>
        </w:tc>
        <w:tc>
          <w:tcPr>
            <w:tcW w:w="1984" w:type="dxa"/>
            <w:vMerge w:val="restart"/>
            <w:vAlign w:val="center"/>
          </w:tcPr>
          <w:p w14:paraId="04DA8AD6" w14:textId="77777777" w:rsidR="00F158F4" w:rsidRPr="00E63DCC" w:rsidRDefault="00F158F4" w:rsidP="001A527B">
            <w:pPr>
              <w:pStyle w:val="Tabletext0"/>
              <w:spacing w:after="0" w:line="240" w:lineRule="auto"/>
            </w:pPr>
            <w:r w:rsidRPr="00E63DCC">
              <w:t>Qualitative and quantitative</w:t>
            </w:r>
          </w:p>
        </w:tc>
        <w:tc>
          <w:tcPr>
            <w:tcW w:w="2552" w:type="dxa"/>
            <w:vAlign w:val="center"/>
          </w:tcPr>
          <w:p w14:paraId="4F0CEBF0" w14:textId="0822197C" w:rsidR="00F158F4" w:rsidRPr="00E63DCC" w:rsidRDefault="00FF6DAE" w:rsidP="001A527B">
            <w:pPr>
              <w:pStyle w:val="Tabletext0"/>
              <w:spacing w:after="0" w:line="240" w:lineRule="auto"/>
            </w:pPr>
            <w:r w:rsidRPr="00E63DCC">
              <w:t>NA</w:t>
            </w:r>
          </w:p>
        </w:tc>
        <w:tc>
          <w:tcPr>
            <w:tcW w:w="2268" w:type="dxa"/>
            <w:vAlign w:val="center"/>
          </w:tcPr>
          <w:p w14:paraId="3DC438DE" w14:textId="4E8FD4A0" w:rsidR="00F158F4" w:rsidRPr="00E63DCC" w:rsidRDefault="00FF6DAE" w:rsidP="001A527B">
            <w:pPr>
              <w:pStyle w:val="Tabletext0"/>
              <w:spacing w:after="0" w:line="240" w:lineRule="auto"/>
            </w:pPr>
            <w:r w:rsidRPr="00E63DCC">
              <w:t>NA</w:t>
            </w:r>
          </w:p>
        </w:tc>
      </w:tr>
      <w:tr w:rsidR="001A527B" w:rsidRPr="00E63DCC" w14:paraId="22757BB6" w14:textId="77777777" w:rsidTr="001A527B">
        <w:tc>
          <w:tcPr>
            <w:tcW w:w="3946" w:type="dxa"/>
            <w:vAlign w:val="center"/>
          </w:tcPr>
          <w:p w14:paraId="79013C77" w14:textId="77777777" w:rsidR="00F158F4" w:rsidRPr="00E63DCC" w:rsidRDefault="00F158F4" w:rsidP="001A527B">
            <w:pPr>
              <w:pStyle w:val="Tabletext0"/>
              <w:spacing w:after="0" w:line="240" w:lineRule="auto"/>
            </w:pPr>
            <w:r w:rsidRPr="00E63DCC">
              <w:t>Grey literature</w:t>
            </w:r>
          </w:p>
        </w:tc>
        <w:tc>
          <w:tcPr>
            <w:tcW w:w="3142" w:type="dxa"/>
            <w:vAlign w:val="center"/>
          </w:tcPr>
          <w:p w14:paraId="3F799BAA" w14:textId="77777777" w:rsidR="00F158F4" w:rsidRPr="00E63DCC" w:rsidRDefault="00F158F4" w:rsidP="001A527B">
            <w:pPr>
              <w:pStyle w:val="Tabletext0"/>
              <w:spacing w:after="0" w:line="240" w:lineRule="auto"/>
            </w:pPr>
            <w:r w:rsidRPr="00E63DCC">
              <w:t>Grey literature</w:t>
            </w:r>
          </w:p>
        </w:tc>
        <w:tc>
          <w:tcPr>
            <w:tcW w:w="1560" w:type="dxa"/>
            <w:vAlign w:val="center"/>
          </w:tcPr>
          <w:p w14:paraId="37559B1B" w14:textId="7A4035E6" w:rsidR="00F158F4" w:rsidRPr="00E63DCC" w:rsidRDefault="00FF6DAE" w:rsidP="001A527B">
            <w:pPr>
              <w:pStyle w:val="Tabletext0"/>
              <w:spacing w:after="0" w:line="240" w:lineRule="auto"/>
            </w:pPr>
            <w:r w:rsidRPr="00E63DCC">
              <w:t>NA</w:t>
            </w:r>
          </w:p>
        </w:tc>
        <w:tc>
          <w:tcPr>
            <w:tcW w:w="1984" w:type="dxa"/>
            <w:vMerge/>
            <w:vAlign w:val="center"/>
          </w:tcPr>
          <w:p w14:paraId="6A2C262F" w14:textId="77777777" w:rsidR="00F158F4" w:rsidRPr="00E63DCC" w:rsidRDefault="00F158F4" w:rsidP="001A527B">
            <w:pPr>
              <w:pStyle w:val="Tabletext0"/>
              <w:spacing w:after="0" w:line="240" w:lineRule="auto"/>
            </w:pPr>
          </w:p>
        </w:tc>
        <w:tc>
          <w:tcPr>
            <w:tcW w:w="2552" w:type="dxa"/>
            <w:vAlign w:val="center"/>
          </w:tcPr>
          <w:p w14:paraId="3AC1CEF0" w14:textId="13128630" w:rsidR="00F158F4" w:rsidRPr="00E63DCC" w:rsidRDefault="00FF6DAE" w:rsidP="001A527B">
            <w:pPr>
              <w:pStyle w:val="Tabletext0"/>
              <w:spacing w:after="0" w:line="240" w:lineRule="auto"/>
            </w:pPr>
            <w:r w:rsidRPr="00E63DCC">
              <w:t>NA</w:t>
            </w:r>
          </w:p>
        </w:tc>
        <w:tc>
          <w:tcPr>
            <w:tcW w:w="2268" w:type="dxa"/>
            <w:vAlign w:val="center"/>
          </w:tcPr>
          <w:p w14:paraId="382C9C50" w14:textId="05730FEB" w:rsidR="00F158F4" w:rsidRPr="00E63DCC" w:rsidRDefault="00FF6DAE" w:rsidP="001A527B">
            <w:pPr>
              <w:pStyle w:val="Tabletext0"/>
              <w:spacing w:after="0" w:line="240" w:lineRule="auto"/>
            </w:pPr>
            <w:r w:rsidRPr="00E63DCC">
              <w:t>NA</w:t>
            </w:r>
          </w:p>
        </w:tc>
      </w:tr>
      <w:tr w:rsidR="00D17821" w:rsidRPr="00E63DCC" w14:paraId="78AE29BD" w14:textId="77777777" w:rsidTr="001A527B">
        <w:tc>
          <w:tcPr>
            <w:tcW w:w="15452" w:type="dxa"/>
            <w:gridSpan w:val="6"/>
            <w:shd w:val="clear" w:color="auto" w:fill="FFFF99"/>
            <w:vAlign w:val="center"/>
          </w:tcPr>
          <w:p w14:paraId="1017B602" w14:textId="77777777" w:rsidR="00D17821" w:rsidRPr="00E63DCC" w:rsidRDefault="00D17821" w:rsidP="001A527B">
            <w:pPr>
              <w:pStyle w:val="Tabletext0"/>
              <w:spacing w:after="0" w:line="240" w:lineRule="auto"/>
            </w:pPr>
            <w:r w:rsidRPr="00E63DCC">
              <w:t>Key informant interviews</w:t>
            </w:r>
          </w:p>
        </w:tc>
      </w:tr>
      <w:tr w:rsidR="00E67AAE" w:rsidRPr="00E63DCC" w14:paraId="10F8B9D5" w14:textId="77777777" w:rsidTr="001A527B">
        <w:tc>
          <w:tcPr>
            <w:tcW w:w="3946" w:type="dxa"/>
            <w:vAlign w:val="center"/>
          </w:tcPr>
          <w:p w14:paraId="4C842EA5" w14:textId="77777777" w:rsidR="00E67AAE" w:rsidRPr="00E63DCC" w:rsidRDefault="00E67AAE" w:rsidP="001A527B">
            <w:pPr>
              <w:pStyle w:val="Tabletext0"/>
              <w:spacing w:after="0" w:line="240" w:lineRule="auto"/>
            </w:pPr>
            <w:r w:rsidRPr="00E63DCC">
              <w:t>Local government officials</w:t>
            </w:r>
          </w:p>
        </w:tc>
        <w:tc>
          <w:tcPr>
            <w:tcW w:w="3142" w:type="dxa"/>
            <w:vMerge w:val="restart"/>
            <w:vAlign w:val="center"/>
          </w:tcPr>
          <w:p w14:paraId="05FE5ADE" w14:textId="77777777" w:rsidR="00E67AAE" w:rsidRPr="00E63DCC" w:rsidRDefault="00E67AAE" w:rsidP="001A527B">
            <w:pPr>
              <w:pStyle w:val="Tabletext0"/>
              <w:spacing w:after="0" w:line="240" w:lineRule="auto"/>
            </w:pPr>
            <w:r w:rsidRPr="00E63DCC">
              <w:t>Semi-structured questionnaire tool</w:t>
            </w:r>
          </w:p>
        </w:tc>
        <w:tc>
          <w:tcPr>
            <w:tcW w:w="1560" w:type="dxa"/>
            <w:vMerge w:val="restart"/>
            <w:vAlign w:val="center"/>
          </w:tcPr>
          <w:p w14:paraId="09F0B1D8" w14:textId="220E67CE" w:rsidR="00E67AAE" w:rsidRPr="00E63DCC" w:rsidRDefault="00E67AAE">
            <w:pPr>
              <w:pStyle w:val="Tabletext0"/>
              <w:spacing w:after="0" w:line="240" w:lineRule="auto"/>
            </w:pPr>
            <w:r w:rsidRPr="00E63DCC">
              <w:t xml:space="preserve">Annex </w:t>
            </w:r>
            <w:r w:rsidR="00AB4CB9" w:rsidRPr="00E63DCC">
              <w:t>6</w:t>
            </w:r>
          </w:p>
        </w:tc>
        <w:tc>
          <w:tcPr>
            <w:tcW w:w="1984" w:type="dxa"/>
            <w:vMerge w:val="restart"/>
            <w:vAlign w:val="center"/>
          </w:tcPr>
          <w:p w14:paraId="71E371F9" w14:textId="77777777" w:rsidR="00E67AAE" w:rsidRPr="00E63DCC" w:rsidRDefault="00E67AAE" w:rsidP="001A527B">
            <w:pPr>
              <w:pStyle w:val="Tabletext0"/>
              <w:spacing w:after="0" w:line="240" w:lineRule="auto"/>
            </w:pPr>
            <w:r w:rsidRPr="00E63DCC">
              <w:t>Qualitative</w:t>
            </w:r>
          </w:p>
        </w:tc>
        <w:tc>
          <w:tcPr>
            <w:tcW w:w="2552" w:type="dxa"/>
            <w:vAlign w:val="center"/>
          </w:tcPr>
          <w:p w14:paraId="3D985ABD" w14:textId="781D718A" w:rsidR="00E67AAE" w:rsidRPr="00E63DCC" w:rsidRDefault="00E67AAE" w:rsidP="001A527B">
            <w:pPr>
              <w:pStyle w:val="Tabletext0"/>
              <w:spacing w:after="0" w:line="240" w:lineRule="auto"/>
            </w:pPr>
            <w:r w:rsidRPr="00E63DCC">
              <w:t>[X] per site ([X] in total)</w:t>
            </w:r>
          </w:p>
        </w:tc>
        <w:tc>
          <w:tcPr>
            <w:tcW w:w="2268" w:type="dxa"/>
            <w:vMerge w:val="restart"/>
            <w:vAlign w:val="center"/>
          </w:tcPr>
          <w:p w14:paraId="18DDD31D" w14:textId="77777777" w:rsidR="00E67AAE" w:rsidRPr="00E63DCC" w:rsidRDefault="00E67AAE" w:rsidP="001A527B">
            <w:pPr>
              <w:pStyle w:val="Tabletext0"/>
              <w:spacing w:after="0" w:line="240" w:lineRule="auto"/>
            </w:pPr>
            <w:r w:rsidRPr="00E63DCC">
              <w:t>Sorted by content meaning, similar ideas, and content interaction</w:t>
            </w:r>
          </w:p>
        </w:tc>
      </w:tr>
      <w:tr w:rsidR="00E67AAE" w:rsidRPr="00E63DCC" w14:paraId="28A741A8" w14:textId="77777777" w:rsidTr="001A527B">
        <w:tc>
          <w:tcPr>
            <w:tcW w:w="3946" w:type="dxa"/>
            <w:vAlign w:val="center"/>
          </w:tcPr>
          <w:p w14:paraId="30FDDFFF" w14:textId="77777777" w:rsidR="00E67AAE" w:rsidRPr="00E63DCC" w:rsidRDefault="00E67AAE" w:rsidP="001A527B">
            <w:pPr>
              <w:pStyle w:val="Tabletext0"/>
              <w:spacing w:after="0" w:line="240" w:lineRule="auto"/>
            </w:pPr>
            <w:r w:rsidRPr="00E63DCC">
              <w:t>Local health authorities</w:t>
            </w:r>
          </w:p>
        </w:tc>
        <w:tc>
          <w:tcPr>
            <w:tcW w:w="3142" w:type="dxa"/>
            <w:vMerge/>
            <w:vAlign w:val="center"/>
          </w:tcPr>
          <w:p w14:paraId="1686F548" w14:textId="77777777" w:rsidR="00E67AAE" w:rsidRPr="00E63DCC" w:rsidRDefault="00E67AAE" w:rsidP="001A527B">
            <w:pPr>
              <w:pStyle w:val="Tabletext0"/>
              <w:spacing w:after="0" w:line="240" w:lineRule="auto"/>
            </w:pPr>
          </w:p>
        </w:tc>
        <w:tc>
          <w:tcPr>
            <w:tcW w:w="1560" w:type="dxa"/>
            <w:vMerge/>
            <w:vAlign w:val="center"/>
          </w:tcPr>
          <w:p w14:paraId="527C951C" w14:textId="7F89E1B6" w:rsidR="00E67AAE" w:rsidRPr="00E63DCC" w:rsidRDefault="00E67AAE" w:rsidP="001A527B">
            <w:pPr>
              <w:pStyle w:val="Tabletext0"/>
              <w:spacing w:after="0" w:line="240" w:lineRule="auto"/>
            </w:pPr>
          </w:p>
        </w:tc>
        <w:tc>
          <w:tcPr>
            <w:tcW w:w="1984" w:type="dxa"/>
            <w:vMerge/>
            <w:vAlign w:val="center"/>
          </w:tcPr>
          <w:p w14:paraId="107137BB" w14:textId="77777777" w:rsidR="00E67AAE" w:rsidRPr="00E63DCC" w:rsidRDefault="00E67AAE" w:rsidP="001A527B">
            <w:pPr>
              <w:pStyle w:val="Tabletext0"/>
              <w:spacing w:after="0" w:line="240" w:lineRule="auto"/>
            </w:pPr>
          </w:p>
        </w:tc>
        <w:tc>
          <w:tcPr>
            <w:tcW w:w="2552" w:type="dxa"/>
            <w:vAlign w:val="center"/>
          </w:tcPr>
          <w:p w14:paraId="6273AB44" w14:textId="25AACCE9" w:rsidR="00E67AAE" w:rsidRPr="00E63DCC" w:rsidRDefault="00E67AAE" w:rsidP="001A527B">
            <w:pPr>
              <w:pStyle w:val="Tabletext0"/>
              <w:spacing w:after="0" w:line="240" w:lineRule="auto"/>
            </w:pPr>
            <w:r w:rsidRPr="00E63DCC">
              <w:t>[X] per site ([X] in total)</w:t>
            </w:r>
          </w:p>
        </w:tc>
        <w:tc>
          <w:tcPr>
            <w:tcW w:w="2268" w:type="dxa"/>
            <w:vMerge/>
            <w:vAlign w:val="center"/>
          </w:tcPr>
          <w:p w14:paraId="0A7E4199" w14:textId="77777777" w:rsidR="00E67AAE" w:rsidRPr="00E63DCC" w:rsidRDefault="00E67AAE" w:rsidP="001A527B">
            <w:pPr>
              <w:pStyle w:val="Tabletext0"/>
              <w:spacing w:after="0" w:line="240" w:lineRule="auto"/>
            </w:pPr>
          </w:p>
        </w:tc>
      </w:tr>
      <w:tr w:rsidR="00E67AAE" w:rsidRPr="00E63DCC" w14:paraId="4D3F51F2" w14:textId="77777777" w:rsidTr="001A527B">
        <w:tc>
          <w:tcPr>
            <w:tcW w:w="3946" w:type="dxa"/>
            <w:vAlign w:val="center"/>
          </w:tcPr>
          <w:p w14:paraId="338E90EA" w14:textId="77777777" w:rsidR="00E67AAE" w:rsidRPr="00E63DCC" w:rsidRDefault="00E67AAE" w:rsidP="001A527B">
            <w:pPr>
              <w:pStyle w:val="Tabletext0"/>
              <w:spacing w:after="0" w:line="240" w:lineRule="auto"/>
            </w:pPr>
            <w:r w:rsidRPr="00E63DCC">
              <w:t>Local environmental (health) authorities</w:t>
            </w:r>
          </w:p>
        </w:tc>
        <w:tc>
          <w:tcPr>
            <w:tcW w:w="3142" w:type="dxa"/>
            <w:vMerge/>
            <w:vAlign w:val="center"/>
          </w:tcPr>
          <w:p w14:paraId="7F5A3466" w14:textId="77777777" w:rsidR="00E67AAE" w:rsidRPr="00E63DCC" w:rsidRDefault="00E67AAE" w:rsidP="001A527B">
            <w:pPr>
              <w:pStyle w:val="Tabletext0"/>
              <w:spacing w:after="0" w:line="240" w:lineRule="auto"/>
            </w:pPr>
          </w:p>
        </w:tc>
        <w:tc>
          <w:tcPr>
            <w:tcW w:w="1560" w:type="dxa"/>
            <w:vMerge/>
            <w:vAlign w:val="center"/>
          </w:tcPr>
          <w:p w14:paraId="429933A0" w14:textId="67A4F575" w:rsidR="00E67AAE" w:rsidRPr="00E63DCC" w:rsidRDefault="00E67AAE" w:rsidP="001A527B">
            <w:pPr>
              <w:pStyle w:val="Tabletext0"/>
              <w:spacing w:after="0" w:line="240" w:lineRule="auto"/>
            </w:pPr>
          </w:p>
        </w:tc>
        <w:tc>
          <w:tcPr>
            <w:tcW w:w="1984" w:type="dxa"/>
            <w:vMerge/>
            <w:vAlign w:val="center"/>
          </w:tcPr>
          <w:p w14:paraId="0A5E63A9" w14:textId="77777777" w:rsidR="00E67AAE" w:rsidRPr="00E63DCC" w:rsidRDefault="00E67AAE" w:rsidP="001A527B">
            <w:pPr>
              <w:pStyle w:val="Tabletext0"/>
              <w:spacing w:after="0" w:line="240" w:lineRule="auto"/>
            </w:pPr>
          </w:p>
        </w:tc>
        <w:tc>
          <w:tcPr>
            <w:tcW w:w="2552" w:type="dxa"/>
            <w:vAlign w:val="center"/>
          </w:tcPr>
          <w:p w14:paraId="6221F866" w14:textId="308302B6" w:rsidR="00E67AAE" w:rsidRPr="00E63DCC" w:rsidRDefault="00E67AAE" w:rsidP="001A527B">
            <w:pPr>
              <w:pStyle w:val="Tabletext0"/>
              <w:spacing w:after="0" w:line="240" w:lineRule="auto"/>
            </w:pPr>
            <w:r w:rsidRPr="00E63DCC">
              <w:t>[X] per site ([X] in total)</w:t>
            </w:r>
          </w:p>
        </w:tc>
        <w:tc>
          <w:tcPr>
            <w:tcW w:w="2268" w:type="dxa"/>
            <w:vMerge/>
            <w:vAlign w:val="center"/>
          </w:tcPr>
          <w:p w14:paraId="4C434F20" w14:textId="77777777" w:rsidR="00E67AAE" w:rsidRPr="00E63DCC" w:rsidRDefault="00E67AAE" w:rsidP="001A527B">
            <w:pPr>
              <w:pStyle w:val="Tabletext0"/>
              <w:spacing w:after="0" w:line="240" w:lineRule="auto"/>
            </w:pPr>
          </w:p>
        </w:tc>
      </w:tr>
      <w:tr w:rsidR="00E67AAE" w:rsidRPr="00E63DCC" w14:paraId="049B63DD" w14:textId="77777777" w:rsidTr="001A527B">
        <w:tc>
          <w:tcPr>
            <w:tcW w:w="3946" w:type="dxa"/>
            <w:vAlign w:val="center"/>
          </w:tcPr>
          <w:p w14:paraId="11378A28" w14:textId="77777777" w:rsidR="00E67AAE" w:rsidRPr="00E63DCC" w:rsidRDefault="00E67AAE" w:rsidP="001A527B">
            <w:pPr>
              <w:pStyle w:val="Tabletext0"/>
              <w:spacing w:after="0" w:line="240" w:lineRule="auto"/>
            </w:pPr>
            <w:r w:rsidRPr="00E63DCC">
              <w:t>Local health care providers</w:t>
            </w:r>
          </w:p>
        </w:tc>
        <w:tc>
          <w:tcPr>
            <w:tcW w:w="3142" w:type="dxa"/>
            <w:vMerge/>
            <w:vAlign w:val="center"/>
          </w:tcPr>
          <w:p w14:paraId="1ABBE0D3" w14:textId="77777777" w:rsidR="00E67AAE" w:rsidRPr="00E63DCC" w:rsidRDefault="00E67AAE" w:rsidP="001A527B">
            <w:pPr>
              <w:pStyle w:val="Tabletext0"/>
              <w:spacing w:after="0" w:line="240" w:lineRule="auto"/>
            </w:pPr>
          </w:p>
        </w:tc>
        <w:tc>
          <w:tcPr>
            <w:tcW w:w="1560" w:type="dxa"/>
            <w:vMerge/>
            <w:vAlign w:val="center"/>
          </w:tcPr>
          <w:p w14:paraId="34ACAC49" w14:textId="3E696A89" w:rsidR="00E67AAE" w:rsidRPr="00E63DCC" w:rsidRDefault="00E67AAE" w:rsidP="001A527B">
            <w:pPr>
              <w:pStyle w:val="Tabletext0"/>
              <w:spacing w:after="0" w:line="240" w:lineRule="auto"/>
            </w:pPr>
          </w:p>
        </w:tc>
        <w:tc>
          <w:tcPr>
            <w:tcW w:w="1984" w:type="dxa"/>
            <w:vMerge/>
            <w:vAlign w:val="center"/>
          </w:tcPr>
          <w:p w14:paraId="5F5A37BF" w14:textId="77777777" w:rsidR="00E67AAE" w:rsidRPr="00E63DCC" w:rsidRDefault="00E67AAE" w:rsidP="001A527B">
            <w:pPr>
              <w:pStyle w:val="Tabletext0"/>
              <w:spacing w:after="0" w:line="240" w:lineRule="auto"/>
            </w:pPr>
          </w:p>
        </w:tc>
        <w:tc>
          <w:tcPr>
            <w:tcW w:w="2552" w:type="dxa"/>
            <w:vAlign w:val="center"/>
          </w:tcPr>
          <w:p w14:paraId="23198250" w14:textId="15E86A57" w:rsidR="00E67AAE" w:rsidRPr="00E63DCC" w:rsidRDefault="00E67AAE" w:rsidP="001A527B">
            <w:pPr>
              <w:pStyle w:val="Tabletext0"/>
              <w:spacing w:after="0" w:line="240" w:lineRule="auto"/>
            </w:pPr>
            <w:r w:rsidRPr="00E63DCC">
              <w:t>[X] per site ([X] in total)</w:t>
            </w:r>
          </w:p>
        </w:tc>
        <w:tc>
          <w:tcPr>
            <w:tcW w:w="2268" w:type="dxa"/>
            <w:vMerge/>
            <w:vAlign w:val="center"/>
          </w:tcPr>
          <w:p w14:paraId="24A90E6E" w14:textId="77777777" w:rsidR="00E67AAE" w:rsidRPr="00E63DCC" w:rsidRDefault="00E67AAE" w:rsidP="001A527B">
            <w:pPr>
              <w:pStyle w:val="Tabletext0"/>
              <w:spacing w:after="0" w:line="240" w:lineRule="auto"/>
            </w:pPr>
          </w:p>
        </w:tc>
      </w:tr>
      <w:tr w:rsidR="00E67AAE" w:rsidRPr="00E63DCC" w14:paraId="4CD5B8AB" w14:textId="77777777" w:rsidTr="001A527B">
        <w:tc>
          <w:tcPr>
            <w:tcW w:w="3946" w:type="dxa"/>
            <w:vAlign w:val="center"/>
          </w:tcPr>
          <w:p w14:paraId="5852B6DA" w14:textId="77777777" w:rsidR="00E67AAE" w:rsidRPr="00E63DCC" w:rsidRDefault="00E67AAE" w:rsidP="001A527B">
            <w:pPr>
              <w:pStyle w:val="Tabletext0"/>
              <w:spacing w:after="0" w:line="240" w:lineRule="auto"/>
            </w:pPr>
            <w:r w:rsidRPr="00E63DCC">
              <w:t>Community leaders</w:t>
            </w:r>
          </w:p>
        </w:tc>
        <w:tc>
          <w:tcPr>
            <w:tcW w:w="3142" w:type="dxa"/>
            <w:vMerge/>
            <w:vAlign w:val="center"/>
          </w:tcPr>
          <w:p w14:paraId="783DB16B" w14:textId="77777777" w:rsidR="00E67AAE" w:rsidRPr="00E63DCC" w:rsidRDefault="00E67AAE" w:rsidP="001A527B">
            <w:pPr>
              <w:pStyle w:val="Tabletext0"/>
              <w:spacing w:after="0" w:line="240" w:lineRule="auto"/>
            </w:pPr>
          </w:p>
        </w:tc>
        <w:tc>
          <w:tcPr>
            <w:tcW w:w="1560" w:type="dxa"/>
            <w:vMerge/>
            <w:vAlign w:val="center"/>
          </w:tcPr>
          <w:p w14:paraId="71CC491C" w14:textId="6D28EC39" w:rsidR="00E67AAE" w:rsidRPr="00E63DCC" w:rsidRDefault="00E67AAE" w:rsidP="001A527B">
            <w:pPr>
              <w:pStyle w:val="Tabletext0"/>
              <w:spacing w:after="0" w:line="240" w:lineRule="auto"/>
            </w:pPr>
          </w:p>
        </w:tc>
        <w:tc>
          <w:tcPr>
            <w:tcW w:w="1984" w:type="dxa"/>
            <w:vMerge/>
            <w:vAlign w:val="center"/>
          </w:tcPr>
          <w:p w14:paraId="451D9F19" w14:textId="77777777" w:rsidR="00E67AAE" w:rsidRPr="00E63DCC" w:rsidRDefault="00E67AAE" w:rsidP="001A527B">
            <w:pPr>
              <w:pStyle w:val="Tabletext0"/>
              <w:spacing w:after="0" w:line="240" w:lineRule="auto"/>
            </w:pPr>
          </w:p>
        </w:tc>
        <w:tc>
          <w:tcPr>
            <w:tcW w:w="2552" w:type="dxa"/>
            <w:vAlign w:val="center"/>
          </w:tcPr>
          <w:p w14:paraId="1C6D5987" w14:textId="59EB2740" w:rsidR="00E67AAE" w:rsidRPr="00E63DCC" w:rsidRDefault="00E67AAE" w:rsidP="001A527B">
            <w:pPr>
              <w:pStyle w:val="Tabletext0"/>
              <w:spacing w:after="0" w:line="240" w:lineRule="auto"/>
            </w:pPr>
            <w:r w:rsidRPr="00E63DCC">
              <w:t>[X] per site ([X] in total)</w:t>
            </w:r>
          </w:p>
        </w:tc>
        <w:tc>
          <w:tcPr>
            <w:tcW w:w="2268" w:type="dxa"/>
            <w:vMerge/>
            <w:vAlign w:val="center"/>
          </w:tcPr>
          <w:p w14:paraId="2A10428C" w14:textId="77777777" w:rsidR="00E67AAE" w:rsidRPr="00E63DCC" w:rsidRDefault="00E67AAE" w:rsidP="001A527B">
            <w:pPr>
              <w:pStyle w:val="Tabletext0"/>
              <w:spacing w:after="0" w:line="240" w:lineRule="auto"/>
            </w:pPr>
          </w:p>
        </w:tc>
      </w:tr>
      <w:tr w:rsidR="00E67AAE" w:rsidRPr="00E63DCC" w14:paraId="72C2C7B2" w14:textId="77777777" w:rsidTr="001A527B">
        <w:tc>
          <w:tcPr>
            <w:tcW w:w="3946" w:type="dxa"/>
            <w:vAlign w:val="center"/>
          </w:tcPr>
          <w:p w14:paraId="3E1A60B9" w14:textId="06588C76" w:rsidR="00E67AAE" w:rsidRPr="00E63DCC" w:rsidRDefault="00E67AAE" w:rsidP="001A527B">
            <w:pPr>
              <w:pStyle w:val="Tabletext0"/>
              <w:spacing w:after="0" w:line="240" w:lineRule="auto"/>
            </w:pPr>
            <w:r w:rsidRPr="00E63DCC">
              <w:t>ASGM community leaders</w:t>
            </w:r>
          </w:p>
        </w:tc>
        <w:tc>
          <w:tcPr>
            <w:tcW w:w="3142" w:type="dxa"/>
            <w:vMerge/>
            <w:vAlign w:val="center"/>
          </w:tcPr>
          <w:p w14:paraId="14FD6291" w14:textId="77777777" w:rsidR="00E67AAE" w:rsidRPr="00E63DCC" w:rsidRDefault="00E67AAE" w:rsidP="001A527B">
            <w:pPr>
              <w:pStyle w:val="Tabletext0"/>
              <w:spacing w:after="0" w:line="240" w:lineRule="auto"/>
            </w:pPr>
          </w:p>
        </w:tc>
        <w:tc>
          <w:tcPr>
            <w:tcW w:w="1560" w:type="dxa"/>
            <w:vMerge/>
            <w:vAlign w:val="center"/>
          </w:tcPr>
          <w:p w14:paraId="57BB017B" w14:textId="55FB3A78" w:rsidR="00E67AAE" w:rsidRPr="00E63DCC" w:rsidRDefault="00E67AAE" w:rsidP="001A527B">
            <w:pPr>
              <w:pStyle w:val="Tabletext0"/>
              <w:spacing w:after="0" w:line="240" w:lineRule="auto"/>
            </w:pPr>
          </w:p>
        </w:tc>
        <w:tc>
          <w:tcPr>
            <w:tcW w:w="1984" w:type="dxa"/>
            <w:vMerge/>
            <w:vAlign w:val="center"/>
          </w:tcPr>
          <w:p w14:paraId="3C34BD5A" w14:textId="77777777" w:rsidR="00E67AAE" w:rsidRPr="00E63DCC" w:rsidRDefault="00E67AAE" w:rsidP="001A527B">
            <w:pPr>
              <w:pStyle w:val="Tabletext0"/>
              <w:spacing w:after="0" w:line="240" w:lineRule="auto"/>
            </w:pPr>
          </w:p>
        </w:tc>
        <w:tc>
          <w:tcPr>
            <w:tcW w:w="2552" w:type="dxa"/>
            <w:vAlign w:val="center"/>
          </w:tcPr>
          <w:p w14:paraId="4E50EE3A" w14:textId="08226E4A" w:rsidR="00E67AAE" w:rsidRPr="00E63DCC" w:rsidRDefault="00E67AAE" w:rsidP="001A527B">
            <w:pPr>
              <w:pStyle w:val="Tabletext0"/>
              <w:spacing w:after="0" w:line="240" w:lineRule="auto"/>
            </w:pPr>
            <w:r w:rsidRPr="00E63DCC">
              <w:t>[X] per site ([X] in total)</w:t>
            </w:r>
          </w:p>
        </w:tc>
        <w:tc>
          <w:tcPr>
            <w:tcW w:w="2268" w:type="dxa"/>
            <w:vMerge/>
            <w:vAlign w:val="center"/>
          </w:tcPr>
          <w:p w14:paraId="11CFFA52" w14:textId="77777777" w:rsidR="00E67AAE" w:rsidRPr="00E63DCC" w:rsidRDefault="00E67AAE" w:rsidP="001A527B">
            <w:pPr>
              <w:pStyle w:val="Tabletext0"/>
              <w:spacing w:after="0" w:line="240" w:lineRule="auto"/>
            </w:pPr>
          </w:p>
        </w:tc>
      </w:tr>
      <w:tr w:rsidR="00E67AAE" w:rsidRPr="00E63DCC" w14:paraId="01617D6C" w14:textId="77777777" w:rsidTr="001A527B">
        <w:tc>
          <w:tcPr>
            <w:tcW w:w="3946" w:type="dxa"/>
            <w:vAlign w:val="center"/>
          </w:tcPr>
          <w:p w14:paraId="3573E270" w14:textId="4DDC4D94" w:rsidR="00E67AAE" w:rsidRPr="00E63DCC" w:rsidRDefault="00E67AAE" w:rsidP="001A527B">
            <w:pPr>
              <w:pStyle w:val="Tabletext0"/>
              <w:spacing w:after="0" w:line="240" w:lineRule="auto"/>
            </w:pPr>
            <w:r w:rsidRPr="00E63DCC">
              <w:t>Civil society organizations</w:t>
            </w:r>
          </w:p>
        </w:tc>
        <w:tc>
          <w:tcPr>
            <w:tcW w:w="3142" w:type="dxa"/>
            <w:vMerge/>
            <w:vAlign w:val="center"/>
          </w:tcPr>
          <w:p w14:paraId="39C2B662" w14:textId="77777777" w:rsidR="00E67AAE" w:rsidRPr="00E63DCC" w:rsidRDefault="00E67AAE" w:rsidP="001A527B">
            <w:pPr>
              <w:pStyle w:val="Tabletext0"/>
              <w:spacing w:after="0" w:line="240" w:lineRule="auto"/>
            </w:pPr>
          </w:p>
        </w:tc>
        <w:tc>
          <w:tcPr>
            <w:tcW w:w="1560" w:type="dxa"/>
            <w:vMerge/>
            <w:vAlign w:val="center"/>
          </w:tcPr>
          <w:p w14:paraId="7DDBA351" w14:textId="21FEFFDD" w:rsidR="00E67AAE" w:rsidRPr="00E63DCC" w:rsidRDefault="00E67AAE" w:rsidP="001A527B">
            <w:pPr>
              <w:pStyle w:val="Tabletext0"/>
              <w:spacing w:after="0" w:line="240" w:lineRule="auto"/>
            </w:pPr>
          </w:p>
        </w:tc>
        <w:tc>
          <w:tcPr>
            <w:tcW w:w="1984" w:type="dxa"/>
            <w:vMerge/>
            <w:vAlign w:val="center"/>
          </w:tcPr>
          <w:p w14:paraId="6E1552D5" w14:textId="77777777" w:rsidR="00E67AAE" w:rsidRPr="00E63DCC" w:rsidRDefault="00E67AAE" w:rsidP="001A527B">
            <w:pPr>
              <w:pStyle w:val="Tabletext0"/>
              <w:spacing w:after="0" w:line="240" w:lineRule="auto"/>
            </w:pPr>
          </w:p>
        </w:tc>
        <w:tc>
          <w:tcPr>
            <w:tcW w:w="2552" w:type="dxa"/>
            <w:vAlign w:val="center"/>
          </w:tcPr>
          <w:p w14:paraId="4317B1AF" w14:textId="65FF0BCD" w:rsidR="00E67AAE" w:rsidRPr="00E63DCC" w:rsidRDefault="00E67AAE" w:rsidP="001A527B">
            <w:pPr>
              <w:pStyle w:val="Tabletext0"/>
              <w:spacing w:after="0" w:line="240" w:lineRule="auto"/>
            </w:pPr>
            <w:r w:rsidRPr="00E63DCC">
              <w:t>[X] per site ([X] in total)</w:t>
            </w:r>
          </w:p>
        </w:tc>
        <w:tc>
          <w:tcPr>
            <w:tcW w:w="2268" w:type="dxa"/>
            <w:vMerge/>
            <w:vAlign w:val="center"/>
          </w:tcPr>
          <w:p w14:paraId="7F086D99" w14:textId="77777777" w:rsidR="00E67AAE" w:rsidRPr="00E63DCC" w:rsidRDefault="00E67AAE" w:rsidP="001A527B">
            <w:pPr>
              <w:pStyle w:val="Tabletext0"/>
              <w:spacing w:after="0" w:line="240" w:lineRule="auto"/>
            </w:pPr>
          </w:p>
        </w:tc>
      </w:tr>
      <w:tr w:rsidR="00F158F4" w:rsidRPr="00E63DCC" w14:paraId="1084D11A" w14:textId="77777777" w:rsidTr="001A527B">
        <w:tc>
          <w:tcPr>
            <w:tcW w:w="15452" w:type="dxa"/>
            <w:gridSpan w:val="6"/>
            <w:shd w:val="clear" w:color="auto" w:fill="FFFF99"/>
            <w:vAlign w:val="center"/>
          </w:tcPr>
          <w:p w14:paraId="14154F03" w14:textId="77777777" w:rsidR="00F158F4" w:rsidRPr="00E63DCC" w:rsidRDefault="00F158F4" w:rsidP="001A527B">
            <w:pPr>
              <w:pStyle w:val="Tabletext0"/>
              <w:spacing w:after="0" w:line="240" w:lineRule="auto"/>
            </w:pPr>
            <w:r w:rsidRPr="00E63DCC">
              <w:t>Focus group discussions</w:t>
            </w:r>
          </w:p>
        </w:tc>
      </w:tr>
      <w:tr w:rsidR="00E67AAE" w:rsidRPr="00E63DCC" w14:paraId="5D34FCC1" w14:textId="77777777" w:rsidTr="001A527B">
        <w:tc>
          <w:tcPr>
            <w:tcW w:w="3946" w:type="dxa"/>
            <w:vAlign w:val="center"/>
          </w:tcPr>
          <w:p w14:paraId="52569B76" w14:textId="77777777" w:rsidR="00E67AAE" w:rsidRPr="00E63DCC" w:rsidRDefault="00E67AAE" w:rsidP="001A527B">
            <w:pPr>
              <w:pStyle w:val="Tabletext0"/>
              <w:spacing w:after="0" w:line="240" w:lineRule="auto"/>
            </w:pPr>
            <w:r w:rsidRPr="00E63DCC">
              <w:t>Miners</w:t>
            </w:r>
          </w:p>
        </w:tc>
        <w:tc>
          <w:tcPr>
            <w:tcW w:w="3142" w:type="dxa"/>
            <w:vMerge w:val="restart"/>
            <w:vAlign w:val="center"/>
          </w:tcPr>
          <w:p w14:paraId="5F96EB39" w14:textId="77777777" w:rsidR="00E67AAE" w:rsidRPr="00E63DCC" w:rsidRDefault="00E67AAE" w:rsidP="001A527B">
            <w:pPr>
              <w:pStyle w:val="Tabletext0"/>
              <w:spacing w:after="0" w:line="240" w:lineRule="auto"/>
            </w:pPr>
            <w:r w:rsidRPr="00E63DCC">
              <w:t>Open-ended questioning route</w:t>
            </w:r>
          </w:p>
        </w:tc>
        <w:tc>
          <w:tcPr>
            <w:tcW w:w="1560" w:type="dxa"/>
            <w:vMerge w:val="restart"/>
            <w:vAlign w:val="center"/>
          </w:tcPr>
          <w:p w14:paraId="3BCADAB3" w14:textId="1DB1040F" w:rsidR="00E67AAE" w:rsidRPr="00E63DCC" w:rsidRDefault="00E67AAE">
            <w:pPr>
              <w:pStyle w:val="Tabletext0"/>
              <w:spacing w:after="0" w:line="240" w:lineRule="auto"/>
            </w:pPr>
            <w:r w:rsidRPr="00E63DCC">
              <w:t xml:space="preserve">Annex </w:t>
            </w:r>
            <w:r w:rsidR="00AB4CB9" w:rsidRPr="00E63DCC">
              <w:t>7</w:t>
            </w:r>
          </w:p>
        </w:tc>
        <w:tc>
          <w:tcPr>
            <w:tcW w:w="1984" w:type="dxa"/>
            <w:vMerge w:val="restart"/>
            <w:vAlign w:val="center"/>
          </w:tcPr>
          <w:p w14:paraId="7034DB91" w14:textId="77777777" w:rsidR="00E67AAE" w:rsidRPr="00E63DCC" w:rsidRDefault="00E67AAE" w:rsidP="001A527B">
            <w:pPr>
              <w:pStyle w:val="Tabletext0"/>
              <w:spacing w:after="0" w:line="240" w:lineRule="auto"/>
            </w:pPr>
            <w:r w:rsidRPr="00E63DCC">
              <w:t>Qualitative</w:t>
            </w:r>
          </w:p>
        </w:tc>
        <w:tc>
          <w:tcPr>
            <w:tcW w:w="2552" w:type="dxa"/>
            <w:vAlign w:val="center"/>
          </w:tcPr>
          <w:p w14:paraId="36D84203" w14:textId="1CE298A5" w:rsidR="00E67AAE" w:rsidRPr="00E63DCC" w:rsidRDefault="00E67AAE" w:rsidP="001A527B">
            <w:pPr>
              <w:pStyle w:val="Tabletext0"/>
              <w:spacing w:after="0" w:line="240" w:lineRule="auto"/>
            </w:pPr>
            <w:r w:rsidRPr="00E63DCC">
              <w:t>[X] per site ([X] in total)</w:t>
            </w:r>
          </w:p>
        </w:tc>
        <w:tc>
          <w:tcPr>
            <w:tcW w:w="2268" w:type="dxa"/>
            <w:vMerge w:val="restart"/>
            <w:vAlign w:val="center"/>
          </w:tcPr>
          <w:p w14:paraId="21693C24" w14:textId="77777777" w:rsidR="00E67AAE" w:rsidRPr="00E63DCC" w:rsidRDefault="00E67AAE" w:rsidP="001A527B">
            <w:pPr>
              <w:pStyle w:val="Tabletext0"/>
              <w:spacing w:after="0" w:line="240" w:lineRule="auto"/>
            </w:pPr>
            <w:r w:rsidRPr="00E63DCC">
              <w:t>Sorted by content meaning, similar ideas, and content interaction</w:t>
            </w:r>
          </w:p>
        </w:tc>
      </w:tr>
      <w:tr w:rsidR="00E67AAE" w:rsidRPr="00E63DCC" w14:paraId="0EE23D6C" w14:textId="77777777" w:rsidTr="001A527B">
        <w:tc>
          <w:tcPr>
            <w:tcW w:w="3946" w:type="dxa"/>
            <w:vAlign w:val="center"/>
          </w:tcPr>
          <w:p w14:paraId="54D1637C" w14:textId="77777777" w:rsidR="00E67AAE" w:rsidRPr="00E63DCC" w:rsidRDefault="00E67AAE" w:rsidP="001A527B">
            <w:pPr>
              <w:pStyle w:val="Tabletext0"/>
              <w:spacing w:after="0" w:line="240" w:lineRule="auto"/>
            </w:pPr>
            <w:r w:rsidRPr="00E63DCC">
              <w:t>Family members of miners</w:t>
            </w:r>
          </w:p>
        </w:tc>
        <w:tc>
          <w:tcPr>
            <w:tcW w:w="3142" w:type="dxa"/>
            <w:vMerge/>
            <w:vAlign w:val="center"/>
          </w:tcPr>
          <w:p w14:paraId="7FE2710C" w14:textId="77777777" w:rsidR="00E67AAE" w:rsidRPr="00E63DCC" w:rsidRDefault="00E67AAE" w:rsidP="001A527B">
            <w:pPr>
              <w:pStyle w:val="Tabletext0"/>
              <w:spacing w:after="0" w:line="240" w:lineRule="auto"/>
            </w:pPr>
          </w:p>
        </w:tc>
        <w:tc>
          <w:tcPr>
            <w:tcW w:w="1560" w:type="dxa"/>
            <w:vMerge/>
            <w:vAlign w:val="center"/>
          </w:tcPr>
          <w:p w14:paraId="2D17D3DE" w14:textId="111EFC5B" w:rsidR="00E67AAE" w:rsidRPr="00E63DCC" w:rsidRDefault="00E67AAE" w:rsidP="00B56BC5">
            <w:pPr>
              <w:pStyle w:val="Tabletext0"/>
              <w:spacing w:after="0" w:line="240" w:lineRule="auto"/>
            </w:pPr>
          </w:p>
        </w:tc>
        <w:tc>
          <w:tcPr>
            <w:tcW w:w="1984" w:type="dxa"/>
            <w:vMerge/>
            <w:vAlign w:val="center"/>
          </w:tcPr>
          <w:p w14:paraId="0627C4E4" w14:textId="77777777" w:rsidR="00E67AAE" w:rsidRPr="00E63DCC" w:rsidRDefault="00E67AAE" w:rsidP="001A527B">
            <w:pPr>
              <w:pStyle w:val="Tabletext0"/>
              <w:spacing w:after="0" w:line="240" w:lineRule="auto"/>
            </w:pPr>
          </w:p>
        </w:tc>
        <w:tc>
          <w:tcPr>
            <w:tcW w:w="2552" w:type="dxa"/>
            <w:vAlign w:val="center"/>
          </w:tcPr>
          <w:p w14:paraId="3EB91F1E" w14:textId="2DC6A399" w:rsidR="00E67AAE" w:rsidRPr="00E63DCC" w:rsidRDefault="00E67AAE" w:rsidP="001A527B">
            <w:pPr>
              <w:pStyle w:val="Tabletext0"/>
              <w:spacing w:after="0" w:line="240" w:lineRule="auto"/>
            </w:pPr>
            <w:r w:rsidRPr="00E63DCC">
              <w:t>[X] per site ([X] in total)</w:t>
            </w:r>
          </w:p>
        </w:tc>
        <w:tc>
          <w:tcPr>
            <w:tcW w:w="2268" w:type="dxa"/>
            <w:vMerge/>
            <w:vAlign w:val="center"/>
          </w:tcPr>
          <w:p w14:paraId="5EEB95E4" w14:textId="77777777" w:rsidR="00E67AAE" w:rsidRPr="00E63DCC" w:rsidRDefault="00E67AAE" w:rsidP="001A527B">
            <w:pPr>
              <w:pStyle w:val="Tabletext0"/>
              <w:spacing w:after="0" w:line="240" w:lineRule="auto"/>
            </w:pPr>
          </w:p>
        </w:tc>
      </w:tr>
      <w:tr w:rsidR="00E67AAE" w:rsidRPr="00E63DCC" w14:paraId="7898E426" w14:textId="77777777" w:rsidTr="001A527B">
        <w:tc>
          <w:tcPr>
            <w:tcW w:w="3946" w:type="dxa"/>
            <w:vAlign w:val="center"/>
          </w:tcPr>
          <w:p w14:paraId="185B19CD" w14:textId="77777777" w:rsidR="00E67AAE" w:rsidRPr="00E63DCC" w:rsidRDefault="00E67AAE" w:rsidP="001A527B">
            <w:pPr>
              <w:pStyle w:val="Tabletext0"/>
              <w:spacing w:after="0" w:line="240" w:lineRule="auto"/>
            </w:pPr>
            <w:r w:rsidRPr="00E63DCC">
              <w:t>ASGM surrounding communities</w:t>
            </w:r>
          </w:p>
        </w:tc>
        <w:tc>
          <w:tcPr>
            <w:tcW w:w="3142" w:type="dxa"/>
            <w:vMerge/>
            <w:vAlign w:val="center"/>
          </w:tcPr>
          <w:p w14:paraId="79F97E79" w14:textId="77777777" w:rsidR="00E67AAE" w:rsidRPr="00E63DCC" w:rsidRDefault="00E67AAE" w:rsidP="001A527B">
            <w:pPr>
              <w:pStyle w:val="Tabletext0"/>
              <w:spacing w:after="0" w:line="240" w:lineRule="auto"/>
            </w:pPr>
          </w:p>
        </w:tc>
        <w:tc>
          <w:tcPr>
            <w:tcW w:w="1560" w:type="dxa"/>
            <w:vMerge/>
            <w:vAlign w:val="center"/>
          </w:tcPr>
          <w:p w14:paraId="7375E037" w14:textId="6CC3FA95" w:rsidR="00E67AAE" w:rsidRPr="00E63DCC" w:rsidRDefault="00E67AAE" w:rsidP="00B56BC5">
            <w:pPr>
              <w:pStyle w:val="Tabletext0"/>
              <w:spacing w:after="0" w:line="240" w:lineRule="auto"/>
            </w:pPr>
          </w:p>
        </w:tc>
        <w:tc>
          <w:tcPr>
            <w:tcW w:w="1984" w:type="dxa"/>
            <w:vMerge/>
            <w:vAlign w:val="center"/>
          </w:tcPr>
          <w:p w14:paraId="0C278C5A" w14:textId="77777777" w:rsidR="00E67AAE" w:rsidRPr="00E63DCC" w:rsidRDefault="00E67AAE" w:rsidP="001A527B">
            <w:pPr>
              <w:pStyle w:val="Tabletext0"/>
              <w:spacing w:after="0" w:line="240" w:lineRule="auto"/>
            </w:pPr>
          </w:p>
        </w:tc>
        <w:tc>
          <w:tcPr>
            <w:tcW w:w="2552" w:type="dxa"/>
            <w:vAlign w:val="center"/>
          </w:tcPr>
          <w:p w14:paraId="64402199" w14:textId="21181A46" w:rsidR="00E67AAE" w:rsidRPr="00E63DCC" w:rsidRDefault="00E67AAE" w:rsidP="001A527B">
            <w:pPr>
              <w:pStyle w:val="Tabletext0"/>
              <w:spacing w:after="0" w:line="240" w:lineRule="auto"/>
            </w:pPr>
            <w:r w:rsidRPr="00E63DCC">
              <w:t>[X] per site ([X] in total)</w:t>
            </w:r>
          </w:p>
        </w:tc>
        <w:tc>
          <w:tcPr>
            <w:tcW w:w="2268" w:type="dxa"/>
            <w:vMerge/>
            <w:vAlign w:val="center"/>
          </w:tcPr>
          <w:p w14:paraId="0B55E0AC" w14:textId="77777777" w:rsidR="00E67AAE" w:rsidRPr="00E63DCC" w:rsidRDefault="00E67AAE" w:rsidP="001A527B">
            <w:pPr>
              <w:pStyle w:val="Tabletext0"/>
              <w:spacing w:after="0" w:line="240" w:lineRule="auto"/>
            </w:pPr>
          </w:p>
        </w:tc>
      </w:tr>
      <w:tr w:rsidR="00F158F4" w:rsidRPr="00E63DCC" w14:paraId="60B48E4D" w14:textId="77777777" w:rsidTr="001A527B">
        <w:tc>
          <w:tcPr>
            <w:tcW w:w="15452" w:type="dxa"/>
            <w:gridSpan w:val="6"/>
            <w:shd w:val="clear" w:color="auto" w:fill="FFFF99"/>
            <w:vAlign w:val="center"/>
          </w:tcPr>
          <w:p w14:paraId="1C757274" w14:textId="77777777" w:rsidR="00F158F4" w:rsidRPr="00E63DCC" w:rsidRDefault="00F158F4" w:rsidP="001A527B">
            <w:pPr>
              <w:pStyle w:val="Tabletext0"/>
              <w:spacing w:after="0" w:line="240" w:lineRule="auto"/>
            </w:pPr>
            <w:r w:rsidRPr="00E63DCC">
              <w:t>Health facility assessment</w:t>
            </w:r>
            <w:r w:rsidR="00B20C92" w:rsidRPr="00E63DCC">
              <w:t>s</w:t>
            </w:r>
          </w:p>
        </w:tc>
      </w:tr>
      <w:tr w:rsidR="001A527B" w:rsidRPr="00E63DCC" w14:paraId="1120CC4C" w14:textId="77777777" w:rsidTr="001A527B">
        <w:tc>
          <w:tcPr>
            <w:tcW w:w="3946" w:type="dxa"/>
            <w:vAlign w:val="center"/>
          </w:tcPr>
          <w:p w14:paraId="09C408BA" w14:textId="77777777" w:rsidR="00F158F4" w:rsidRPr="00E63DCC" w:rsidRDefault="00F158F4" w:rsidP="001A527B">
            <w:pPr>
              <w:pStyle w:val="Tabletext0"/>
              <w:spacing w:after="0" w:line="240" w:lineRule="auto"/>
            </w:pPr>
            <w:r w:rsidRPr="00E63DCC">
              <w:t>HFA</w:t>
            </w:r>
          </w:p>
        </w:tc>
        <w:tc>
          <w:tcPr>
            <w:tcW w:w="3142" w:type="dxa"/>
            <w:vAlign w:val="center"/>
          </w:tcPr>
          <w:p w14:paraId="408F7880" w14:textId="30DF84F4" w:rsidR="00F158F4" w:rsidRPr="00E63DCC" w:rsidRDefault="009C5D19" w:rsidP="001A527B">
            <w:pPr>
              <w:pStyle w:val="Tabletext0"/>
              <w:spacing w:after="0" w:line="240" w:lineRule="auto"/>
            </w:pPr>
            <w:r w:rsidRPr="00E63DCC">
              <w:t>HFA</w:t>
            </w:r>
            <w:r w:rsidR="00AB4CB9" w:rsidRPr="00E63DCC">
              <w:t xml:space="preserve"> questionnaire and</w:t>
            </w:r>
            <w:r w:rsidRPr="00E63DCC">
              <w:t xml:space="preserve"> tool</w:t>
            </w:r>
          </w:p>
        </w:tc>
        <w:tc>
          <w:tcPr>
            <w:tcW w:w="1560" w:type="dxa"/>
            <w:vAlign w:val="center"/>
          </w:tcPr>
          <w:p w14:paraId="5B0E916D" w14:textId="2AF56C19" w:rsidR="00F158F4" w:rsidRPr="00E63DCC" w:rsidRDefault="00F158F4" w:rsidP="00B56BC5">
            <w:pPr>
              <w:pStyle w:val="Tabletext0"/>
              <w:spacing w:after="0" w:line="240" w:lineRule="auto"/>
            </w:pPr>
            <w:r w:rsidRPr="00E63DCC">
              <w:t xml:space="preserve">Annex </w:t>
            </w:r>
            <w:r w:rsidR="00AB4CB9" w:rsidRPr="00E63DCC">
              <w:t>9</w:t>
            </w:r>
          </w:p>
        </w:tc>
        <w:tc>
          <w:tcPr>
            <w:tcW w:w="1984" w:type="dxa"/>
            <w:vAlign w:val="center"/>
          </w:tcPr>
          <w:p w14:paraId="58EDF503" w14:textId="77777777" w:rsidR="00F158F4" w:rsidRPr="00E63DCC" w:rsidRDefault="00F158F4" w:rsidP="001A527B">
            <w:pPr>
              <w:pStyle w:val="Tabletext0"/>
              <w:spacing w:after="0" w:line="240" w:lineRule="auto"/>
            </w:pPr>
            <w:r w:rsidRPr="00E63DCC">
              <w:t>Mostly quantitative</w:t>
            </w:r>
          </w:p>
        </w:tc>
        <w:tc>
          <w:tcPr>
            <w:tcW w:w="2552" w:type="dxa"/>
            <w:vAlign w:val="center"/>
          </w:tcPr>
          <w:p w14:paraId="3BDD5BF1" w14:textId="4F31F7AF" w:rsidR="00F158F4" w:rsidRPr="00E63DCC" w:rsidRDefault="00763EDB" w:rsidP="001A527B">
            <w:pPr>
              <w:pStyle w:val="Tabletext0"/>
              <w:spacing w:after="0" w:line="240" w:lineRule="auto"/>
            </w:pPr>
            <w:r w:rsidRPr="00E63DCC">
              <w:t xml:space="preserve">[X] </w:t>
            </w:r>
            <w:r w:rsidR="001A7EB8" w:rsidRPr="00E63DCC">
              <w:t>per site</w:t>
            </w:r>
            <w:r w:rsidR="008012CB" w:rsidRPr="00E63DCC">
              <w:t xml:space="preserve"> ([X]</w:t>
            </w:r>
            <w:r w:rsidR="001A7EB8" w:rsidRPr="00E63DCC">
              <w:t xml:space="preserve"> in total)</w:t>
            </w:r>
          </w:p>
        </w:tc>
        <w:tc>
          <w:tcPr>
            <w:tcW w:w="2268" w:type="dxa"/>
            <w:vAlign w:val="center"/>
          </w:tcPr>
          <w:p w14:paraId="361CFCF3" w14:textId="77777777" w:rsidR="00F158F4" w:rsidRPr="00E63DCC" w:rsidRDefault="00F158F4" w:rsidP="001A527B">
            <w:pPr>
              <w:pStyle w:val="Tabletext0"/>
              <w:spacing w:after="0" w:line="240" w:lineRule="auto"/>
            </w:pPr>
            <w:r w:rsidRPr="00E63DCC">
              <w:t>Descriptive</w:t>
            </w:r>
          </w:p>
        </w:tc>
      </w:tr>
      <w:tr w:rsidR="001A527B" w:rsidRPr="00E63DCC" w14:paraId="4ABB0EF0" w14:textId="77777777" w:rsidTr="001A527B">
        <w:tc>
          <w:tcPr>
            <w:tcW w:w="3946" w:type="dxa"/>
            <w:vAlign w:val="center"/>
          </w:tcPr>
          <w:p w14:paraId="324A472B" w14:textId="77777777" w:rsidR="00F158F4" w:rsidRPr="00E63DCC" w:rsidRDefault="00F158F4" w:rsidP="001A527B">
            <w:pPr>
              <w:pStyle w:val="Tabletext0"/>
              <w:spacing w:after="0" w:line="240" w:lineRule="auto"/>
            </w:pPr>
            <w:r w:rsidRPr="00E63DCC">
              <w:t>Local health statistics</w:t>
            </w:r>
          </w:p>
        </w:tc>
        <w:tc>
          <w:tcPr>
            <w:tcW w:w="3142" w:type="dxa"/>
            <w:vAlign w:val="center"/>
          </w:tcPr>
          <w:p w14:paraId="66990201" w14:textId="77777777" w:rsidR="00F158F4" w:rsidRPr="00E63DCC" w:rsidRDefault="00F158F4" w:rsidP="001A527B">
            <w:pPr>
              <w:pStyle w:val="Tabletext0"/>
              <w:spacing w:after="0" w:line="240" w:lineRule="auto"/>
            </w:pPr>
            <w:r w:rsidRPr="00E63DCC">
              <w:t>Registers of local health facilities</w:t>
            </w:r>
          </w:p>
        </w:tc>
        <w:tc>
          <w:tcPr>
            <w:tcW w:w="1560" w:type="dxa"/>
            <w:vAlign w:val="center"/>
          </w:tcPr>
          <w:p w14:paraId="16EEC1D9" w14:textId="00DB151B" w:rsidR="00F158F4" w:rsidRPr="00E63DCC" w:rsidRDefault="00FF6DAE" w:rsidP="001A527B">
            <w:pPr>
              <w:pStyle w:val="Tabletext0"/>
              <w:spacing w:after="0" w:line="240" w:lineRule="auto"/>
            </w:pPr>
            <w:r w:rsidRPr="00E63DCC">
              <w:t>NA</w:t>
            </w:r>
          </w:p>
        </w:tc>
        <w:tc>
          <w:tcPr>
            <w:tcW w:w="1984" w:type="dxa"/>
            <w:vAlign w:val="center"/>
          </w:tcPr>
          <w:p w14:paraId="608F615F" w14:textId="77777777" w:rsidR="00F158F4" w:rsidRPr="00E63DCC" w:rsidRDefault="00F158F4" w:rsidP="001A527B">
            <w:pPr>
              <w:pStyle w:val="Tabletext0"/>
              <w:spacing w:after="0" w:line="240" w:lineRule="auto"/>
            </w:pPr>
            <w:r w:rsidRPr="00E63DCC">
              <w:t>Quantitative</w:t>
            </w:r>
          </w:p>
        </w:tc>
        <w:tc>
          <w:tcPr>
            <w:tcW w:w="2552" w:type="dxa"/>
            <w:vAlign w:val="center"/>
          </w:tcPr>
          <w:p w14:paraId="7797548C" w14:textId="01A146FB" w:rsidR="00F158F4" w:rsidRPr="00E63DCC" w:rsidRDefault="00FF6DAE" w:rsidP="001A527B">
            <w:pPr>
              <w:pStyle w:val="Tabletext0"/>
              <w:spacing w:after="0" w:line="240" w:lineRule="auto"/>
            </w:pPr>
            <w:r w:rsidRPr="00E63DCC">
              <w:t>NA</w:t>
            </w:r>
          </w:p>
        </w:tc>
        <w:tc>
          <w:tcPr>
            <w:tcW w:w="2268" w:type="dxa"/>
            <w:vAlign w:val="center"/>
          </w:tcPr>
          <w:p w14:paraId="0393734D" w14:textId="77777777" w:rsidR="00F158F4" w:rsidRPr="00E63DCC" w:rsidRDefault="00F158F4" w:rsidP="001A527B">
            <w:pPr>
              <w:pStyle w:val="Tabletext0"/>
              <w:spacing w:after="0" w:line="240" w:lineRule="auto"/>
            </w:pPr>
            <w:r w:rsidRPr="00E63DCC">
              <w:t>Descriptive</w:t>
            </w:r>
          </w:p>
        </w:tc>
      </w:tr>
      <w:tr w:rsidR="0085000A" w:rsidRPr="00E63DCC" w14:paraId="7442DADB" w14:textId="77777777" w:rsidTr="001A527B">
        <w:tc>
          <w:tcPr>
            <w:tcW w:w="15452" w:type="dxa"/>
            <w:gridSpan w:val="6"/>
            <w:shd w:val="clear" w:color="auto" w:fill="FFFF99"/>
            <w:vAlign w:val="center"/>
          </w:tcPr>
          <w:p w14:paraId="0538EF59" w14:textId="77777777" w:rsidR="0085000A" w:rsidRPr="00E63DCC" w:rsidRDefault="0085000A" w:rsidP="001A527B">
            <w:pPr>
              <w:pStyle w:val="Tabletext0"/>
              <w:spacing w:after="0" w:line="240" w:lineRule="auto"/>
            </w:pPr>
            <w:r w:rsidRPr="00E63DCC">
              <w:t>Direct observation</w:t>
            </w:r>
            <w:r w:rsidR="00B20C92" w:rsidRPr="00E63DCC">
              <w:t>s</w:t>
            </w:r>
          </w:p>
        </w:tc>
      </w:tr>
      <w:tr w:rsidR="001A527B" w:rsidRPr="00E63DCC" w14:paraId="74789B62" w14:textId="77777777" w:rsidTr="001A527B">
        <w:tc>
          <w:tcPr>
            <w:tcW w:w="3946" w:type="dxa"/>
            <w:vAlign w:val="center"/>
          </w:tcPr>
          <w:p w14:paraId="43D3063C" w14:textId="77777777" w:rsidR="0085000A" w:rsidRPr="00E63DCC" w:rsidRDefault="0067164F" w:rsidP="001A527B">
            <w:pPr>
              <w:pStyle w:val="Tabletext0"/>
              <w:spacing w:after="0" w:line="240" w:lineRule="auto"/>
            </w:pPr>
            <w:r w:rsidRPr="00E63DCC">
              <w:t>Direct observations</w:t>
            </w:r>
          </w:p>
        </w:tc>
        <w:tc>
          <w:tcPr>
            <w:tcW w:w="3142" w:type="dxa"/>
            <w:vAlign w:val="center"/>
          </w:tcPr>
          <w:p w14:paraId="11A2FD3F" w14:textId="77777777" w:rsidR="0085000A" w:rsidRPr="00E63DCC" w:rsidRDefault="0067164F" w:rsidP="001A527B">
            <w:pPr>
              <w:pStyle w:val="Tabletext0"/>
              <w:spacing w:after="0" w:line="240" w:lineRule="auto"/>
            </w:pPr>
            <w:r w:rsidRPr="00E63DCC">
              <w:t>Site walk-through tool</w:t>
            </w:r>
          </w:p>
        </w:tc>
        <w:tc>
          <w:tcPr>
            <w:tcW w:w="1560" w:type="dxa"/>
            <w:vAlign w:val="center"/>
          </w:tcPr>
          <w:p w14:paraId="34DA1E5F" w14:textId="2440BAD9" w:rsidR="0085000A" w:rsidRPr="00E63DCC" w:rsidRDefault="0067164F" w:rsidP="00B56BC5">
            <w:pPr>
              <w:pStyle w:val="Tabletext0"/>
              <w:spacing w:after="0" w:line="240" w:lineRule="auto"/>
            </w:pPr>
            <w:r w:rsidRPr="00E63DCC">
              <w:t>Annex</w:t>
            </w:r>
            <w:r w:rsidR="00DB55A5" w:rsidRPr="00E63DCC">
              <w:t xml:space="preserve"> </w:t>
            </w:r>
            <w:r w:rsidR="00AB4CB9" w:rsidRPr="00E63DCC">
              <w:t>10</w:t>
            </w:r>
          </w:p>
        </w:tc>
        <w:tc>
          <w:tcPr>
            <w:tcW w:w="1984" w:type="dxa"/>
            <w:vAlign w:val="center"/>
          </w:tcPr>
          <w:p w14:paraId="2ECBFD1A" w14:textId="77777777" w:rsidR="0085000A" w:rsidRPr="00E63DCC" w:rsidRDefault="0067164F" w:rsidP="001A527B">
            <w:pPr>
              <w:pStyle w:val="Tabletext0"/>
              <w:spacing w:after="0" w:line="240" w:lineRule="auto"/>
            </w:pPr>
            <w:r w:rsidRPr="00E63DCC">
              <w:t>Qualitative</w:t>
            </w:r>
          </w:p>
        </w:tc>
        <w:tc>
          <w:tcPr>
            <w:tcW w:w="2552" w:type="dxa"/>
            <w:vAlign w:val="center"/>
          </w:tcPr>
          <w:p w14:paraId="62B99912" w14:textId="736C0C5E" w:rsidR="0085000A" w:rsidRPr="00E63DCC" w:rsidRDefault="00763EDB" w:rsidP="001A527B">
            <w:pPr>
              <w:pStyle w:val="Tabletext0"/>
              <w:spacing w:after="0" w:line="240" w:lineRule="auto"/>
            </w:pPr>
            <w:r w:rsidRPr="00E63DCC">
              <w:t>[X]</w:t>
            </w:r>
            <w:r w:rsidR="0067164F" w:rsidRPr="00E63DCC">
              <w:t xml:space="preserve"> per site</w:t>
            </w:r>
          </w:p>
        </w:tc>
        <w:tc>
          <w:tcPr>
            <w:tcW w:w="2268" w:type="dxa"/>
            <w:vAlign w:val="center"/>
          </w:tcPr>
          <w:p w14:paraId="05324473" w14:textId="77777777" w:rsidR="0085000A" w:rsidRPr="00E63DCC" w:rsidRDefault="0067164F" w:rsidP="001A527B">
            <w:pPr>
              <w:pStyle w:val="Tabletext0"/>
              <w:spacing w:after="0" w:line="240" w:lineRule="auto"/>
            </w:pPr>
            <w:r w:rsidRPr="00E63DCC">
              <w:t>Descriptive</w:t>
            </w:r>
          </w:p>
        </w:tc>
      </w:tr>
    </w:tbl>
    <w:p w14:paraId="30B14977" w14:textId="4ABE2383" w:rsidR="006E21A9" w:rsidRPr="00E63DCC" w:rsidRDefault="002F4516" w:rsidP="000929E8">
      <w:pPr>
        <w:spacing w:after="0"/>
        <w:rPr>
          <w:sz w:val="20"/>
          <w:szCs w:val="20"/>
          <w:lang w:val="en-GB"/>
        </w:rPr>
        <w:sectPr w:rsidR="006E21A9" w:rsidRPr="00E63DCC" w:rsidSect="00091C41">
          <w:headerReference w:type="default" r:id="rId16"/>
          <w:pgSz w:w="16838" w:h="11906" w:orient="landscape"/>
          <w:pgMar w:top="1440" w:right="1440" w:bottom="1440" w:left="1440" w:header="720" w:footer="720" w:gutter="0"/>
          <w:cols w:space="708"/>
          <w:docGrid w:linePitch="360"/>
        </w:sectPr>
      </w:pPr>
      <w:r w:rsidRPr="00E63DCC">
        <w:rPr>
          <w:sz w:val="20"/>
          <w:szCs w:val="20"/>
          <w:lang w:val="en-GB"/>
        </w:rPr>
        <w:t xml:space="preserve">a. The listed annexes are attached to the step-by-step guide </w:t>
      </w:r>
      <w:r w:rsidRPr="00E63DCC">
        <w:rPr>
          <w:i/>
          <w:sz w:val="20"/>
          <w:szCs w:val="20"/>
          <w:lang w:val="en-GB"/>
        </w:rPr>
        <w:t>(8)</w:t>
      </w:r>
      <w:r w:rsidRPr="00E63DCC">
        <w:rPr>
          <w:sz w:val="20"/>
          <w:szCs w:val="20"/>
          <w:lang w:val="en-GB"/>
        </w:rPr>
        <w:t>.</w:t>
      </w:r>
    </w:p>
    <w:p w14:paraId="1C5C2E74" w14:textId="71383E24" w:rsidR="00B973D8" w:rsidRPr="00E63DCC" w:rsidRDefault="009C6FC4" w:rsidP="00A5640C">
      <w:pPr>
        <w:pStyle w:val="Heading2"/>
        <w:rPr>
          <w:lang w:val="en-GB"/>
        </w:rPr>
      </w:pPr>
      <w:bookmarkStart w:id="47" w:name="_Toc70926815"/>
      <w:bookmarkEnd w:id="26"/>
      <w:r w:rsidRPr="00E63DCC">
        <w:rPr>
          <w:lang w:val="en-GB"/>
        </w:rPr>
        <w:lastRenderedPageBreak/>
        <w:t>3.6</w:t>
      </w:r>
      <w:r w:rsidRPr="00E63DCC">
        <w:rPr>
          <w:lang w:val="en-GB"/>
        </w:rPr>
        <w:tab/>
        <w:t>D</w:t>
      </w:r>
      <w:r w:rsidR="008A0373" w:rsidRPr="00E63DCC">
        <w:rPr>
          <w:lang w:val="en-GB"/>
        </w:rPr>
        <w:t>ata management</w:t>
      </w:r>
      <w:bookmarkEnd w:id="47"/>
    </w:p>
    <w:p w14:paraId="176ED1EA" w14:textId="15B4E7E9" w:rsidR="00461006" w:rsidRPr="00E63DCC" w:rsidRDefault="009C6FC4" w:rsidP="00A5640C">
      <w:pPr>
        <w:pStyle w:val="Heading3"/>
      </w:pPr>
      <w:bookmarkStart w:id="48" w:name="_Toc70926816"/>
      <w:r w:rsidRPr="00E63DCC">
        <w:t>3.6.1</w:t>
      </w:r>
      <w:r w:rsidRPr="00E63DCC">
        <w:tab/>
        <w:t>D</w:t>
      </w:r>
      <w:r w:rsidR="00461006" w:rsidRPr="00E63DCC">
        <w:t>ata recording</w:t>
      </w:r>
      <w:bookmarkEnd w:id="48"/>
    </w:p>
    <w:p w14:paraId="7AACDA42" w14:textId="4FC2360B" w:rsidR="008B7298" w:rsidRPr="00E63DCC" w:rsidRDefault="008B7298" w:rsidP="00A5640C">
      <w:pPr>
        <w:rPr>
          <w:lang w:val="en-GB"/>
        </w:rPr>
      </w:pPr>
      <w:r w:rsidRPr="00E63DCC">
        <w:rPr>
          <w:lang w:val="en-GB"/>
        </w:rPr>
        <w:t>Data from KIIs and FGDs will be directly recorded in the ques</w:t>
      </w:r>
      <w:r w:rsidR="009C6FC4" w:rsidRPr="00E63DCC">
        <w:rPr>
          <w:lang w:val="en-GB"/>
        </w:rPr>
        <w:t xml:space="preserve">tionnaire in the field either (a) by </w:t>
      </w:r>
      <w:r w:rsidRPr="00E63DCC">
        <w:rPr>
          <w:lang w:val="en-GB"/>
        </w:rPr>
        <w:t>paper-based hand-written recording of answers</w:t>
      </w:r>
      <w:r w:rsidR="009C6FC4" w:rsidRPr="00E63DCC">
        <w:rPr>
          <w:lang w:val="en-GB"/>
        </w:rPr>
        <w:t>; or (b</w:t>
      </w:r>
      <w:r w:rsidRPr="00E63DCC">
        <w:rPr>
          <w:lang w:val="en-GB"/>
        </w:rPr>
        <w:t>)</w:t>
      </w:r>
      <w:r w:rsidR="009C6FC4" w:rsidRPr="00E63DCC">
        <w:rPr>
          <w:lang w:val="en-GB"/>
        </w:rPr>
        <w:t xml:space="preserve"> by entering </w:t>
      </w:r>
      <w:r w:rsidRPr="00E63DCC">
        <w:rPr>
          <w:lang w:val="en-GB"/>
        </w:rPr>
        <w:t xml:space="preserve">answers and keywords directly into </w:t>
      </w:r>
      <w:r w:rsidR="009C6FC4" w:rsidRPr="00E63DCC">
        <w:rPr>
          <w:lang w:val="en-GB"/>
        </w:rPr>
        <w:t>a</w:t>
      </w:r>
      <w:r w:rsidR="00522A28" w:rsidRPr="00E63DCC">
        <w:rPr>
          <w:lang w:val="en-GB"/>
        </w:rPr>
        <w:t xml:space="preserve"> handheld device or laptop computer</w:t>
      </w:r>
      <w:r w:rsidRPr="00E63DCC">
        <w:rPr>
          <w:lang w:val="en-GB"/>
        </w:rPr>
        <w:t>. In</w:t>
      </w:r>
      <w:r w:rsidR="009C6FC4" w:rsidRPr="00E63DCC">
        <w:rPr>
          <w:lang w:val="en-GB"/>
        </w:rPr>
        <w:t xml:space="preserve"> the</w:t>
      </w:r>
      <w:r w:rsidRPr="00E63DCC">
        <w:rPr>
          <w:lang w:val="en-GB"/>
        </w:rPr>
        <w:t xml:space="preserve"> case of</w:t>
      </w:r>
      <w:r w:rsidR="009C6FC4" w:rsidRPr="00E63DCC">
        <w:rPr>
          <w:lang w:val="en-GB"/>
        </w:rPr>
        <w:t xml:space="preserve"> notes by</w:t>
      </w:r>
      <w:r w:rsidRPr="00E63DCC">
        <w:rPr>
          <w:lang w:val="en-GB"/>
        </w:rPr>
        <w:t xml:space="preserve"> hand, answers will subsequently be entered into</w:t>
      </w:r>
      <w:r w:rsidR="009C6FC4" w:rsidRPr="00E63DCC">
        <w:rPr>
          <w:lang w:val="en-GB"/>
        </w:rPr>
        <w:t xml:space="preserve"> a</w:t>
      </w:r>
      <w:r w:rsidRPr="00E63DCC">
        <w:rPr>
          <w:lang w:val="en-GB"/>
        </w:rPr>
        <w:t xml:space="preserve"> computer. KIIs and FGD</w:t>
      </w:r>
      <w:r w:rsidR="009C6FC4" w:rsidRPr="00E63DCC">
        <w:rPr>
          <w:lang w:val="en-GB"/>
        </w:rPr>
        <w:t xml:space="preserve">s will not be recorded on tape </w:t>
      </w:r>
      <w:r w:rsidRPr="00E63DCC">
        <w:rPr>
          <w:lang w:val="en-GB"/>
        </w:rPr>
        <w:t>or transcribed.</w:t>
      </w:r>
    </w:p>
    <w:p w14:paraId="47598FC3" w14:textId="77777777" w:rsidR="008B7298" w:rsidRPr="00E63DCC" w:rsidRDefault="008B7298" w:rsidP="00A5640C">
      <w:pPr>
        <w:rPr>
          <w:lang w:val="en-GB"/>
        </w:rPr>
      </w:pPr>
      <w:r w:rsidRPr="00E63DCC">
        <w:rPr>
          <w:lang w:val="en-GB"/>
        </w:rPr>
        <w:t>[Please adapt the paragraphs above to your study. Additionally, mention here the sample sizes you chose for each study site, and for each method (KII, FGD, HFA) separately.]</w:t>
      </w:r>
    </w:p>
    <w:p w14:paraId="2AAEF6B8" w14:textId="604C417A" w:rsidR="008A0373" w:rsidRPr="00E63DCC" w:rsidRDefault="009C6FC4" w:rsidP="00A5640C">
      <w:pPr>
        <w:pStyle w:val="Heading3"/>
      </w:pPr>
      <w:bookmarkStart w:id="49" w:name="_Toc70926817"/>
      <w:r w:rsidRPr="00E63DCC">
        <w:t>3.6.2</w:t>
      </w:r>
      <w:r w:rsidRPr="00E63DCC">
        <w:tab/>
        <w:t>D</w:t>
      </w:r>
      <w:r w:rsidR="008A0373" w:rsidRPr="00E63DCC">
        <w:t xml:space="preserve">ata </w:t>
      </w:r>
      <w:r w:rsidR="00C0215D" w:rsidRPr="00E63DCC">
        <w:t>protection and confidentiality</w:t>
      </w:r>
      <w:bookmarkEnd w:id="49"/>
    </w:p>
    <w:p w14:paraId="0412FF53" w14:textId="7C9D8A4D" w:rsidR="008B7298" w:rsidRPr="00E63DCC" w:rsidRDefault="008B7298" w:rsidP="00A5640C">
      <w:pPr>
        <w:rPr>
          <w:lang w:val="en-GB"/>
        </w:rPr>
      </w:pPr>
      <w:r w:rsidRPr="00E63DCC">
        <w:rPr>
          <w:lang w:val="en-GB"/>
        </w:rPr>
        <w:t xml:space="preserve">[Please describe here </w:t>
      </w:r>
      <w:r w:rsidR="00974D47" w:rsidRPr="00E63DCC">
        <w:rPr>
          <w:lang w:val="en-GB"/>
        </w:rPr>
        <w:t>where</w:t>
      </w:r>
      <w:r w:rsidRPr="00E63DCC">
        <w:rPr>
          <w:lang w:val="en-GB"/>
        </w:rPr>
        <w:t xml:space="preserve"> the data will be stored</w:t>
      </w:r>
      <w:r w:rsidR="00974D47" w:rsidRPr="00E63DCC">
        <w:rPr>
          <w:lang w:val="en-GB"/>
        </w:rPr>
        <w:t xml:space="preserve">, who has access and how the data </w:t>
      </w:r>
      <w:r w:rsidR="00C747AB" w:rsidRPr="00E63DCC">
        <w:rPr>
          <w:lang w:val="en-GB"/>
        </w:rPr>
        <w:t>are</w:t>
      </w:r>
      <w:r w:rsidR="00974D47" w:rsidRPr="00E63DCC">
        <w:rPr>
          <w:lang w:val="en-GB"/>
        </w:rPr>
        <w:t xml:space="preserve"> protected</w:t>
      </w:r>
      <w:r w:rsidR="00C747AB" w:rsidRPr="00E63DCC">
        <w:rPr>
          <w:lang w:val="en-GB"/>
        </w:rPr>
        <w:t xml:space="preserve"> –</w:t>
      </w:r>
      <w:r w:rsidRPr="00E63DCC">
        <w:rPr>
          <w:lang w:val="en-GB"/>
        </w:rPr>
        <w:t xml:space="preserve"> </w:t>
      </w:r>
      <w:r w:rsidR="00974D47" w:rsidRPr="00E63DCC">
        <w:rPr>
          <w:lang w:val="en-GB"/>
        </w:rPr>
        <w:t>through</w:t>
      </w:r>
      <w:r w:rsidRPr="00E63DCC">
        <w:rPr>
          <w:lang w:val="en-GB"/>
        </w:rPr>
        <w:t xml:space="preserve"> passwords, an encrypted server or similar.]</w:t>
      </w:r>
      <w:r w:rsidR="00974D47" w:rsidRPr="00E63DCC">
        <w:rPr>
          <w:lang w:val="en-GB"/>
        </w:rPr>
        <w:t xml:space="preserve"> </w:t>
      </w:r>
      <w:r w:rsidRPr="00E63DCC">
        <w:rPr>
          <w:lang w:val="en-GB"/>
        </w:rPr>
        <w:t>No individual data will be given out to third parties. Names will only be obtained for the informed written consent and</w:t>
      </w:r>
      <w:r w:rsidR="00C747AB" w:rsidRPr="00E63DCC">
        <w:rPr>
          <w:lang w:val="en-GB"/>
        </w:rPr>
        <w:t xml:space="preserve"> will</w:t>
      </w:r>
      <w:r w:rsidRPr="00E63DCC">
        <w:rPr>
          <w:lang w:val="en-GB"/>
        </w:rPr>
        <w:t xml:space="preserve"> not be associated with any of the data collected, including photographs. Names and signatures will not be shared or used. No names will be mentioned or appear in any documentation and dissemination of the research findings or photographs.</w:t>
      </w:r>
    </w:p>
    <w:p w14:paraId="0EFA57A7" w14:textId="3618E5AE" w:rsidR="008A0373" w:rsidRPr="00E63DCC" w:rsidRDefault="005A611A" w:rsidP="00A5640C">
      <w:pPr>
        <w:pStyle w:val="Heading3"/>
      </w:pPr>
      <w:bookmarkStart w:id="50" w:name="_Toc70926818"/>
      <w:r w:rsidRPr="00E63DCC">
        <w:t>3.6.3</w:t>
      </w:r>
      <w:r w:rsidRPr="00E63DCC">
        <w:tab/>
        <w:t>D</w:t>
      </w:r>
      <w:r w:rsidR="00BF6500" w:rsidRPr="00E63DCC">
        <w:t>ata ownership and sharing</w:t>
      </w:r>
      <w:bookmarkEnd w:id="50"/>
    </w:p>
    <w:p w14:paraId="121181E2" w14:textId="72BEC442" w:rsidR="007E2817" w:rsidRPr="00E63DCC" w:rsidRDefault="007E2817" w:rsidP="00A5640C">
      <w:pPr>
        <w:rPr>
          <w:lang w:val="en-GB"/>
        </w:rPr>
      </w:pPr>
      <w:r w:rsidRPr="00E63DCC">
        <w:rPr>
          <w:lang w:val="en-GB"/>
        </w:rPr>
        <w:t xml:space="preserve">[Please provide here an overview </w:t>
      </w:r>
      <w:r w:rsidR="005A611A" w:rsidRPr="00E63DCC">
        <w:rPr>
          <w:lang w:val="en-GB"/>
        </w:rPr>
        <w:t>of</w:t>
      </w:r>
      <w:r w:rsidRPr="00E63DCC">
        <w:rPr>
          <w:lang w:val="en-GB"/>
        </w:rPr>
        <w:t xml:space="preserve"> data ownership and possible agreements with national or international organizations regarding the ownership and sharing of the data.] </w:t>
      </w:r>
    </w:p>
    <w:p w14:paraId="40EDA5A9" w14:textId="1A790C9A" w:rsidR="007E2817" w:rsidRPr="00E63DCC" w:rsidRDefault="007E2817" w:rsidP="00DC1850">
      <w:pPr>
        <w:pStyle w:val="Normalboldhead"/>
      </w:pPr>
      <w:r w:rsidRPr="00E63DCC">
        <w:t>Example from Nigeria [delete in final version of your study protocol]:</w:t>
      </w:r>
    </w:p>
    <w:p w14:paraId="29F92B20" w14:textId="2E5CD42A" w:rsidR="007E2817" w:rsidRPr="00E63DCC" w:rsidRDefault="007E2817" w:rsidP="00A5640C">
      <w:pPr>
        <w:rPr>
          <w:lang w:val="en-GB"/>
        </w:rPr>
      </w:pPr>
      <w:r w:rsidRPr="00E63DCC">
        <w:rPr>
          <w:lang w:val="en-GB"/>
        </w:rPr>
        <w:t>Data are the basis for all sound public health actions and the benefits of data sharing are widely recognized, including scientific and public health benefits. Whenever possible, WHO wishes to promote the sharing of health data, including surveillance and epidemiological data. In this connection, and without prejudice to information</w:t>
      </w:r>
      <w:r w:rsidR="000E231D" w:rsidRPr="00E63DCC">
        <w:rPr>
          <w:lang w:val="en-GB"/>
        </w:rPr>
        <w:t xml:space="preserve"> </w:t>
      </w:r>
      <w:r w:rsidRPr="00E63DCC">
        <w:rPr>
          <w:lang w:val="en-GB"/>
        </w:rPr>
        <w:t>sharing pursuant to the International Health Regulations and other legally binding instruments (</w:t>
      </w:r>
      <w:r w:rsidR="000E231D" w:rsidRPr="00E63DCC">
        <w:rPr>
          <w:lang w:val="en-GB"/>
        </w:rPr>
        <w:t xml:space="preserve">such as </w:t>
      </w:r>
      <w:r w:rsidRPr="00E63DCC">
        <w:rPr>
          <w:lang w:val="en-GB"/>
        </w:rPr>
        <w:t>the WHO Nomenclature Regulations 1967), by providing data to WHO, the Ministry of Health of Nigeria will sign an agreement that it:</w:t>
      </w:r>
    </w:p>
    <w:p w14:paraId="56F830E8" w14:textId="64D8A78E" w:rsidR="007E2817" w:rsidRPr="00E63DCC" w:rsidRDefault="007E2817" w:rsidP="00DC1850">
      <w:pPr>
        <w:pStyle w:val="Bulletlist"/>
      </w:pPr>
      <w:r w:rsidRPr="00E63DCC">
        <w:t>confirm</w:t>
      </w:r>
      <w:r w:rsidR="0007672E" w:rsidRPr="00E63DCC">
        <w:t>s</w:t>
      </w:r>
      <w:r w:rsidRPr="00E63DCC">
        <w:t xml:space="preserve"> that all data to be supplied to WHO hereunder have been collected in accordance with applicable national laws, including data protection laws aimed at protecting the confidentiality of identifiable persons;</w:t>
      </w:r>
    </w:p>
    <w:p w14:paraId="54F88DEF" w14:textId="0DDD8893" w:rsidR="00C50421" w:rsidRPr="00E63DCC" w:rsidRDefault="007E2817" w:rsidP="00DC1850">
      <w:pPr>
        <w:pStyle w:val="Bulletlist"/>
      </w:pPr>
      <w:r w:rsidRPr="00E63DCC">
        <w:t>agree</w:t>
      </w:r>
      <w:r w:rsidR="0007672E" w:rsidRPr="00E63DCC">
        <w:t>s</w:t>
      </w:r>
      <w:r w:rsidRPr="00E63DCC">
        <w:t xml:space="preserve"> that WHO shall be entitled, subject always to measures to ensure the ethical and secure use of the data, and subject always to an appropriate acknowledgement of </w:t>
      </w:r>
      <w:r w:rsidR="0007672E" w:rsidRPr="00E63DCC">
        <w:t>the country</w:t>
      </w:r>
      <w:r w:rsidRPr="00E63DCC">
        <w:t>:</w:t>
      </w:r>
    </w:p>
    <w:p w14:paraId="634D33D8" w14:textId="19BB2D0C" w:rsidR="007E2817" w:rsidRPr="00E63DCC" w:rsidRDefault="00C50421" w:rsidP="00DC1850">
      <w:pPr>
        <w:pStyle w:val="Bulletlist2"/>
      </w:pPr>
      <w:r w:rsidRPr="00E63DCC">
        <w:t>to publish the data, stripped of any personal identifiers</w:t>
      </w:r>
      <w:r w:rsidR="0007672E" w:rsidRPr="00E63DCC">
        <w:t>,</w:t>
      </w:r>
      <w:r w:rsidRPr="00E63DCC">
        <w:t xml:space="preserve"> and make the data available to any interested party on request (to the extent</w:t>
      </w:r>
      <w:r w:rsidR="00932391" w:rsidRPr="00E63DCC">
        <w:t xml:space="preserve"> that</w:t>
      </w:r>
      <w:r w:rsidRPr="00E63DCC">
        <w:t xml:space="preserve"> they have not, or not yet, been published by WHO) on terms that allow non-commercial, not-for-profit </w:t>
      </w:r>
      <w:r w:rsidRPr="00E63DCC">
        <w:lastRenderedPageBreak/>
        <w:t xml:space="preserve">use of the data for public health purposes (provided always that publication of the </w:t>
      </w:r>
      <w:r w:rsidR="00932391" w:rsidRPr="00E63DCC">
        <w:t>d</w:t>
      </w:r>
      <w:r w:rsidRPr="00E63DCC">
        <w:t xml:space="preserve">ata shall remain under the control of WHO); </w:t>
      </w:r>
    </w:p>
    <w:p w14:paraId="2F474D0C" w14:textId="3CBBEC64" w:rsidR="00C50421" w:rsidRPr="00E63DCC" w:rsidRDefault="00C50421" w:rsidP="00DC1850">
      <w:pPr>
        <w:pStyle w:val="Bulletlist2"/>
      </w:pPr>
      <w:r w:rsidRPr="00E63DCC">
        <w:t>to use, compile, aggregate, evaluate and analy</w:t>
      </w:r>
      <w:r w:rsidR="00932391" w:rsidRPr="00E63DCC">
        <w:t>s</w:t>
      </w:r>
      <w:r w:rsidRPr="00E63DCC">
        <w:t>e the data and publish and disseminate the results thereof in conjunction with WHO’s work and in accordance with the Organization’s policies and practices</w:t>
      </w:r>
      <w:r w:rsidR="00670E36" w:rsidRPr="00E63DCC">
        <w:t xml:space="preserve"> </w:t>
      </w:r>
      <w:r w:rsidR="00670E36" w:rsidRPr="00E63DCC">
        <w:rPr>
          <w:i/>
        </w:rPr>
        <w:t>(12)</w:t>
      </w:r>
      <w:r w:rsidRPr="00E63DCC">
        <w:t>.</w:t>
      </w:r>
    </w:p>
    <w:p w14:paraId="1C67426C" w14:textId="690B95A3" w:rsidR="007E2817" w:rsidRPr="00E63DCC" w:rsidRDefault="007E2817" w:rsidP="00A5640C">
      <w:pPr>
        <w:rPr>
          <w:lang w:val="en-GB"/>
        </w:rPr>
      </w:pPr>
      <w:r w:rsidRPr="00E63DCC">
        <w:rPr>
          <w:lang w:val="en-GB"/>
        </w:rPr>
        <w:t>As per</w:t>
      </w:r>
      <w:r w:rsidR="000E231D" w:rsidRPr="00E63DCC">
        <w:rPr>
          <w:lang w:val="en-GB"/>
        </w:rPr>
        <w:t xml:space="preserve"> the</w:t>
      </w:r>
      <w:r w:rsidRPr="00E63DCC">
        <w:rPr>
          <w:lang w:val="en-GB"/>
        </w:rPr>
        <w:t xml:space="preserve"> contractual agreement between WHO and UNIDO</w:t>
      </w:r>
      <w:r w:rsidR="000E231D" w:rsidRPr="00E63DCC">
        <w:rPr>
          <w:lang w:val="en-GB"/>
        </w:rPr>
        <w:t>:</w:t>
      </w:r>
      <w:r w:rsidRPr="00E63DCC">
        <w:rPr>
          <w:lang w:val="en-GB"/>
        </w:rPr>
        <w:t xml:space="preserve"> “All intellectual property rights related to the activities will belong to the recipient agency. The contributing agency and, if applicable, the relevant programme Government will enjoy a perpetual, royalty-free, non-exclusive and non-transferable licence.”</w:t>
      </w:r>
      <w:r w:rsidR="00DC1850" w:rsidRPr="00E63DCC">
        <w:rPr>
          <w:lang w:val="en-GB"/>
        </w:rPr>
        <w:t xml:space="preserve"> H</w:t>
      </w:r>
      <w:r w:rsidRPr="00E63DCC">
        <w:rPr>
          <w:lang w:val="en-GB"/>
        </w:rPr>
        <w:t>ence, UNIDO is not the executing agency for the research and does not own the data.</w:t>
      </w:r>
    </w:p>
    <w:p w14:paraId="246FA15F" w14:textId="7C786DBF" w:rsidR="006A3975" w:rsidRPr="00E63DCC" w:rsidRDefault="00DC1850" w:rsidP="00A5640C">
      <w:pPr>
        <w:rPr>
          <w:lang w:val="en-GB"/>
        </w:rPr>
      </w:pPr>
      <w:r w:rsidRPr="00E63DCC">
        <w:rPr>
          <w:lang w:val="en-GB"/>
        </w:rPr>
        <w:t>The Swiss Tropical and Public Health Institute</w:t>
      </w:r>
      <w:r w:rsidR="007E2817" w:rsidRPr="00E63DCC">
        <w:rPr>
          <w:lang w:val="en-GB"/>
        </w:rPr>
        <w:t xml:space="preserve"> hands over all data to WHO at the end of the study.</w:t>
      </w:r>
    </w:p>
    <w:p w14:paraId="698E76F3" w14:textId="0D1D758D" w:rsidR="008A0373" w:rsidRPr="00E63DCC" w:rsidRDefault="00A157BF" w:rsidP="00A5640C">
      <w:pPr>
        <w:pStyle w:val="Heading2"/>
        <w:rPr>
          <w:lang w:val="en-GB"/>
        </w:rPr>
      </w:pPr>
      <w:bookmarkStart w:id="51" w:name="_Toc70926819"/>
      <w:r w:rsidRPr="00E63DCC">
        <w:rPr>
          <w:lang w:val="en-GB"/>
        </w:rPr>
        <w:t>3.7</w:t>
      </w:r>
      <w:r w:rsidRPr="00E63DCC">
        <w:rPr>
          <w:lang w:val="en-GB"/>
        </w:rPr>
        <w:tab/>
        <w:t>D</w:t>
      </w:r>
      <w:r w:rsidR="008A0373" w:rsidRPr="00E63DCC">
        <w:rPr>
          <w:lang w:val="en-GB"/>
        </w:rPr>
        <w:t>ata analysis</w:t>
      </w:r>
      <w:bookmarkEnd w:id="51"/>
    </w:p>
    <w:p w14:paraId="19764662" w14:textId="3E335D57" w:rsidR="008A0373" w:rsidRPr="00E63DCC" w:rsidRDefault="00A157BF" w:rsidP="00A5640C">
      <w:pPr>
        <w:pStyle w:val="Heading3"/>
      </w:pPr>
      <w:bookmarkStart w:id="52" w:name="_Toc283557262"/>
      <w:bookmarkStart w:id="53" w:name="_Toc70926820"/>
      <w:r w:rsidRPr="00E63DCC">
        <w:t>3.7.1</w:t>
      </w:r>
      <w:r w:rsidRPr="00E63DCC">
        <w:tab/>
        <w:t>D</w:t>
      </w:r>
      <w:r w:rsidR="008A0373" w:rsidRPr="00E63DCC">
        <w:t>ata</w:t>
      </w:r>
      <w:r w:rsidRPr="00E63DCC">
        <w:t xml:space="preserve"> </w:t>
      </w:r>
      <w:r w:rsidR="008A0373" w:rsidRPr="00E63DCC">
        <w:t>sets to be analy</w:t>
      </w:r>
      <w:r w:rsidR="00DA0F5E" w:rsidRPr="00E63DCC">
        <w:t>s</w:t>
      </w:r>
      <w:r w:rsidR="008A0373" w:rsidRPr="00E63DCC">
        <w:t>ed</w:t>
      </w:r>
      <w:bookmarkEnd w:id="52"/>
      <w:bookmarkEnd w:id="53"/>
    </w:p>
    <w:p w14:paraId="5C6E44B0" w14:textId="4FF37612" w:rsidR="007E2817" w:rsidRPr="00E63DCC" w:rsidRDefault="007E2817" w:rsidP="00A5640C">
      <w:pPr>
        <w:rPr>
          <w:lang w:val="en-GB"/>
        </w:rPr>
      </w:pPr>
      <w:r w:rsidRPr="00E63DCC">
        <w:rPr>
          <w:lang w:val="en-GB"/>
        </w:rPr>
        <w:t>The fo</w:t>
      </w:r>
      <w:r w:rsidR="00DA0F5E" w:rsidRPr="00E63DCC">
        <w:rPr>
          <w:lang w:val="en-GB"/>
        </w:rPr>
        <w:t>llowing data sets will be analys</w:t>
      </w:r>
      <w:r w:rsidRPr="00E63DCC">
        <w:rPr>
          <w:lang w:val="en-GB"/>
        </w:rPr>
        <w:t>ed:</w:t>
      </w:r>
    </w:p>
    <w:p w14:paraId="0D4E05FB" w14:textId="7F12B4C6" w:rsidR="007E2817" w:rsidRPr="00E63DCC" w:rsidRDefault="00A157BF" w:rsidP="009734E2">
      <w:pPr>
        <w:pStyle w:val="Bulletlist"/>
      </w:pPr>
      <w:r w:rsidRPr="00E63DCC">
        <w:t>s</w:t>
      </w:r>
      <w:r w:rsidR="007E2817" w:rsidRPr="00E63DCC">
        <w:t>emi-structured KII questionnaire</w:t>
      </w:r>
    </w:p>
    <w:p w14:paraId="05483332" w14:textId="2D36628B" w:rsidR="007E2817" w:rsidRPr="00E63DCC" w:rsidRDefault="00A157BF" w:rsidP="009734E2">
      <w:pPr>
        <w:pStyle w:val="Bulletlist"/>
      </w:pPr>
      <w:r w:rsidRPr="00E63DCC">
        <w:t>s</w:t>
      </w:r>
      <w:r w:rsidR="007E2817" w:rsidRPr="00E63DCC">
        <w:t>emi-structured FGD questionnaire</w:t>
      </w:r>
    </w:p>
    <w:p w14:paraId="3DE0C3CE" w14:textId="39034AC1" w:rsidR="007E2817" w:rsidRPr="00E63DCC" w:rsidRDefault="007E2817" w:rsidP="009734E2">
      <w:pPr>
        <w:pStyle w:val="Bulletlist"/>
      </w:pPr>
      <w:r w:rsidRPr="00E63DCC">
        <w:t>HFA tool</w:t>
      </w:r>
    </w:p>
    <w:p w14:paraId="72C489FA" w14:textId="7BCEF26C" w:rsidR="007E2817" w:rsidRPr="00E63DCC" w:rsidRDefault="00A157BF" w:rsidP="009734E2">
      <w:pPr>
        <w:pStyle w:val="Bulletlist"/>
      </w:pPr>
      <w:r w:rsidRPr="00E63DCC">
        <w:t>h</w:t>
      </w:r>
      <w:r w:rsidR="007E2817" w:rsidRPr="00E63DCC">
        <w:t>ealth statistics</w:t>
      </w:r>
    </w:p>
    <w:p w14:paraId="61D494AC" w14:textId="5678A831" w:rsidR="007E2817" w:rsidRPr="00E63DCC" w:rsidRDefault="00A157BF" w:rsidP="009734E2">
      <w:pPr>
        <w:pStyle w:val="Bulletlist"/>
      </w:pPr>
      <w:r w:rsidRPr="00E63DCC">
        <w:t>o</w:t>
      </w:r>
      <w:r w:rsidR="007E2817" w:rsidRPr="00E63DCC">
        <w:t>bservational data</w:t>
      </w:r>
      <w:r w:rsidRPr="00E63DCC">
        <w:t>.</w:t>
      </w:r>
    </w:p>
    <w:p w14:paraId="2C2FFF71" w14:textId="505D8847" w:rsidR="00B810D2" w:rsidRPr="00E63DCC" w:rsidRDefault="00A157BF" w:rsidP="00A5640C">
      <w:pPr>
        <w:pStyle w:val="Heading3"/>
      </w:pPr>
      <w:bookmarkStart w:id="54" w:name="_Toc70926821"/>
      <w:r w:rsidRPr="00E63DCC">
        <w:t>3.7.2</w:t>
      </w:r>
      <w:r w:rsidRPr="00E63DCC">
        <w:tab/>
        <w:t>D</w:t>
      </w:r>
      <w:r w:rsidR="00B810D2" w:rsidRPr="00E63DCC">
        <w:t>ata analysis and reporting</w:t>
      </w:r>
      <w:bookmarkEnd w:id="54"/>
    </w:p>
    <w:p w14:paraId="37D940C6" w14:textId="713F6427" w:rsidR="0008230C" w:rsidRPr="00E63DCC" w:rsidRDefault="0008230C" w:rsidP="00A5640C">
      <w:pPr>
        <w:rPr>
          <w:lang w:val="en-GB"/>
        </w:rPr>
      </w:pPr>
      <w:r w:rsidRPr="00E63DCC">
        <w:rPr>
          <w:lang w:val="en-GB"/>
        </w:rPr>
        <w:t>The analysis of the qualitative and quantitative data collected will consist of a systematic description of (</w:t>
      </w:r>
      <w:r w:rsidR="00A157BF" w:rsidRPr="00E63DCC">
        <w:rPr>
          <w:lang w:val="en-GB"/>
        </w:rPr>
        <w:t>a</w:t>
      </w:r>
      <w:r w:rsidRPr="00E63DCC">
        <w:rPr>
          <w:lang w:val="en-GB"/>
        </w:rPr>
        <w:t>) the local health system (</w:t>
      </w:r>
      <w:r w:rsidR="00A157BF" w:rsidRPr="00E63DCC">
        <w:rPr>
          <w:lang w:val="en-GB"/>
        </w:rPr>
        <w:t xml:space="preserve">including </w:t>
      </w:r>
      <w:r w:rsidRPr="00E63DCC">
        <w:rPr>
          <w:lang w:val="en-GB"/>
        </w:rPr>
        <w:t>physical health infrastructure, health system coverage, public health programmes); (</w:t>
      </w:r>
      <w:r w:rsidR="00A157BF" w:rsidRPr="00E63DCC">
        <w:rPr>
          <w:lang w:val="en-GB"/>
        </w:rPr>
        <w:t>b</w:t>
      </w:r>
      <w:r w:rsidRPr="00E63DCC">
        <w:rPr>
          <w:lang w:val="en-GB"/>
        </w:rPr>
        <w:t>) social determinants of health (</w:t>
      </w:r>
      <w:r w:rsidR="00A157BF" w:rsidRPr="00E63DCC">
        <w:rPr>
          <w:lang w:val="en-GB"/>
        </w:rPr>
        <w:t xml:space="preserve">including </w:t>
      </w:r>
      <w:r w:rsidRPr="00E63DCC">
        <w:rPr>
          <w:lang w:val="en-GB"/>
        </w:rPr>
        <w:t>general characteristics of ASGM communities, ASGM practices, health</w:t>
      </w:r>
      <w:r w:rsidR="005761FD" w:rsidRPr="00E63DCC">
        <w:rPr>
          <w:lang w:val="en-GB"/>
        </w:rPr>
        <w:t>-</w:t>
      </w:r>
      <w:r w:rsidRPr="00E63DCC">
        <w:rPr>
          <w:lang w:val="en-GB"/>
        </w:rPr>
        <w:t>seeking behaviour, gender issues, vulnerable groups, security concerns); and (</w:t>
      </w:r>
      <w:r w:rsidR="00A157BF" w:rsidRPr="00E63DCC">
        <w:rPr>
          <w:lang w:val="en-GB"/>
        </w:rPr>
        <w:t>c</w:t>
      </w:r>
      <w:r w:rsidRPr="00E63DCC">
        <w:rPr>
          <w:lang w:val="en-GB"/>
        </w:rPr>
        <w:t>) environmental and occupational determinants of health, with</w:t>
      </w:r>
      <w:r w:rsidR="00E33408" w:rsidRPr="00E63DCC">
        <w:rPr>
          <w:lang w:val="en-GB"/>
        </w:rPr>
        <w:t xml:space="preserve"> an</w:t>
      </w:r>
      <w:r w:rsidRPr="00E63DCC">
        <w:rPr>
          <w:lang w:val="en-GB"/>
        </w:rPr>
        <w:t xml:space="preserve"> emphasis on relevant hazards </w:t>
      </w:r>
      <w:r w:rsidR="00A157BF" w:rsidRPr="00E63DCC">
        <w:rPr>
          <w:lang w:val="en-GB"/>
        </w:rPr>
        <w:t xml:space="preserve">(including </w:t>
      </w:r>
      <w:r w:rsidRPr="00E63DCC">
        <w:rPr>
          <w:lang w:val="en-GB"/>
        </w:rPr>
        <w:t>chemical, biological</w:t>
      </w:r>
      <w:r w:rsidR="00A157BF" w:rsidRPr="00E63DCC">
        <w:rPr>
          <w:lang w:val="en-GB"/>
        </w:rPr>
        <w:t xml:space="preserve"> and </w:t>
      </w:r>
      <w:r w:rsidRPr="00E63DCC">
        <w:rPr>
          <w:lang w:val="en-GB"/>
        </w:rPr>
        <w:t>mechanical</w:t>
      </w:r>
      <w:r w:rsidR="00A157BF" w:rsidRPr="00E63DCC">
        <w:rPr>
          <w:lang w:val="en-GB"/>
        </w:rPr>
        <w:t xml:space="preserve"> hazards)</w:t>
      </w:r>
      <w:r w:rsidRPr="00E63DCC">
        <w:rPr>
          <w:lang w:val="en-GB"/>
        </w:rPr>
        <w:t>.</w:t>
      </w:r>
    </w:p>
    <w:p w14:paraId="2496C6F8" w14:textId="3BF082E3" w:rsidR="0008230C" w:rsidRPr="00E63DCC" w:rsidRDefault="0008230C" w:rsidP="00A5640C">
      <w:pPr>
        <w:rPr>
          <w:lang w:val="en-GB"/>
        </w:rPr>
      </w:pPr>
      <w:r w:rsidRPr="00E63DCC">
        <w:rPr>
          <w:lang w:val="en-GB"/>
        </w:rPr>
        <w:t>The semi-structured questionnaires gather predominantly qualitative data, which will be sorted by content meaning, similar ideas and content interaction. Quantitative statistical analyses will be performed using [name of the statistical software you will use]</w:t>
      </w:r>
      <w:r w:rsidR="004E02FC" w:rsidRPr="00E63DCC">
        <w:rPr>
          <w:lang w:val="en-GB"/>
        </w:rPr>
        <w:t>, which will</w:t>
      </w:r>
      <w:r w:rsidRPr="00E63DCC">
        <w:rPr>
          <w:lang w:val="en-GB"/>
        </w:rPr>
        <w:t xml:space="preserve"> perform</w:t>
      </w:r>
      <w:r w:rsidR="004E02FC" w:rsidRPr="00E63DCC">
        <w:rPr>
          <w:lang w:val="en-GB"/>
        </w:rPr>
        <w:t xml:space="preserve"> a</w:t>
      </w:r>
      <w:r w:rsidRPr="00E63DCC">
        <w:rPr>
          <w:lang w:val="en-GB"/>
        </w:rPr>
        <w:t xml:space="preserve"> basic descriptive analysis</w:t>
      </w:r>
      <w:r w:rsidR="004E02FC" w:rsidRPr="00E63DCC">
        <w:rPr>
          <w:lang w:val="en-GB"/>
        </w:rPr>
        <w:t xml:space="preserve"> of </w:t>
      </w:r>
      <w:r w:rsidRPr="00E63DCC">
        <w:rPr>
          <w:lang w:val="en-GB"/>
        </w:rPr>
        <w:t>health statistic data from the local health facilities. Data from the HFAs will be summari</w:t>
      </w:r>
      <w:r w:rsidR="005440BA" w:rsidRPr="00E63DCC">
        <w:rPr>
          <w:lang w:val="en-GB"/>
        </w:rPr>
        <w:t>z</w:t>
      </w:r>
      <w:r w:rsidRPr="00E63DCC">
        <w:rPr>
          <w:lang w:val="en-GB"/>
        </w:rPr>
        <w:t>ed and tabulated. Hence, qualitative findings on health conditions and health</w:t>
      </w:r>
      <w:r w:rsidR="005761FD" w:rsidRPr="00E63DCC">
        <w:rPr>
          <w:lang w:val="en-GB"/>
        </w:rPr>
        <w:t>-</w:t>
      </w:r>
      <w:r w:rsidRPr="00E63DCC">
        <w:rPr>
          <w:lang w:val="en-GB"/>
        </w:rPr>
        <w:t>seeking behaviour of ASGM communities will be interpreted in combination with data from the routine health information system, literature review</w:t>
      </w:r>
      <w:r w:rsidR="004E02FC" w:rsidRPr="00E63DCC">
        <w:rPr>
          <w:lang w:val="en-GB"/>
        </w:rPr>
        <w:t xml:space="preserve"> and </w:t>
      </w:r>
      <w:r w:rsidRPr="00E63DCC">
        <w:rPr>
          <w:lang w:val="en-GB"/>
        </w:rPr>
        <w:t>direct observations.</w:t>
      </w:r>
    </w:p>
    <w:p w14:paraId="752D7091" w14:textId="510CF7C5" w:rsidR="0008230C" w:rsidRPr="00E63DCC" w:rsidRDefault="0008230C" w:rsidP="00A5640C">
      <w:pPr>
        <w:rPr>
          <w:lang w:val="en-GB"/>
        </w:rPr>
      </w:pPr>
      <w:r w:rsidRPr="00E63DCC">
        <w:rPr>
          <w:lang w:val="en-GB"/>
        </w:rPr>
        <w:lastRenderedPageBreak/>
        <w:t xml:space="preserve">The combined analysis of the data collected on health determinants and health conditions affecting </w:t>
      </w:r>
      <w:r w:rsidR="00AC50FC" w:rsidRPr="00E63DCC">
        <w:rPr>
          <w:lang w:val="en-GB"/>
        </w:rPr>
        <w:t>artisanal and small-scale gold miners</w:t>
      </w:r>
      <w:r w:rsidRPr="00E63DCC">
        <w:rPr>
          <w:lang w:val="en-GB"/>
        </w:rPr>
        <w:t xml:space="preserve"> will then guide the formulation of recommendations on (</w:t>
      </w:r>
      <w:r w:rsidR="004E02FC" w:rsidRPr="00E63DCC">
        <w:rPr>
          <w:lang w:val="en-GB"/>
        </w:rPr>
        <w:t>a</w:t>
      </w:r>
      <w:r w:rsidRPr="00E63DCC">
        <w:rPr>
          <w:lang w:val="en-GB"/>
        </w:rPr>
        <w:t>) addressing gaps in health system readiness related to ASGM</w:t>
      </w:r>
      <w:r w:rsidR="00AE59C0" w:rsidRPr="00E63DCC">
        <w:rPr>
          <w:lang w:val="en-GB"/>
        </w:rPr>
        <w:t xml:space="preserve"> </w:t>
      </w:r>
      <w:r w:rsidRPr="00E63DCC">
        <w:rPr>
          <w:lang w:val="en-GB"/>
        </w:rPr>
        <w:t>issues</w:t>
      </w:r>
      <w:r w:rsidR="004E02FC" w:rsidRPr="00E63DCC">
        <w:rPr>
          <w:lang w:val="en-GB"/>
        </w:rPr>
        <w:t>;</w:t>
      </w:r>
      <w:r w:rsidRPr="00E63DCC">
        <w:rPr>
          <w:lang w:val="en-GB"/>
        </w:rPr>
        <w:t xml:space="preserve"> and (</w:t>
      </w:r>
      <w:r w:rsidR="004E02FC" w:rsidRPr="00E63DCC">
        <w:rPr>
          <w:lang w:val="en-GB"/>
        </w:rPr>
        <w:t>b</w:t>
      </w:r>
      <w:r w:rsidRPr="00E63DCC">
        <w:rPr>
          <w:lang w:val="en-GB"/>
        </w:rPr>
        <w:t>)</w:t>
      </w:r>
      <w:r w:rsidR="004E02FC" w:rsidRPr="00E63DCC">
        <w:rPr>
          <w:lang w:val="en-GB"/>
        </w:rPr>
        <w:t xml:space="preserve"> providing</w:t>
      </w:r>
      <w:r w:rsidRPr="00E63DCC">
        <w:rPr>
          <w:lang w:val="en-GB"/>
        </w:rPr>
        <w:t xml:space="preserve"> inform</w:t>
      </w:r>
      <w:r w:rsidR="004E02FC" w:rsidRPr="00E63DCC">
        <w:rPr>
          <w:lang w:val="en-GB"/>
        </w:rPr>
        <w:t>ation</w:t>
      </w:r>
      <w:r w:rsidRPr="00E63DCC">
        <w:rPr>
          <w:lang w:val="en-GB"/>
        </w:rPr>
        <w:t xml:space="preserve"> on behaviour change in ASGM</w:t>
      </w:r>
      <w:r w:rsidR="00AE59C0" w:rsidRPr="00E63DCC">
        <w:rPr>
          <w:lang w:val="en-GB"/>
        </w:rPr>
        <w:t xml:space="preserve"> </w:t>
      </w:r>
      <w:r w:rsidRPr="00E63DCC">
        <w:rPr>
          <w:lang w:val="en-GB"/>
        </w:rPr>
        <w:t>practices in order to make ASGM safer and healthier. These will cover the full range of potential health issues affecting ASGM communities</w:t>
      </w:r>
      <w:r w:rsidR="00E33408" w:rsidRPr="00E63DCC">
        <w:rPr>
          <w:lang w:val="en-GB"/>
        </w:rPr>
        <w:t>,</w:t>
      </w:r>
      <w:r w:rsidRPr="00E63DCC">
        <w:rPr>
          <w:lang w:val="en-GB"/>
        </w:rPr>
        <w:t xml:space="preserve"> with mercury as an important health hazard.</w:t>
      </w:r>
    </w:p>
    <w:p w14:paraId="7B412ED1" w14:textId="1CB0441F" w:rsidR="0008230C" w:rsidRPr="00E63DCC" w:rsidRDefault="0008230C" w:rsidP="00A5640C">
      <w:pPr>
        <w:rPr>
          <w:lang w:val="en-GB"/>
        </w:rPr>
      </w:pPr>
      <w:r w:rsidRPr="00E63DCC">
        <w:rPr>
          <w:lang w:val="en-GB"/>
        </w:rPr>
        <w:t>[Please adjust the paragraphs above to fit your study objectives and design.]</w:t>
      </w:r>
    </w:p>
    <w:p w14:paraId="76B89367" w14:textId="77777777" w:rsidR="009734E2" w:rsidRPr="00E63DCC" w:rsidRDefault="009734E2">
      <w:pPr>
        <w:spacing w:after="0" w:line="240" w:lineRule="auto"/>
        <w:rPr>
          <w:rFonts w:eastAsia="Times New Roman"/>
          <w:b/>
          <w:bCs/>
          <w:color w:val="800000"/>
          <w:kern w:val="32"/>
          <w:sz w:val="32"/>
          <w:szCs w:val="28"/>
          <w:lang w:val="en-GB"/>
        </w:rPr>
      </w:pPr>
      <w:bookmarkStart w:id="55" w:name="_Toc283557224"/>
      <w:bookmarkStart w:id="56" w:name="_Toc283557271"/>
      <w:r w:rsidRPr="00E63DCC">
        <w:rPr>
          <w:lang w:val="en-GB"/>
        </w:rPr>
        <w:br w:type="page"/>
      </w:r>
    </w:p>
    <w:p w14:paraId="3AAD0F25" w14:textId="773C3B07" w:rsidR="008C07CF" w:rsidRPr="00E63DCC" w:rsidRDefault="00E33408" w:rsidP="00A5640C">
      <w:pPr>
        <w:pStyle w:val="Heading1"/>
      </w:pPr>
      <w:bookmarkStart w:id="57" w:name="_Toc70926740"/>
      <w:bookmarkStart w:id="58" w:name="_Toc70926822"/>
      <w:bookmarkEnd w:id="55"/>
      <w:r w:rsidRPr="00E63DCC">
        <w:lastRenderedPageBreak/>
        <w:t>4.</w:t>
      </w:r>
      <w:r w:rsidRPr="00E63DCC">
        <w:tab/>
        <w:t>E</w:t>
      </w:r>
      <w:r w:rsidR="008A0373" w:rsidRPr="00E63DCC">
        <w:t>thical consideration</w:t>
      </w:r>
      <w:r w:rsidR="00716C10" w:rsidRPr="00E63DCC">
        <w:t>s</w:t>
      </w:r>
      <w:bookmarkEnd w:id="57"/>
      <w:bookmarkEnd w:id="58"/>
    </w:p>
    <w:p w14:paraId="1C2ABEA8" w14:textId="5CB1724E" w:rsidR="00637827" w:rsidRPr="00E63DCC" w:rsidRDefault="00E33408" w:rsidP="00D756F9">
      <w:pPr>
        <w:pStyle w:val="Heading2"/>
        <w:rPr>
          <w:lang w:val="en-GB"/>
        </w:rPr>
      </w:pPr>
      <w:bookmarkStart w:id="59" w:name="_Toc283557225"/>
      <w:bookmarkStart w:id="60" w:name="_Toc70926823"/>
      <w:r w:rsidRPr="00E63DCC">
        <w:rPr>
          <w:lang w:val="en-GB"/>
        </w:rPr>
        <w:t>4.1</w:t>
      </w:r>
      <w:r w:rsidRPr="00E63DCC">
        <w:rPr>
          <w:lang w:val="en-GB"/>
        </w:rPr>
        <w:tab/>
        <w:t>E</w:t>
      </w:r>
      <w:r w:rsidR="008C07CF" w:rsidRPr="00E63DCC">
        <w:rPr>
          <w:lang w:val="en-GB"/>
        </w:rPr>
        <w:t xml:space="preserve">thical </w:t>
      </w:r>
      <w:r w:rsidR="00DD1858" w:rsidRPr="00E63DCC">
        <w:rPr>
          <w:lang w:val="en-GB"/>
        </w:rPr>
        <w:t>c</w:t>
      </w:r>
      <w:r w:rsidR="008C07CF" w:rsidRPr="00E63DCC">
        <w:rPr>
          <w:lang w:val="en-GB"/>
        </w:rPr>
        <w:t xml:space="preserve">onduct of </w:t>
      </w:r>
      <w:r w:rsidR="00DD1858" w:rsidRPr="00E63DCC">
        <w:rPr>
          <w:lang w:val="en-GB"/>
        </w:rPr>
        <w:t>s</w:t>
      </w:r>
      <w:r w:rsidR="008C07CF" w:rsidRPr="00E63DCC">
        <w:rPr>
          <w:lang w:val="en-GB"/>
        </w:rPr>
        <w:t>tudy</w:t>
      </w:r>
      <w:bookmarkEnd w:id="59"/>
      <w:bookmarkEnd w:id="60"/>
    </w:p>
    <w:p w14:paraId="695DCBB7" w14:textId="3FB5447B" w:rsidR="00FA0230" w:rsidRPr="00E63DCC" w:rsidRDefault="00FA0230" w:rsidP="00A5640C">
      <w:pPr>
        <w:rPr>
          <w:lang w:val="en-GB"/>
        </w:rPr>
      </w:pPr>
      <w:r w:rsidRPr="00E63DCC">
        <w:rPr>
          <w:lang w:val="en-GB"/>
        </w:rPr>
        <w:t>[Describe here the process of seeking ethical approval, including the committees</w:t>
      </w:r>
      <w:r w:rsidR="00E33408" w:rsidRPr="00E63DCC">
        <w:rPr>
          <w:lang w:val="en-GB"/>
        </w:rPr>
        <w:t xml:space="preserve"> or </w:t>
      </w:r>
      <w:r w:rsidRPr="00E63DCC">
        <w:rPr>
          <w:lang w:val="en-GB"/>
        </w:rPr>
        <w:t>institutions you need to apply</w:t>
      </w:r>
      <w:r w:rsidR="00E33408" w:rsidRPr="00E63DCC">
        <w:rPr>
          <w:lang w:val="en-GB"/>
        </w:rPr>
        <w:t xml:space="preserve"> to</w:t>
      </w:r>
      <w:r w:rsidRPr="00E63DCC">
        <w:rPr>
          <w:lang w:val="en-GB"/>
        </w:rPr>
        <w:t xml:space="preserve"> for ethical clearance. Please refer to the WHO ethical approval guidance document</w:t>
      </w:r>
      <w:r w:rsidR="0081765C" w:rsidRPr="00E63DCC">
        <w:rPr>
          <w:lang w:val="en-GB"/>
        </w:rPr>
        <w:t xml:space="preserve"> </w:t>
      </w:r>
      <w:r w:rsidR="0081765C" w:rsidRPr="00E63DCC">
        <w:rPr>
          <w:i/>
          <w:lang w:val="en-GB"/>
        </w:rPr>
        <w:t>(13)</w:t>
      </w:r>
      <w:r w:rsidRPr="00E63DCC">
        <w:rPr>
          <w:lang w:val="en-GB"/>
        </w:rPr>
        <w:t xml:space="preserve"> for further information.] </w:t>
      </w:r>
    </w:p>
    <w:p w14:paraId="493DF996" w14:textId="77777777" w:rsidR="009D4794" w:rsidRPr="00E63DCC" w:rsidRDefault="009D4794" w:rsidP="00D756F9">
      <w:pPr>
        <w:pStyle w:val="Normalboldhead"/>
      </w:pPr>
      <w:bookmarkStart w:id="61" w:name="_Hlk46748135"/>
      <w:r w:rsidRPr="00E63DCC">
        <w:t>Example from Nigeria [delete in final version of your study protocol]:</w:t>
      </w:r>
    </w:p>
    <w:bookmarkEnd w:id="61"/>
    <w:p w14:paraId="75BC0297" w14:textId="234E1E3E" w:rsidR="005A2FEA" w:rsidRPr="00E63DCC" w:rsidRDefault="005A2FEA" w:rsidP="00A5640C">
      <w:pPr>
        <w:rPr>
          <w:lang w:val="en-GB"/>
        </w:rPr>
      </w:pPr>
      <w:r w:rsidRPr="00E63DCC">
        <w:rPr>
          <w:lang w:val="en-GB"/>
        </w:rPr>
        <w:t xml:space="preserve">The study will be carried out in accordance </w:t>
      </w:r>
      <w:r w:rsidR="00E33408" w:rsidRPr="00E63DCC">
        <w:rPr>
          <w:lang w:val="en-GB"/>
        </w:rPr>
        <w:t>with</w:t>
      </w:r>
      <w:r w:rsidRPr="00E63DCC">
        <w:rPr>
          <w:lang w:val="en-GB"/>
        </w:rPr>
        <w:t xml:space="preserve"> the present study protocol and with</w:t>
      </w:r>
      <w:r w:rsidR="00E33408" w:rsidRPr="00E63DCC">
        <w:rPr>
          <w:lang w:val="en-GB"/>
        </w:rPr>
        <w:t xml:space="preserve"> the</w:t>
      </w:r>
      <w:r w:rsidRPr="00E63DCC">
        <w:rPr>
          <w:lang w:val="en-GB"/>
        </w:rPr>
        <w:t xml:space="preserve"> principles enunciated in the</w:t>
      </w:r>
      <w:r w:rsidR="00E33408" w:rsidRPr="00E63DCC">
        <w:rPr>
          <w:rFonts w:eastAsia="Times New Roman"/>
          <w:szCs w:val="24"/>
          <w:lang w:val="en-GB" w:eastAsia="en-US"/>
        </w:rPr>
        <w:t xml:space="preserve"> </w:t>
      </w:r>
      <w:r w:rsidR="00E33408" w:rsidRPr="00E63DCC">
        <w:rPr>
          <w:lang w:val="en-GB"/>
        </w:rPr>
        <w:t>Council for International Organizations of Medical Sciences (</w:t>
      </w:r>
      <w:r w:rsidRPr="00E63DCC">
        <w:rPr>
          <w:lang w:val="en-GB"/>
        </w:rPr>
        <w:t>CIOMS</w:t>
      </w:r>
      <w:r w:rsidR="00E33408" w:rsidRPr="00E63DCC">
        <w:rPr>
          <w:lang w:val="en-GB"/>
        </w:rPr>
        <w:t>)</w:t>
      </w:r>
      <w:r w:rsidRPr="00E63DCC">
        <w:rPr>
          <w:lang w:val="en-GB"/>
        </w:rPr>
        <w:t xml:space="preserve"> International</w:t>
      </w:r>
      <w:r w:rsidR="00E33408" w:rsidRPr="00E63DCC">
        <w:rPr>
          <w:lang w:val="en-GB"/>
        </w:rPr>
        <w:t xml:space="preserve"> Ethical</w:t>
      </w:r>
      <w:r w:rsidRPr="00E63DCC">
        <w:rPr>
          <w:lang w:val="en-GB"/>
        </w:rPr>
        <w:t xml:space="preserve"> Guidelines for Health-Related Research Involving Humans together with the </w:t>
      </w:r>
      <w:r w:rsidR="00E33408" w:rsidRPr="00E63DCC">
        <w:rPr>
          <w:lang w:val="en-GB"/>
        </w:rPr>
        <w:t>D</w:t>
      </w:r>
      <w:r w:rsidRPr="00E63DCC">
        <w:rPr>
          <w:lang w:val="en-GB"/>
        </w:rPr>
        <w:t>eclaration of Helsinki, as well as all national legal and regulatory requirements</w:t>
      </w:r>
      <w:r w:rsidR="00E33408" w:rsidRPr="00E63DCC">
        <w:rPr>
          <w:lang w:val="en-GB"/>
        </w:rPr>
        <w:t xml:space="preserve"> </w:t>
      </w:r>
      <w:r w:rsidR="00E33408" w:rsidRPr="00E63DCC">
        <w:rPr>
          <w:i/>
          <w:lang w:val="en-GB"/>
        </w:rPr>
        <w:t>(1</w:t>
      </w:r>
      <w:r w:rsidR="0081765C" w:rsidRPr="00E63DCC">
        <w:rPr>
          <w:i/>
          <w:lang w:val="en-GB"/>
        </w:rPr>
        <w:t>4</w:t>
      </w:r>
      <w:r w:rsidR="00E33408" w:rsidRPr="00E63DCC">
        <w:rPr>
          <w:i/>
          <w:lang w:val="en-GB"/>
        </w:rPr>
        <w:t>)</w:t>
      </w:r>
      <w:r w:rsidRPr="00E63DCC">
        <w:rPr>
          <w:lang w:val="en-GB"/>
        </w:rPr>
        <w:t>.</w:t>
      </w:r>
    </w:p>
    <w:p w14:paraId="075CA084" w14:textId="33CDF97E" w:rsidR="005A2FEA" w:rsidRPr="00E63DCC" w:rsidRDefault="005A2FEA" w:rsidP="00A5640C">
      <w:pPr>
        <w:rPr>
          <w:lang w:val="en-GB"/>
        </w:rPr>
      </w:pPr>
      <w:r w:rsidRPr="00E63DCC">
        <w:rPr>
          <w:lang w:val="en-GB"/>
        </w:rPr>
        <w:t xml:space="preserve">In a first instance, ethical approval was </w:t>
      </w:r>
      <w:r w:rsidR="007D4B9A" w:rsidRPr="00E63DCC">
        <w:rPr>
          <w:lang w:val="en-GB"/>
        </w:rPr>
        <w:t xml:space="preserve">sought from </w:t>
      </w:r>
      <w:r w:rsidRPr="00E63DCC">
        <w:rPr>
          <w:lang w:val="en-GB"/>
        </w:rPr>
        <w:t>the</w:t>
      </w:r>
      <w:r w:rsidR="007D4B9A" w:rsidRPr="00E63DCC">
        <w:rPr>
          <w:lang w:val="en-GB"/>
        </w:rPr>
        <w:t xml:space="preserve"> WHO</w:t>
      </w:r>
      <w:r w:rsidRPr="00E63DCC">
        <w:rPr>
          <w:lang w:val="en-GB"/>
        </w:rPr>
        <w:t xml:space="preserve"> </w:t>
      </w:r>
      <w:r w:rsidR="006024B1" w:rsidRPr="00E63DCC">
        <w:rPr>
          <w:lang w:val="en-GB"/>
        </w:rPr>
        <w:t xml:space="preserve">Research </w:t>
      </w:r>
      <w:r w:rsidRPr="00E63DCC">
        <w:rPr>
          <w:lang w:val="en-GB"/>
        </w:rPr>
        <w:t>Ethics Review Committee for the master study protocol. The study procedures and ethical considerations presented in the master protocol will be followed in all three study countries. Any fieldwork activities of the project will only be started once the study protocol, the participant information and consent forms</w:t>
      </w:r>
      <w:r w:rsidR="00751269" w:rsidRPr="00E63DCC">
        <w:rPr>
          <w:lang w:val="en-GB"/>
        </w:rPr>
        <w:t xml:space="preserve">, and </w:t>
      </w:r>
      <w:r w:rsidRPr="00E63DCC">
        <w:rPr>
          <w:lang w:val="en-GB"/>
        </w:rPr>
        <w:t xml:space="preserve">other project-specific documents have been approved by the WHO </w:t>
      </w:r>
      <w:r w:rsidR="006024B1" w:rsidRPr="00E63DCC">
        <w:rPr>
          <w:lang w:val="en-GB"/>
        </w:rPr>
        <w:t xml:space="preserve">Research </w:t>
      </w:r>
      <w:r w:rsidR="007D4B9A" w:rsidRPr="00E63DCC">
        <w:rPr>
          <w:lang w:val="en-GB"/>
        </w:rPr>
        <w:t>Ethics Review Committee</w:t>
      </w:r>
      <w:r w:rsidRPr="00E63DCC">
        <w:rPr>
          <w:lang w:val="en-GB"/>
        </w:rPr>
        <w:t xml:space="preserve"> and the national ethics committees in each study country.</w:t>
      </w:r>
    </w:p>
    <w:p w14:paraId="0761132E" w14:textId="6260210E" w:rsidR="005A2FEA" w:rsidRPr="00E63DCC" w:rsidRDefault="005A2FEA" w:rsidP="00A5640C">
      <w:pPr>
        <w:rPr>
          <w:lang w:val="en-GB"/>
        </w:rPr>
      </w:pPr>
      <w:r w:rsidRPr="00E63DCC">
        <w:rPr>
          <w:lang w:val="en-GB"/>
        </w:rPr>
        <w:t>In a second instance, site</w:t>
      </w:r>
      <w:r w:rsidR="00751269" w:rsidRPr="00E63DCC">
        <w:rPr>
          <w:lang w:val="en-GB"/>
        </w:rPr>
        <w:t>-</w:t>
      </w:r>
      <w:r w:rsidRPr="00E63DCC">
        <w:rPr>
          <w:lang w:val="en-GB"/>
        </w:rPr>
        <w:t xml:space="preserve">specific protocols need to be developed and ethical approval sought across the ministries of health or local </w:t>
      </w:r>
      <w:r w:rsidR="00BD305A" w:rsidRPr="00E63DCC">
        <w:rPr>
          <w:lang w:val="en-GB"/>
        </w:rPr>
        <w:t>i</w:t>
      </w:r>
      <w:r w:rsidRPr="00E63DCC">
        <w:rPr>
          <w:lang w:val="en-GB"/>
        </w:rPr>
        <w:t xml:space="preserve">nstitutional </w:t>
      </w:r>
      <w:r w:rsidR="00BD305A" w:rsidRPr="00E63DCC">
        <w:rPr>
          <w:lang w:val="en-GB"/>
        </w:rPr>
        <w:t>r</w:t>
      </w:r>
      <w:r w:rsidRPr="00E63DCC">
        <w:rPr>
          <w:lang w:val="en-GB"/>
        </w:rPr>
        <w:t xml:space="preserve">eview </w:t>
      </w:r>
      <w:r w:rsidR="00BD305A" w:rsidRPr="00E63DCC">
        <w:rPr>
          <w:lang w:val="en-GB"/>
        </w:rPr>
        <w:t>b</w:t>
      </w:r>
      <w:r w:rsidRPr="00E63DCC">
        <w:rPr>
          <w:lang w:val="en-GB"/>
        </w:rPr>
        <w:t>oards in Nigeria.</w:t>
      </w:r>
    </w:p>
    <w:p w14:paraId="322977FF" w14:textId="77777777" w:rsidR="005A2FEA" w:rsidRPr="00E63DCC" w:rsidRDefault="005A2FEA" w:rsidP="00A5640C">
      <w:pPr>
        <w:rPr>
          <w:lang w:val="en-GB"/>
        </w:rPr>
      </w:pPr>
      <w:r w:rsidRPr="00E63DCC">
        <w:rPr>
          <w:lang w:val="en-GB"/>
        </w:rPr>
        <w:t>The detailed field procedures are developed in close collaboration with the local partner institutions.</w:t>
      </w:r>
    </w:p>
    <w:p w14:paraId="7BED3285" w14:textId="77777777" w:rsidR="005A2FEA" w:rsidRPr="00E63DCC" w:rsidRDefault="005A2FEA" w:rsidP="00A5640C">
      <w:pPr>
        <w:rPr>
          <w:lang w:val="en-GB"/>
        </w:rPr>
      </w:pPr>
      <w:r w:rsidRPr="00E63DCC">
        <w:rPr>
          <w:lang w:val="en-GB"/>
        </w:rPr>
        <w:t>For this purpose, the following ethical clearance process will be followed:</w:t>
      </w:r>
    </w:p>
    <w:p w14:paraId="55B8240F" w14:textId="0C4525B2" w:rsidR="005A2FEA" w:rsidRPr="00E63DCC" w:rsidRDefault="005A2FEA" w:rsidP="00D756F9">
      <w:pPr>
        <w:pStyle w:val="Bulletlist"/>
      </w:pPr>
      <w:r w:rsidRPr="00E63DCC">
        <w:t xml:space="preserve">The site-specific protocol for Nigeria will be submitted to the National Ethics Committee together with the local partner </w:t>
      </w:r>
      <w:r w:rsidR="001B26F8" w:rsidRPr="00E63DCC">
        <w:t>i</w:t>
      </w:r>
      <w:r w:rsidRPr="00E63DCC">
        <w:t xml:space="preserve">nstitution, the University of Nigeria Centre for Environmental Management and Control. </w:t>
      </w:r>
    </w:p>
    <w:p w14:paraId="03EFC15F" w14:textId="20FB8EDF" w:rsidR="005A2FEA" w:rsidRPr="00E63DCC" w:rsidRDefault="005A2FEA" w:rsidP="00D756F9">
      <w:pPr>
        <w:pStyle w:val="Bulletlist"/>
      </w:pPr>
      <w:r w:rsidRPr="00E63DCC">
        <w:t>All additions</w:t>
      </w:r>
      <w:r w:rsidR="006D01CD" w:rsidRPr="00E63DCC">
        <w:t xml:space="preserve"> and </w:t>
      </w:r>
      <w:r w:rsidRPr="00E63DCC">
        <w:t xml:space="preserve">specifications made in the site-specific protocols will be resubmitted to </w:t>
      </w:r>
      <w:r w:rsidR="006D01CD" w:rsidRPr="00E63DCC">
        <w:t xml:space="preserve">the </w:t>
      </w:r>
      <w:r w:rsidRPr="00E63DCC">
        <w:t>WHO</w:t>
      </w:r>
      <w:r w:rsidR="006D01CD" w:rsidRPr="00E63DCC">
        <w:t xml:space="preserve"> </w:t>
      </w:r>
      <w:r w:rsidR="006024B1" w:rsidRPr="00E63DCC">
        <w:t xml:space="preserve">Research </w:t>
      </w:r>
      <w:r w:rsidR="006D01CD" w:rsidRPr="00E63DCC">
        <w:t>Ethics Review Committee</w:t>
      </w:r>
      <w:r w:rsidRPr="00E63DCC">
        <w:t xml:space="preserve"> in the form of amendments to the master protocol for review approval.</w:t>
      </w:r>
    </w:p>
    <w:p w14:paraId="1CF5C079" w14:textId="43F17922" w:rsidR="00A62394" w:rsidRPr="00E63DCC" w:rsidRDefault="006D01CD" w:rsidP="00D756F9">
      <w:pPr>
        <w:pStyle w:val="Heading2"/>
        <w:rPr>
          <w:lang w:val="en-GB"/>
        </w:rPr>
      </w:pPr>
      <w:bookmarkStart w:id="62" w:name="_Toc245371502"/>
      <w:bookmarkStart w:id="63" w:name="_Toc283557235"/>
      <w:bookmarkStart w:id="64" w:name="_Toc70926824"/>
      <w:r w:rsidRPr="00E63DCC">
        <w:rPr>
          <w:lang w:val="en-GB"/>
        </w:rPr>
        <w:t>4.2</w:t>
      </w:r>
      <w:r w:rsidRPr="00E63DCC">
        <w:rPr>
          <w:lang w:val="en-GB"/>
        </w:rPr>
        <w:tab/>
        <w:t>R</w:t>
      </w:r>
      <w:r w:rsidR="00A62394" w:rsidRPr="00E63DCC">
        <w:rPr>
          <w:lang w:val="en-GB"/>
        </w:rPr>
        <w:t>isk</w:t>
      </w:r>
      <w:r w:rsidRPr="00E63DCC">
        <w:rPr>
          <w:lang w:val="en-GB"/>
        </w:rPr>
        <w:t>–</w:t>
      </w:r>
      <w:r w:rsidR="00DD1858" w:rsidRPr="00E63DCC">
        <w:rPr>
          <w:lang w:val="en-GB"/>
        </w:rPr>
        <w:t>b</w:t>
      </w:r>
      <w:r w:rsidR="00A62394" w:rsidRPr="00E63DCC">
        <w:rPr>
          <w:lang w:val="en-GB"/>
        </w:rPr>
        <w:t xml:space="preserve">enefit </w:t>
      </w:r>
      <w:r w:rsidR="00DD1858" w:rsidRPr="00E63DCC">
        <w:rPr>
          <w:lang w:val="en-GB"/>
        </w:rPr>
        <w:t>a</w:t>
      </w:r>
      <w:r w:rsidR="00A62394" w:rsidRPr="00E63DCC">
        <w:rPr>
          <w:lang w:val="en-GB"/>
        </w:rPr>
        <w:t>ssessment</w:t>
      </w:r>
      <w:bookmarkEnd w:id="62"/>
      <w:bookmarkEnd w:id="63"/>
      <w:r w:rsidR="005A0AB9" w:rsidRPr="00E63DCC">
        <w:rPr>
          <w:lang w:val="en-GB"/>
        </w:rPr>
        <w:t xml:space="preserve"> and protection of participants</w:t>
      </w:r>
      <w:bookmarkEnd w:id="64"/>
    </w:p>
    <w:p w14:paraId="020462D6" w14:textId="0072147A" w:rsidR="009D4794" w:rsidRPr="00E63DCC" w:rsidRDefault="009D4794" w:rsidP="00A5640C">
      <w:pPr>
        <w:rPr>
          <w:lang w:val="en-GB"/>
        </w:rPr>
      </w:pPr>
      <w:r w:rsidRPr="00E63DCC">
        <w:rPr>
          <w:lang w:val="en-GB"/>
        </w:rPr>
        <w:t>There are no direct physical risks associated with the present research study</w:t>
      </w:r>
      <w:r w:rsidR="006D01CD" w:rsidRPr="00E63DCC">
        <w:rPr>
          <w:lang w:val="en-GB"/>
        </w:rPr>
        <w:t>,</w:t>
      </w:r>
      <w:r w:rsidRPr="00E63DCC">
        <w:rPr>
          <w:lang w:val="en-GB"/>
        </w:rPr>
        <w:t xml:space="preserve"> as it involves questionnaire interviews only and no human biomonitoring or clinical trial activities. The potential risks for the participants of the study have been identified as follows</w:t>
      </w:r>
      <w:r w:rsidR="00AD3608" w:rsidRPr="00E63DCC">
        <w:rPr>
          <w:lang w:val="en-GB"/>
        </w:rPr>
        <w:t>.</w:t>
      </w:r>
    </w:p>
    <w:p w14:paraId="0AAC63C7" w14:textId="083A2312" w:rsidR="00D756F9" w:rsidRPr="00E63DCC" w:rsidRDefault="009D4794" w:rsidP="00C20934">
      <w:pPr>
        <w:pStyle w:val="Listnumbered"/>
      </w:pPr>
      <w:r w:rsidRPr="00E63DCC">
        <w:t>The study team will observe and report</w:t>
      </w:r>
      <w:r w:rsidR="00AD3608" w:rsidRPr="00E63DCC">
        <w:t xml:space="preserve"> on a</w:t>
      </w:r>
      <w:r w:rsidRPr="00E63DCC">
        <w:t xml:space="preserve"> person pursuing a mining-related illegal or high</w:t>
      </w:r>
      <w:r w:rsidR="006A71F3" w:rsidRPr="00E63DCC">
        <w:t>-</w:t>
      </w:r>
      <w:r w:rsidRPr="00E63DCC">
        <w:t xml:space="preserve">risk activity. </w:t>
      </w:r>
      <w:r w:rsidR="00AD3608" w:rsidRPr="00E63DCC">
        <w:t>D</w:t>
      </w:r>
      <w:r w:rsidRPr="00E63DCC">
        <w:t>isclos</w:t>
      </w:r>
      <w:r w:rsidR="00AD3608" w:rsidRPr="00E63DCC">
        <w:t>ure of</w:t>
      </w:r>
      <w:r w:rsidRPr="00E63DCC">
        <w:t xml:space="preserve"> the person’s identity</w:t>
      </w:r>
      <w:r w:rsidR="00AD3608" w:rsidRPr="00E63DCC">
        <w:t xml:space="preserve"> could result in </w:t>
      </w:r>
      <w:r w:rsidRPr="00E63DCC">
        <w:t>the individual concerned los</w:t>
      </w:r>
      <w:r w:rsidR="00AD3608" w:rsidRPr="00E63DCC">
        <w:t>ing</w:t>
      </w:r>
      <w:r w:rsidR="006D01CD" w:rsidRPr="00E63DCC">
        <w:t xml:space="preserve"> their</w:t>
      </w:r>
      <w:r w:rsidRPr="00E63DCC">
        <w:t xml:space="preserve"> livelihood and even fac</w:t>
      </w:r>
      <w:r w:rsidR="00AD3608" w:rsidRPr="00E63DCC">
        <w:t>ing</w:t>
      </w:r>
      <w:r w:rsidRPr="00E63DCC">
        <w:t xml:space="preserve"> criminal prosecution. </w:t>
      </w:r>
      <w:r w:rsidR="00E94F55" w:rsidRPr="00E63DCC">
        <w:t>In addition,</w:t>
      </w:r>
      <w:r w:rsidRPr="00E63DCC">
        <w:t xml:space="preserve"> </w:t>
      </w:r>
      <w:r w:rsidRPr="00E63DCC">
        <w:lastRenderedPageBreak/>
        <w:t xml:space="preserve">children are frequently involved in ASGM activities, which </w:t>
      </w:r>
      <w:r w:rsidR="006D01CD" w:rsidRPr="00E63DCC">
        <w:t>are</w:t>
      </w:r>
      <w:r w:rsidRPr="00E63DCC">
        <w:t xml:space="preserve"> hazardous and have characteristics that fit the definition of</w:t>
      </w:r>
      <w:r w:rsidR="006D01CD" w:rsidRPr="00E63DCC">
        <w:t xml:space="preserve"> the worst forms of child labour as defined by the ILO</w:t>
      </w:r>
      <w:r w:rsidR="006D01CD" w:rsidRPr="00E63DCC">
        <w:rPr>
          <w:rFonts w:eastAsia="Times New Roman"/>
          <w:szCs w:val="24"/>
          <w:lang w:eastAsia="en-US"/>
        </w:rPr>
        <w:t xml:space="preserve"> </w:t>
      </w:r>
      <w:r w:rsidR="006D01CD" w:rsidRPr="00E63DCC">
        <w:t>Worst Forms of Child Labour Convention, 1999 (No. 182)</w:t>
      </w:r>
      <w:r w:rsidR="002F4228" w:rsidRPr="00E63DCC">
        <w:t xml:space="preserve"> </w:t>
      </w:r>
      <w:r w:rsidR="002F4228" w:rsidRPr="00E63DCC">
        <w:rPr>
          <w:i/>
        </w:rPr>
        <w:t>(1</w:t>
      </w:r>
      <w:r w:rsidR="0081765C" w:rsidRPr="00E63DCC">
        <w:rPr>
          <w:i/>
        </w:rPr>
        <w:t>5</w:t>
      </w:r>
      <w:r w:rsidR="002F4228" w:rsidRPr="00E63DCC">
        <w:rPr>
          <w:i/>
        </w:rPr>
        <w:t>, 1</w:t>
      </w:r>
      <w:r w:rsidR="0081765C" w:rsidRPr="00E63DCC">
        <w:rPr>
          <w:i/>
        </w:rPr>
        <w:t>6</w:t>
      </w:r>
      <w:r w:rsidR="002F4228" w:rsidRPr="00E63DCC">
        <w:rPr>
          <w:i/>
        </w:rPr>
        <w:t>)</w:t>
      </w:r>
      <w:r w:rsidRPr="00E63DCC">
        <w:t>. Furthermore, there may be a conflict of interest for the persons involved in data collection, having access to potentially sensitive data of ASGM workers and community members. This may further increase or expose the target population</w:t>
      </w:r>
      <w:r w:rsidR="00773C80" w:rsidRPr="00E63DCC">
        <w:t>’</w:t>
      </w:r>
      <w:r w:rsidRPr="00E63DCC">
        <w:t>s vulnerability. Hence, particular sensitivity of the study teams to th</w:t>
      </w:r>
      <w:r w:rsidR="006A71F3" w:rsidRPr="00E63DCC">
        <w:t>is</w:t>
      </w:r>
      <w:r w:rsidRPr="00E63DCC">
        <w:t xml:space="preserve"> issu</w:t>
      </w:r>
      <w:r w:rsidR="006A71F3" w:rsidRPr="00E63DCC">
        <w:t>e</w:t>
      </w:r>
      <w:r w:rsidRPr="00E63DCC">
        <w:t xml:space="preserve"> will be required, given its family orientation and associated levels of poverty.</w:t>
      </w:r>
    </w:p>
    <w:p w14:paraId="30C08D0E" w14:textId="5E0323FF" w:rsidR="00D756F9" w:rsidRPr="00E63DCC" w:rsidRDefault="009D4794" w:rsidP="00C20934">
      <w:pPr>
        <w:pStyle w:val="Listnumbered"/>
      </w:pPr>
      <w:r w:rsidRPr="00E63DCC">
        <w:t>By conducting the proposed study</w:t>
      </w:r>
      <w:r w:rsidR="006A71F3" w:rsidRPr="00E63DCC">
        <w:t>,</w:t>
      </w:r>
      <w:r w:rsidRPr="00E63DCC">
        <w:t xml:space="preserve"> the local and national authorities will become more aware</w:t>
      </w:r>
      <w:r w:rsidR="00C52087" w:rsidRPr="00E63DCC">
        <w:t xml:space="preserve"> of</w:t>
      </w:r>
      <w:r w:rsidRPr="00E63DCC">
        <w:t xml:space="preserve"> illegal and high</w:t>
      </w:r>
      <w:r w:rsidR="006A71F3" w:rsidRPr="00E63DCC">
        <w:t>-</w:t>
      </w:r>
      <w:r w:rsidRPr="00E63DCC">
        <w:t>risk activities in ASGM sites. As a result</w:t>
      </w:r>
      <w:r w:rsidR="006A71F3" w:rsidRPr="00E63DCC">
        <w:t>,</w:t>
      </w:r>
      <w:r w:rsidRPr="00E63DCC">
        <w:t xml:space="preserve"> they </w:t>
      </w:r>
      <w:r w:rsidR="00C52087" w:rsidRPr="00E63DCC">
        <w:t>may</w:t>
      </w:r>
      <w:r w:rsidRPr="00E63DCC">
        <w:t xml:space="preserve"> start to close the ASGM site where the study took place, which would be detrimental in terms of</w:t>
      </w:r>
      <w:r w:rsidR="00C52087" w:rsidRPr="00E63DCC">
        <w:t xml:space="preserve"> lost</w:t>
      </w:r>
      <w:r w:rsidRPr="00E63DCC">
        <w:t xml:space="preserve"> income or employment opportunit</w:t>
      </w:r>
      <w:r w:rsidR="00C52087" w:rsidRPr="00E63DCC">
        <w:t xml:space="preserve">ies for the </w:t>
      </w:r>
      <w:r w:rsidRPr="00E63DCC">
        <w:t>population</w:t>
      </w:r>
      <w:r w:rsidR="00C52087" w:rsidRPr="00E63DCC">
        <w:t xml:space="preserve"> concerned</w:t>
      </w:r>
      <w:r w:rsidRPr="00E63DCC">
        <w:t>.</w:t>
      </w:r>
    </w:p>
    <w:p w14:paraId="277B495B" w14:textId="51CEE8AB" w:rsidR="009D4794" w:rsidRPr="00E63DCC" w:rsidRDefault="009D4794" w:rsidP="00C20934">
      <w:pPr>
        <w:pStyle w:val="Listnumbered"/>
      </w:pPr>
      <w:r w:rsidRPr="00E63DCC">
        <w:t xml:space="preserve">Participants </w:t>
      </w:r>
      <w:r w:rsidR="00D756F9" w:rsidRPr="00E63DCC">
        <w:t>in</w:t>
      </w:r>
      <w:r w:rsidRPr="00E63DCC">
        <w:t xml:space="preserve"> the FGD or KII may be stigmatized by the community or family members</w:t>
      </w:r>
      <w:r w:rsidR="00D756F9" w:rsidRPr="00E63DCC">
        <w:t xml:space="preserve"> for having </w:t>
      </w:r>
      <w:r w:rsidRPr="00E63DCC">
        <w:t>interacted with the study team and having disclosed confidential information.</w:t>
      </w:r>
    </w:p>
    <w:p w14:paraId="5E5B4EC0" w14:textId="4725E4F1" w:rsidR="00BE5686" w:rsidRPr="00E63DCC" w:rsidRDefault="00BE5686" w:rsidP="00A5640C">
      <w:pPr>
        <w:rPr>
          <w:lang w:val="en-GB"/>
        </w:rPr>
      </w:pPr>
      <w:r w:rsidRPr="00E63DCC">
        <w:rPr>
          <w:lang w:val="en-GB"/>
        </w:rPr>
        <w:t>[Please adjust and develop the above paragraph</w:t>
      </w:r>
      <w:r w:rsidR="00714E15" w:rsidRPr="00E63DCC">
        <w:rPr>
          <w:lang w:val="en-GB"/>
        </w:rPr>
        <w:t>s</w:t>
      </w:r>
      <w:r w:rsidRPr="00E63DCC">
        <w:rPr>
          <w:lang w:val="en-GB"/>
        </w:rPr>
        <w:t xml:space="preserve"> further by outlining the risks you have identified for the participants of your study.]</w:t>
      </w:r>
    </w:p>
    <w:p w14:paraId="58C76982" w14:textId="09CF4263" w:rsidR="00AA2CCB" w:rsidRPr="00E63DCC" w:rsidRDefault="009D4794" w:rsidP="00A5640C">
      <w:pPr>
        <w:rPr>
          <w:lang w:val="en-GB"/>
        </w:rPr>
      </w:pPr>
      <w:r w:rsidRPr="00E63DCC">
        <w:rPr>
          <w:lang w:val="en-GB"/>
        </w:rPr>
        <w:t xml:space="preserve">To </w:t>
      </w:r>
      <w:r w:rsidR="0068760B" w:rsidRPr="00E63DCC">
        <w:rPr>
          <w:lang w:val="en-GB"/>
        </w:rPr>
        <w:t xml:space="preserve">address the </w:t>
      </w:r>
      <w:r w:rsidRPr="00E63DCC">
        <w:rPr>
          <w:lang w:val="en-GB"/>
        </w:rPr>
        <w:t xml:space="preserve">above-listed risks, ethical clearance will be obtained </w:t>
      </w:r>
      <w:r w:rsidR="0068760B" w:rsidRPr="00E63DCC">
        <w:rPr>
          <w:lang w:val="en-GB"/>
        </w:rPr>
        <w:t>from</w:t>
      </w:r>
      <w:r w:rsidRPr="00E63DCC">
        <w:rPr>
          <w:lang w:val="en-GB"/>
        </w:rPr>
        <w:t xml:space="preserve"> </w:t>
      </w:r>
      <w:r w:rsidR="00BE5686" w:rsidRPr="00E63DCC">
        <w:rPr>
          <w:lang w:val="en-GB"/>
        </w:rPr>
        <w:t>[name of organization</w:t>
      </w:r>
      <w:r w:rsidR="0068760B" w:rsidRPr="00E63DCC">
        <w:rPr>
          <w:lang w:val="en-GB"/>
        </w:rPr>
        <w:t xml:space="preserve">, </w:t>
      </w:r>
      <w:r w:rsidR="00BE5686" w:rsidRPr="00E63DCC">
        <w:rPr>
          <w:lang w:val="en-GB"/>
        </w:rPr>
        <w:t>committee</w:t>
      </w:r>
      <w:r w:rsidR="0068760B" w:rsidRPr="00E63DCC">
        <w:rPr>
          <w:lang w:val="en-GB"/>
        </w:rPr>
        <w:t xml:space="preserve"> or </w:t>
      </w:r>
      <w:r w:rsidR="00BE5686" w:rsidRPr="00E63DCC">
        <w:rPr>
          <w:lang w:val="en-GB"/>
        </w:rPr>
        <w:t>institution]</w:t>
      </w:r>
      <w:r w:rsidR="00AA2CCB" w:rsidRPr="00E63DCC">
        <w:rPr>
          <w:lang w:val="en-GB"/>
        </w:rPr>
        <w:t xml:space="preserve">. </w:t>
      </w:r>
      <w:r w:rsidRPr="00E63DCC">
        <w:rPr>
          <w:lang w:val="en-GB"/>
        </w:rPr>
        <w:t xml:space="preserve">According to the community engagement and sensitization approach as described in section </w:t>
      </w:r>
      <w:r w:rsidR="00BE5686" w:rsidRPr="00E63DCC">
        <w:rPr>
          <w:lang w:val="en-GB"/>
        </w:rPr>
        <w:t>[</w:t>
      </w:r>
      <w:r w:rsidRPr="00E63DCC">
        <w:rPr>
          <w:lang w:val="en-GB"/>
        </w:rPr>
        <w:t>3.4</w:t>
      </w:r>
      <w:r w:rsidR="00BE5686" w:rsidRPr="00E63DCC">
        <w:rPr>
          <w:lang w:val="en-GB"/>
        </w:rPr>
        <w:t>]</w:t>
      </w:r>
      <w:r w:rsidRPr="00E63DCC">
        <w:rPr>
          <w:lang w:val="en-GB"/>
        </w:rPr>
        <w:t>, the target populations will only be approached if the study is fully endorsed by all relevant authorities, stakeholders and service providers at provincial</w:t>
      </w:r>
      <w:r w:rsidR="00B56A87" w:rsidRPr="00E63DCC">
        <w:rPr>
          <w:lang w:val="en-GB"/>
        </w:rPr>
        <w:t xml:space="preserve">, </w:t>
      </w:r>
      <w:r w:rsidRPr="00E63DCC">
        <w:rPr>
          <w:lang w:val="en-GB"/>
        </w:rPr>
        <w:t>regional</w:t>
      </w:r>
      <w:r w:rsidR="00B56A87" w:rsidRPr="00E63DCC">
        <w:rPr>
          <w:lang w:val="en-GB"/>
        </w:rPr>
        <w:t xml:space="preserve">, </w:t>
      </w:r>
      <w:r w:rsidRPr="00E63DCC">
        <w:rPr>
          <w:lang w:val="en-GB"/>
        </w:rPr>
        <w:t>district and local levels. In</w:t>
      </w:r>
      <w:r w:rsidR="00B45BA2" w:rsidRPr="00E63DCC">
        <w:rPr>
          <w:lang w:val="en-GB"/>
        </w:rPr>
        <w:t xml:space="preserve"> a</w:t>
      </w:r>
      <w:r w:rsidRPr="00E63DCC">
        <w:rPr>
          <w:lang w:val="en-GB"/>
        </w:rPr>
        <w:t xml:space="preserve"> case</w:t>
      </w:r>
      <w:r w:rsidR="00B45BA2" w:rsidRPr="00E63DCC">
        <w:rPr>
          <w:lang w:val="en-GB"/>
        </w:rPr>
        <w:t xml:space="preserve"> where</w:t>
      </w:r>
      <w:r w:rsidRPr="00E63DCC">
        <w:rPr>
          <w:lang w:val="en-GB"/>
        </w:rPr>
        <w:t xml:space="preserve"> the research study and its activities are not accepted and endorsed at all levels, no study activities will be conducted. </w:t>
      </w:r>
    </w:p>
    <w:p w14:paraId="5DD38721" w14:textId="43B7DB7C" w:rsidR="009D4794" w:rsidRPr="00E63DCC" w:rsidRDefault="009D4794" w:rsidP="00A5640C">
      <w:pPr>
        <w:rPr>
          <w:lang w:val="en-GB"/>
        </w:rPr>
      </w:pPr>
      <w:r w:rsidRPr="00E63DCC">
        <w:rPr>
          <w:lang w:val="en-GB"/>
        </w:rPr>
        <w:t>Leaders</w:t>
      </w:r>
      <w:r w:rsidR="00B45BA2" w:rsidRPr="00E63DCC">
        <w:rPr>
          <w:lang w:val="en-GB"/>
        </w:rPr>
        <w:t xml:space="preserve"> and </w:t>
      </w:r>
      <w:r w:rsidRPr="00E63DCC">
        <w:rPr>
          <w:lang w:val="en-GB"/>
        </w:rPr>
        <w:t>individuals have the right to</w:t>
      </w:r>
      <w:r w:rsidR="00B45BA2" w:rsidRPr="00E63DCC">
        <w:rPr>
          <w:lang w:val="en-GB"/>
        </w:rPr>
        <w:t xml:space="preserve"> decline </w:t>
      </w:r>
      <w:r w:rsidRPr="00E63DCC">
        <w:rPr>
          <w:lang w:val="en-GB"/>
        </w:rPr>
        <w:t>participation and refuse access to ASGM sites. Since participation is entirely voluntary, refusal</w:t>
      </w:r>
      <w:r w:rsidR="00B45BA2" w:rsidRPr="00E63DCC">
        <w:rPr>
          <w:lang w:val="en-GB"/>
        </w:rPr>
        <w:t xml:space="preserve"> of</w:t>
      </w:r>
      <w:r w:rsidRPr="00E63DCC">
        <w:rPr>
          <w:lang w:val="en-GB"/>
        </w:rPr>
        <w:t xml:space="preserve"> or stopping participation will have no consequences. Consequently, through approvals gained at higher hierarchic</w:t>
      </w:r>
      <w:r w:rsidR="00B45BA2" w:rsidRPr="00E63DCC">
        <w:rPr>
          <w:lang w:val="en-GB"/>
        </w:rPr>
        <w:t>al</w:t>
      </w:r>
      <w:r w:rsidRPr="00E63DCC">
        <w:rPr>
          <w:lang w:val="en-GB"/>
        </w:rPr>
        <w:t xml:space="preserve"> levels, miners and their family members are not put at risk of losing their livelihoods or any other negative consequences or disadvantages </w:t>
      </w:r>
      <w:r w:rsidR="00B45BA2" w:rsidRPr="00E63DCC">
        <w:rPr>
          <w:lang w:val="en-GB"/>
        </w:rPr>
        <w:t>through</w:t>
      </w:r>
      <w:r w:rsidRPr="00E63DCC">
        <w:rPr>
          <w:lang w:val="en-GB"/>
        </w:rPr>
        <w:t xml:space="preserve"> participation in this research study. </w:t>
      </w:r>
    </w:p>
    <w:p w14:paraId="16F3F33A" w14:textId="6FF00807" w:rsidR="009D4794" w:rsidRPr="00E63DCC" w:rsidRDefault="009D4794" w:rsidP="00A5640C">
      <w:pPr>
        <w:rPr>
          <w:lang w:val="en-GB"/>
        </w:rPr>
      </w:pPr>
      <w:r w:rsidRPr="00E63DCC">
        <w:rPr>
          <w:lang w:val="en-GB"/>
        </w:rPr>
        <w:t>More specifically,</w:t>
      </w:r>
      <w:r w:rsidR="00994644" w:rsidRPr="00E63DCC">
        <w:rPr>
          <w:lang w:val="en-GB"/>
        </w:rPr>
        <w:t xml:space="preserve"> the</w:t>
      </w:r>
      <w:r w:rsidRPr="00E63DCC">
        <w:rPr>
          <w:lang w:val="en-GB"/>
        </w:rPr>
        <w:t xml:space="preserve"> following precautionary measures were elaborated in view of</w:t>
      </w:r>
      <w:r w:rsidR="00994644" w:rsidRPr="00E63DCC">
        <w:rPr>
          <w:lang w:val="en-GB"/>
        </w:rPr>
        <w:t xml:space="preserve"> their</w:t>
      </w:r>
      <w:r w:rsidRPr="00E63DCC">
        <w:rPr>
          <w:lang w:val="en-GB"/>
        </w:rPr>
        <w:t xml:space="preserve"> </w:t>
      </w:r>
      <w:r w:rsidR="00D17851" w:rsidRPr="00E63DCC">
        <w:rPr>
          <w:lang w:val="en-GB"/>
        </w:rPr>
        <w:t>cor</w:t>
      </w:r>
      <w:r w:rsidRPr="00E63DCC">
        <w:rPr>
          <w:lang w:val="en-GB"/>
        </w:rPr>
        <w:t>respond</w:t>
      </w:r>
      <w:r w:rsidR="00994644" w:rsidRPr="00E63DCC">
        <w:rPr>
          <w:lang w:val="en-GB"/>
        </w:rPr>
        <w:t>ence</w:t>
      </w:r>
      <w:r w:rsidRPr="00E63DCC">
        <w:rPr>
          <w:lang w:val="en-GB"/>
        </w:rPr>
        <w:t xml:space="preserve"> to the above</w:t>
      </w:r>
      <w:r w:rsidR="00994644" w:rsidRPr="00E63DCC">
        <w:rPr>
          <w:lang w:val="en-GB"/>
        </w:rPr>
        <w:t>-</w:t>
      </w:r>
      <w:r w:rsidRPr="00E63DCC">
        <w:rPr>
          <w:lang w:val="en-GB"/>
        </w:rPr>
        <w:t>listed risks</w:t>
      </w:r>
      <w:r w:rsidR="00994644" w:rsidRPr="00E63DCC">
        <w:rPr>
          <w:lang w:val="en-GB"/>
        </w:rPr>
        <w:t>.</w:t>
      </w:r>
    </w:p>
    <w:p w14:paraId="27C6C3AD" w14:textId="15E8AD55" w:rsidR="009D4794" w:rsidRPr="00E63DCC" w:rsidRDefault="009D4794" w:rsidP="008C0AFA">
      <w:pPr>
        <w:pStyle w:val="Listnumbered"/>
        <w:numPr>
          <w:ilvl w:val="0"/>
          <w:numId w:val="40"/>
        </w:numPr>
      </w:pPr>
      <w:r w:rsidRPr="00E63DCC">
        <w:t>All the data collected by means of direct observations, KII</w:t>
      </w:r>
      <w:r w:rsidR="00994644" w:rsidRPr="00E63DCC">
        <w:t>s</w:t>
      </w:r>
      <w:r w:rsidRPr="00E63DCC">
        <w:t xml:space="preserve"> and FGD</w:t>
      </w:r>
      <w:r w:rsidR="00994644" w:rsidRPr="00E63DCC">
        <w:t>s are</w:t>
      </w:r>
      <w:r w:rsidRPr="00E63DCC">
        <w:t xml:space="preserve"> fully confidential. Names will only be obtained for the informed consent and</w:t>
      </w:r>
      <w:r w:rsidR="00994644" w:rsidRPr="00E63DCC">
        <w:t xml:space="preserve"> will</w:t>
      </w:r>
      <w:r w:rsidRPr="00E63DCC">
        <w:t xml:space="preserve"> not be associated with any of the data collected or shared without the participants’ consent. For this reason, professional interviewers, community-based associations and </w:t>
      </w:r>
      <w:r w:rsidR="005003AC" w:rsidRPr="00E63DCC">
        <w:rPr>
          <w:rFonts w:cs="Arial"/>
        </w:rPr>
        <w:t>CSO</w:t>
      </w:r>
      <w:r w:rsidRPr="00E63DCC">
        <w:t xml:space="preserve">s will be trained in the importance of privacy and confidentiality protection and will not pertain to any of the surveyed communities, </w:t>
      </w:r>
      <w:r w:rsidR="00FC4FE2" w:rsidRPr="00E63DCC">
        <w:t>en</w:t>
      </w:r>
      <w:r w:rsidRPr="00E63DCC">
        <w:t>suring their independence and avoid</w:t>
      </w:r>
      <w:r w:rsidR="00FC4FE2" w:rsidRPr="00E63DCC">
        <w:t>ing</w:t>
      </w:r>
      <w:r w:rsidRPr="00E63DCC">
        <w:t xml:space="preserve"> potential conflict of interest. Furthermore, no names that allow identif</w:t>
      </w:r>
      <w:r w:rsidR="00C419E7" w:rsidRPr="00E63DCC">
        <w:t>ication of</w:t>
      </w:r>
      <w:r w:rsidRPr="00E63DCC">
        <w:t xml:space="preserve"> an individual pursuing any high</w:t>
      </w:r>
      <w:r w:rsidR="00C419E7" w:rsidRPr="00E63DCC">
        <w:t>-</w:t>
      </w:r>
      <w:r w:rsidRPr="00E63DCC">
        <w:t xml:space="preserve">risk or illegal activity will be mentioned or appear in any documentation – including photo documentation – of the research findings (see also </w:t>
      </w:r>
      <w:r w:rsidR="001C0EC3" w:rsidRPr="00E63DCC">
        <w:t>point 4 below</w:t>
      </w:r>
      <w:r w:rsidRPr="00E63DCC">
        <w:t xml:space="preserve">). In addition, no georeferenced data will be collected that would </w:t>
      </w:r>
      <w:r w:rsidRPr="00E63DCC">
        <w:lastRenderedPageBreak/>
        <w:t>allow tracing back specific locations where ASGM activities take p</w:t>
      </w:r>
      <w:r w:rsidR="001C0EC3" w:rsidRPr="00E63DCC">
        <w:t>lace</w:t>
      </w:r>
      <w:r w:rsidRPr="00E63DCC">
        <w:t xml:space="preserve">. Finally, all data will be kept strictly private and stored on a secure server at </w:t>
      </w:r>
      <w:r w:rsidR="00714E15" w:rsidRPr="00E63DCC">
        <w:t>[name of institution]</w:t>
      </w:r>
      <w:r w:rsidRPr="00E63DCC">
        <w:t>, which is only accessible to the investigators.</w:t>
      </w:r>
    </w:p>
    <w:p w14:paraId="0F4D81E4" w14:textId="13055CAA" w:rsidR="009D4794" w:rsidRPr="00E63DCC" w:rsidRDefault="009D4794" w:rsidP="0060286A">
      <w:pPr>
        <w:pStyle w:val="Listnumbered"/>
        <w:numPr>
          <w:ilvl w:val="0"/>
          <w:numId w:val="40"/>
        </w:numPr>
      </w:pPr>
      <w:r w:rsidRPr="00E63DCC">
        <w:t>The ASGM sites where the study will be implemented are well known sites. Usually, local and national authorities are fully aware of the illegal and high-risk activities that are widely practi</w:t>
      </w:r>
      <w:r w:rsidR="00CD5662" w:rsidRPr="00E63DCC">
        <w:t>s</w:t>
      </w:r>
      <w:r w:rsidRPr="00E63DCC">
        <w:t>ed in these sites. This reduces</w:t>
      </w:r>
      <w:r w:rsidR="00EE4ACE" w:rsidRPr="00E63DCC">
        <w:t xml:space="preserve"> this</w:t>
      </w:r>
      <w:r w:rsidRPr="00E63DCC">
        <w:t xml:space="preserve"> risk considerably</w:t>
      </w:r>
      <w:r w:rsidR="00EE4ACE" w:rsidRPr="00E63DCC">
        <w:t>,</w:t>
      </w:r>
      <w:r w:rsidRPr="00E63DCC">
        <w:t xml:space="preserve"> because th</w:t>
      </w:r>
      <w:r w:rsidR="00EE4ACE" w:rsidRPr="00E63DCC">
        <w:t>e</w:t>
      </w:r>
      <w:r w:rsidRPr="00E63DCC">
        <w:t xml:space="preserve"> study will not provide proof of something that could be used as legal documentation or that has not been known before, but will provide a systematic description thereof. Moreover, if authorities wanted to prohibit informal gold mining, they could do so at any time without the need </w:t>
      </w:r>
      <w:r w:rsidR="00E7135F" w:rsidRPr="00E63DCC">
        <w:t>for</w:t>
      </w:r>
      <w:r w:rsidRPr="00E63DCC">
        <w:t xml:space="preserve"> th</w:t>
      </w:r>
      <w:r w:rsidR="00EE4ACE" w:rsidRPr="00E63DCC">
        <w:t>e</w:t>
      </w:r>
      <w:r w:rsidRPr="00E63DCC">
        <w:t xml:space="preserve"> study</w:t>
      </w:r>
      <w:r w:rsidR="00EE4ACE" w:rsidRPr="00E63DCC">
        <w:t>,</w:t>
      </w:r>
      <w:r w:rsidRPr="00E63DCC">
        <w:t xml:space="preserve"> as the environmental and human health externalities are well known.</w:t>
      </w:r>
    </w:p>
    <w:p w14:paraId="2B7CCA97" w14:textId="25224911" w:rsidR="009D4794" w:rsidRPr="00E63DCC" w:rsidRDefault="009D4794" w:rsidP="00097E72">
      <w:pPr>
        <w:pStyle w:val="Listnumbered"/>
        <w:numPr>
          <w:ilvl w:val="0"/>
          <w:numId w:val="40"/>
        </w:numPr>
      </w:pPr>
      <w:r w:rsidRPr="00E63DCC">
        <w:t>The study team will be sensitized prior to the conduct of the study about potential signs of resistance or conflict in study participants or communities visited. These include aggressive behaviour, requests to leave the site or reluctance of individuals to participate in KII</w:t>
      </w:r>
      <w:r w:rsidR="0058756D" w:rsidRPr="00E63DCC">
        <w:t>s</w:t>
      </w:r>
      <w:r w:rsidRPr="00E63DCC">
        <w:t xml:space="preserve"> or FGDs. In such circumstances the study team is advised to not start, or</w:t>
      </w:r>
      <w:r w:rsidR="0058756D" w:rsidRPr="00E63DCC">
        <w:t xml:space="preserve"> to</w:t>
      </w:r>
      <w:r w:rsidRPr="00E63DCC">
        <w:t xml:space="preserve"> interrupt the data collection and proceed to another site. If sites are visited where artisanal gold mining activities are carried out,</w:t>
      </w:r>
      <w:r w:rsidR="00D17851" w:rsidRPr="00E63DCC">
        <w:t xml:space="preserve"> or</w:t>
      </w:r>
      <w:r w:rsidRPr="00E63DCC">
        <w:t xml:space="preserve"> </w:t>
      </w:r>
      <w:r w:rsidR="00D17851" w:rsidRPr="00E63DCC">
        <w:t>that</w:t>
      </w:r>
      <w:r w:rsidRPr="00E63DCC">
        <w:t xml:space="preserve"> may include potentially illegal or high-risk activities, the study team, accompanied by one of their mobili</w:t>
      </w:r>
      <w:r w:rsidR="00714E15" w:rsidRPr="00E63DCC">
        <w:t>z</w:t>
      </w:r>
      <w:r w:rsidRPr="00E63DCC">
        <w:t>ers, will first ask permission from the people present to visit the site. If permission is warranted, this will still give individuals the time to prepare or for those who prefer not</w:t>
      </w:r>
      <w:r w:rsidR="00A52860" w:rsidRPr="00E63DCC">
        <w:t xml:space="preserve"> to</w:t>
      </w:r>
      <w:r w:rsidRPr="00E63DCC">
        <w:t xml:space="preserve"> be present to avoid the day</w:t>
      </w:r>
      <w:r w:rsidR="00A52860" w:rsidRPr="00E63DCC">
        <w:t xml:space="preserve"> or </w:t>
      </w:r>
      <w:r w:rsidRPr="00E63DCC">
        <w:t xml:space="preserve">hours of the site visit. </w:t>
      </w:r>
    </w:p>
    <w:p w14:paraId="6D74D69F" w14:textId="123711B5" w:rsidR="009D4794" w:rsidRPr="00E63DCC" w:rsidRDefault="009D4794" w:rsidP="00485FC7">
      <w:pPr>
        <w:pStyle w:val="Listnumbered"/>
        <w:numPr>
          <w:ilvl w:val="0"/>
          <w:numId w:val="40"/>
        </w:numPr>
      </w:pPr>
      <w:r w:rsidRPr="00E63DCC">
        <w:t xml:space="preserve">No photos will be taken unless the individuals present explicitly consent. Prior to visiting each site, permission to take pictures on the site will be sought from the local </w:t>
      </w:r>
      <w:r w:rsidR="00CB2D6F" w:rsidRPr="00E63DCC">
        <w:t>m</w:t>
      </w:r>
      <w:r w:rsidRPr="00E63DCC">
        <w:t>iners</w:t>
      </w:r>
      <w:r w:rsidR="00CB2D6F" w:rsidRPr="00E63DCC">
        <w:t>’</w:t>
      </w:r>
      <w:r w:rsidRPr="00E63DCC">
        <w:t xml:space="preserve"> </w:t>
      </w:r>
      <w:r w:rsidR="00CB2D6F" w:rsidRPr="00E63DCC">
        <w:t>a</w:t>
      </w:r>
      <w:r w:rsidRPr="00E63DCC">
        <w:t>ssociation. Each individual photographed will be required to sign an</w:t>
      </w:r>
      <w:r w:rsidR="00CB2D6F" w:rsidRPr="00E63DCC">
        <w:t xml:space="preserve"> informed consent form</w:t>
      </w:r>
      <w:r w:rsidRPr="00E63DCC">
        <w:t xml:space="preserve"> (see </w:t>
      </w:r>
      <w:r w:rsidR="00714E15" w:rsidRPr="00E63DCC">
        <w:t>A</w:t>
      </w:r>
      <w:r w:rsidRPr="00E63DCC">
        <w:t xml:space="preserve">nnex </w:t>
      </w:r>
      <w:r w:rsidR="006F34A3" w:rsidRPr="00E63DCC">
        <w:t>13</w:t>
      </w:r>
      <w:r w:rsidR="00960507" w:rsidRPr="00E63DCC">
        <w:t xml:space="preserve"> to the step-by-step guide</w:t>
      </w:r>
      <w:r w:rsidRPr="00E63DCC">
        <w:t>) prior to photo taking</w:t>
      </w:r>
      <w:r w:rsidR="00CB2D6F" w:rsidRPr="00E63DCC">
        <w:t>, giving</w:t>
      </w:r>
      <w:r w:rsidRPr="00E63DCC">
        <w:t xml:space="preserve"> consent</w:t>
      </w:r>
      <w:r w:rsidR="00CB2D6F" w:rsidRPr="00E63DCC">
        <w:t xml:space="preserve"> for the </w:t>
      </w:r>
      <w:r w:rsidRPr="00E63DCC">
        <w:t>picture</w:t>
      </w:r>
      <w:r w:rsidR="00CB2D6F" w:rsidRPr="00E63DCC">
        <w:t xml:space="preserve"> to be </w:t>
      </w:r>
      <w:r w:rsidRPr="00E63DCC">
        <w:t>taken and</w:t>
      </w:r>
      <w:r w:rsidR="00CB2D6F" w:rsidRPr="00E63DCC">
        <w:t xml:space="preserve"> granting the</w:t>
      </w:r>
      <w:r w:rsidRPr="00E63DCC">
        <w:t xml:space="preserve"> investigators the option to use the photo for dissemination purposes. For individuals</w:t>
      </w:r>
      <w:r w:rsidR="00CB2D6F" w:rsidRPr="00E63DCC">
        <w:t xml:space="preserve"> aged less than </w:t>
      </w:r>
      <w:r w:rsidRPr="00E63DCC">
        <w:t>18 years, the parent</w:t>
      </w:r>
      <w:r w:rsidR="00CB2D6F" w:rsidRPr="00E63DCC">
        <w:t xml:space="preserve"> or </w:t>
      </w:r>
      <w:r w:rsidRPr="00E63DCC">
        <w:t>legal guardian has the right to sign the</w:t>
      </w:r>
      <w:r w:rsidR="00CB2D6F" w:rsidRPr="00E63DCC">
        <w:t xml:space="preserve"> informed consent form</w:t>
      </w:r>
      <w:r w:rsidRPr="00E63DCC">
        <w:t>. No names will be disseminated together with the photograph.</w:t>
      </w:r>
    </w:p>
    <w:p w14:paraId="4C0BBD90" w14:textId="65AEFD75" w:rsidR="009D4794" w:rsidRPr="00E63DCC" w:rsidRDefault="009D4794" w:rsidP="00A5640C">
      <w:pPr>
        <w:rPr>
          <w:lang w:val="en-GB"/>
        </w:rPr>
      </w:pPr>
      <w:r w:rsidRPr="00E63DCC">
        <w:rPr>
          <w:lang w:val="en-GB"/>
        </w:rPr>
        <w:t>Furthermore, to ensure that local workers are sufficiently informed about the nature of the investigation and the potential risks of participation, a participatory community engagement approach will be pursued throughout the research study (see</w:t>
      </w:r>
      <w:r w:rsidR="0017103B" w:rsidRPr="00E63DCC">
        <w:rPr>
          <w:lang w:val="en-GB"/>
        </w:rPr>
        <w:t xml:space="preserve"> section </w:t>
      </w:r>
      <w:r w:rsidR="00714E15" w:rsidRPr="00E63DCC">
        <w:rPr>
          <w:lang w:val="en-GB"/>
        </w:rPr>
        <w:t>[</w:t>
      </w:r>
      <w:r w:rsidRPr="00E63DCC">
        <w:rPr>
          <w:lang w:val="en-GB"/>
        </w:rPr>
        <w:t>3.4</w:t>
      </w:r>
      <w:r w:rsidR="00714E15" w:rsidRPr="00E63DCC">
        <w:rPr>
          <w:lang w:val="en-GB"/>
        </w:rPr>
        <w:t>]</w:t>
      </w:r>
      <w:r w:rsidR="0017103B" w:rsidRPr="00E63DCC">
        <w:rPr>
          <w:lang w:val="en-GB"/>
        </w:rPr>
        <w:t xml:space="preserve"> on c</w:t>
      </w:r>
      <w:r w:rsidRPr="00E63DCC">
        <w:rPr>
          <w:lang w:val="en-GB"/>
        </w:rPr>
        <w:t xml:space="preserve">ommunity mobilization and sensitization activities and Annex </w:t>
      </w:r>
      <w:r w:rsidR="008711C4" w:rsidRPr="00E63DCC">
        <w:rPr>
          <w:lang w:val="en-GB"/>
        </w:rPr>
        <w:t>8 to the step-by-step guide</w:t>
      </w:r>
      <w:r w:rsidR="000F1E58" w:rsidRPr="00E63DCC">
        <w:rPr>
          <w:lang w:val="en-GB"/>
        </w:rPr>
        <w:t xml:space="preserve"> </w:t>
      </w:r>
      <w:r w:rsidR="0017103B" w:rsidRPr="00E63DCC">
        <w:rPr>
          <w:lang w:val="en-GB"/>
        </w:rPr>
        <w:t>on the s</w:t>
      </w:r>
      <w:r w:rsidRPr="00E63DCC">
        <w:rPr>
          <w:lang w:val="en-GB"/>
        </w:rPr>
        <w:t>ocial mobilization plan).</w:t>
      </w:r>
    </w:p>
    <w:p w14:paraId="5D4DA687" w14:textId="1D4E85DE" w:rsidR="00714E15" w:rsidRPr="00E63DCC" w:rsidRDefault="00714E15" w:rsidP="00A5640C">
      <w:pPr>
        <w:rPr>
          <w:lang w:val="en-GB"/>
        </w:rPr>
      </w:pPr>
      <w:r w:rsidRPr="00E63DCC">
        <w:rPr>
          <w:lang w:val="en-GB"/>
        </w:rPr>
        <w:t xml:space="preserve">[Please </w:t>
      </w:r>
      <w:r w:rsidR="004C0552" w:rsidRPr="00E63DCC">
        <w:rPr>
          <w:lang w:val="en-GB"/>
        </w:rPr>
        <w:t>modify</w:t>
      </w:r>
      <w:r w:rsidRPr="00E63DCC">
        <w:rPr>
          <w:lang w:val="en-GB"/>
        </w:rPr>
        <w:t xml:space="preserve"> and develop the paragraphs above further by describing the precautionary measures that will be taken to respond to the risks identified </w:t>
      </w:r>
      <w:r w:rsidR="005E28AC" w:rsidRPr="00E63DCC">
        <w:rPr>
          <w:lang w:val="en-GB"/>
        </w:rPr>
        <w:t>in</w:t>
      </w:r>
      <w:r w:rsidRPr="00E63DCC">
        <w:rPr>
          <w:lang w:val="en-GB"/>
        </w:rPr>
        <w:t xml:space="preserve"> your study.]</w:t>
      </w:r>
    </w:p>
    <w:p w14:paraId="79741A85" w14:textId="43008F73" w:rsidR="009D4794" w:rsidRPr="00E63DCC" w:rsidRDefault="009D4794" w:rsidP="00A5640C">
      <w:pPr>
        <w:rPr>
          <w:lang w:val="en-GB"/>
        </w:rPr>
      </w:pPr>
      <w:r w:rsidRPr="00E63DCC">
        <w:rPr>
          <w:lang w:val="en-GB"/>
        </w:rPr>
        <w:t xml:space="preserve">In </w:t>
      </w:r>
      <w:r w:rsidR="001A5E73" w:rsidRPr="00E63DCC">
        <w:rPr>
          <w:lang w:val="en-GB"/>
        </w:rPr>
        <w:t xml:space="preserve">a </w:t>
      </w:r>
      <w:r w:rsidRPr="00E63DCC">
        <w:rPr>
          <w:lang w:val="en-GB"/>
        </w:rPr>
        <w:t>case</w:t>
      </w:r>
      <w:r w:rsidR="001A5E73" w:rsidRPr="00E63DCC">
        <w:rPr>
          <w:lang w:val="en-GB"/>
        </w:rPr>
        <w:t xml:space="preserve"> where</w:t>
      </w:r>
      <w:r w:rsidRPr="00E63DCC">
        <w:rPr>
          <w:lang w:val="en-GB"/>
        </w:rPr>
        <w:t xml:space="preserve"> a study participant presents with obvious health problems,</w:t>
      </w:r>
      <w:r w:rsidR="001A5E73" w:rsidRPr="00E63DCC">
        <w:rPr>
          <w:lang w:val="en-GB"/>
        </w:rPr>
        <w:t xml:space="preserve"> they </w:t>
      </w:r>
      <w:r w:rsidRPr="00E63DCC">
        <w:rPr>
          <w:lang w:val="en-GB"/>
        </w:rPr>
        <w:t xml:space="preserve">will be referred to the local health system. At the primary health care level, primary care providers such as nurses, community health workers and general family physicians may be the first point of contact for workers exposed to health hazards associated with artisanal and small-scale mining. These services will be strengthened as part of the larger NAP context, </w:t>
      </w:r>
      <w:r w:rsidRPr="00E63DCC">
        <w:rPr>
          <w:lang w:val="en-GB"/>
        </w:rPr>
        <w:lastRenderedPageBreak/>
        <w:t xml:space="preserve">providing the necessary policy framing and services to adequately address the health situation and needs of the mining community. </w:t>
      </w:r>
    </w:p>
    <w:p w14:paraId="762A5F04" w14:textId="6774B71B" w:rsidR="009D4794" w:rsidRPr="00E63DCC" w:rsidRDefault="009D4794" w:rsidP="00A5640C">
      <w:pPr>
        <w:rPr>
          <w:lang w:val="en-GB"/>
        </w:rPr>
      </w:pPr>
      <w:r w:rsidRPr="00E63DCC">
        <w:rPr>
          <w:lang w:val="en-GB"/>
        </w:rPr>
        <w:t>In relation to potential benefits and participants’ potential expectations in terms of improved services becoming available in response to their specific health needs or any other constraints they face, it will be very important to specifically communicate the benefits of participating in the study, as well as what the study is not meant to do. Specifically, this means that the information will be passed that no direct benefits can be expected from the study</w:t>
      </w:r>
      <w:r w:rsidR="002C5905" w:rsidRPr="00E63DCC">
        <w:rPr>
          <w:lang w:val="en-GB"/>
        </w:rPr>
        <w:t>,</w:t>
      </w:r>
      <w:r w:rsidRPr="00E63DCC">
        <w:rPr>
          <w:lang w:val="en-GB"/>
        </w:rPr>
        <w:t xml:space="preserve"> such as medical care or protective equipment. </w:t>
      </w:r>
    </w:p>
    <w:p w14:paraId="528C22A6" w14:textId="5DF47F0B" w:rsidR="009D4794" w:rsidRPr="00E63DCC" w:rsidRDefault="009D4794" w:rsidP="00A5640C">
      <w:pPr>
        <w:rPr>
          <w:lang w:val="en-GB"/>
        </w:rPr>
      </w:pPr>
      <w:r w:rsidRPr="00E63DCC">
        <w:rPr>
          <w:lang w:val="en-GB"/>
        </w:rPr>
        <w:t>There are however multiple expected benefits and impacts of this work</w:t>
      </w:r>
      <w:r w:rsidR="002C5905" w:rsidRPr="00E63DCC">
        <w:rPr>
          <w:lang w:val="en-GB"/>
        </w:rPr>
        <w:t>.</w:t>
      </w:r>
    </w:p>
    <w:p w14:paraId="651A206E" w14:textId="14732866" w:rsidR="009D4794" w:rsidRPr="00E63DCC" w:rsidRDefault="009D4794" w:rsidP="008C23A0">
      <w:pPr>
        <w:pStyle w:val="Listnumbered"/>
        <w:numPr>
          <w:ilvl w:val="0"/>
          <w:numId w:val="41"/>
        </w:numPr>
      </w:pPr>
      <w:r w:rsidRPr="00E63DCC">
        <w:t>Communities are more aware and have improved knowledge o</w:t>
      </w:r>
      <w:r w:rsidR="002C5905" w:rsidRPr="00E63DCC">
        <w:t>f</w:t>
      </w:r>
      <w:r w:rsidRPr="00E63DCC">
        <w:t xml:space="preserve"> the health risks associated with ASGM and receive support from their governments in introducing safer practices and reducing high-risks activities (eliminating whole ore amalgamation, open burning of amalgam or processed amalgam, burning of amalgam in residential areas,</w:t>
      </w:r>
      <w:r w:rsidR="002C5905" w:rsidRPr="00E63DCC">
        <w:t xml:space="preserve"> and</w:t>
      </w:r>
      <w:r w:rsidRPr="00E63DCC">
        <w:t xml:space="preserve"> mercury leaching in sediment)</w:t>
      </w:r>
      <w:r w:rsidR="002C5905" w:rsidRPr="00E63DCC">
        <w:t>.</w:t>
      </w:r>
    </w:p>
    <w:p w14:paraId="365B0BE8" w14:textId="3E99037B" w:rsidR="009D4794" w:rsidRPr="00E63DCC" w:rsidRDefault="009D4794" w:rsidP="00654FF0">
      <w:pPr>
        <w:pStyle w:val="Listnumbered"/>
      </w:pPr>
      <w:r w:rsidRPr="00E63DCC">
        <w:t>The project will contribute to raising</w:t>
      </w:r>
      <w:r w:rsidR="002C5905" w:rsidRPr="00E63DCC">
        <w:t xml:space="preserve"> the</w:t>
      </w:r>
      <w:r w:rsidRPr="00E63DCC">
        <w:t xml:space="preserve"> capacity and awareness not only of the miners, but also of the health care workers and health care facilities as part of wider health promotion and community mobilization. This will enable the health services to have a better understanding of the health concerns related to ASGM exposure and to be able to detect health outcomes and point to risks</w:t>
      </w:r>
      <w:r w:rsidR="002C5905" w:rsidRPr="00E63DCC">
        <w:t>.</w:t>
      </w:r>
    </w:p>
    <w:p w14:paraId="5DE484FE" w14:textId="1AE924BE" w:rsidR="009D4794" w:rsidRPr="00E63DCC" w:rsidRDefault="002C5905" w:rsidP="00654FF0">
      <w:pPr>
        <w:pStyle w:val="Listnumbered"/>
      </w:pPr>
      <w:r w:rsidRPr="00E63DCC">
        <w:t>In the</w:t>
      </w:r>
      <w:r w:rsidR="009D4794" w:rsidRPr="00E63DCC">
        <w:t xml:space="preserve"> medium term, as part of the public health strategy to be developed (NAP process), these facilities could be equipped with better services and treatments. While mercury exposure, and potential prevention thereof, will be a central feature of the health situation assessment, the full range of potential health issues affecting ASGM communities will be taken into account</w:t>
      </w:r>
      <w:r w:rsidRPr="00E63DCC">
        <w:t>.</w:t>
      </w:r>
    </w:p>
    <w:p w14:paraId="22CEE994" w14:textId="040BECC5" w:rsidR="009D4794" w:rsidRPr="00E63DCC" w:rsidRDefault="009D4794" w:rsidP="00654FF0">
      <w:pPr>
        <w:pStyle w:val="Listnumbered"/>
      </w:pPr>
      <w:r w:rsidRPr="00E63DCC">
        <w:t>In the long term, the potential impacts and benefits of this work could be much wider. As part of the</w:t>
      </w:r>
      <w:r w:rsidR="004C0552" w:rsidRPr="00E63DCC">
        <w:t xml:space="preserve"> </w:t>
      </w:r>
      <w:r w:rsidRPr="00E63DCC">
        <w:t>NAP process, the study could contribute to the political process of promoting alternatives to mercury in ASGM, creating linkages to other partners and stakeholders (</w:t>
      </w:r>
      <w:r w:rsidR="001D4163" w:rsidRPr="00E63DCC">
        <w:t xml:space="preserve">such as </w:t>
      </w:r>
      <w:r w:rsidR="004C0552" w:rsidRPr="00E63DCC">
        <w:t>different ministries</w:t>
      </w:r>
      <w:r w:rsidRPr="00E63DCC">
        <w:t>) to encourage new mining sector laws and regulations (including formalization of ASGM) and to promote strategies for community outreach and stakeholder involvement. As a result of this process, national objectives in mercury reduction targets and a roadmap for reductions will be identified through the development of the NAP (</w:t>
      </w:r>
      <w:r w:rsidR="001D4163" w:rsidRPr="00E63DCC">
        <w:t xml:space="preserve">in </w:t>
      </w:r>
      <w:r w:rsidRPr="00E63DCC">
        <w:t>accord</w:t>
      </w:r>
      <w:r w:rsidR="001D4163" w:rsidRPr="00E63DCC">
        <w:t xml:space="preserve">ance with </w:t>
      </w:r>
      <w:r w:rsidR="009E4BB6" w:rsidRPr="00E63DCC">
        <w:t>Annex</w:t>
      </w:r>
      <w:r w:rsidRPr="00E63DCC">
        <w:t xml:space="preserve"> C </w:t>
      </w:r>
      <w:r w:rsidR="005A3A70" w:rsidRPr="00E63DCC">
        <w:t>to</w:t>
      </w:r>
      <w:r w:rsidRPr="00E63DCC">
        <w:t xml:space="preserve"> the Minamata Convention). </w:t>
      </w:r>
    </w:p>
    <w:p w14:paraId="76E39C6B" w14:textId="4DACCA92" w:rsidR="009D4794" w:rsidRPr="00E63DCC" w:rsidRDefault="009D4794" w:rsidP="00A5640C">
      <w:pPr>
        <w:rPr>
          <w:lang w:val="en-GB"/>
        </w:rPr>
      </w:pPr>
      <w:r w:rsidRPr="00E63DCC">
        <w:rPr>
          <w:lang w:val="en-GB"/>
        </w:rPr>
        <w:t>Hence, the benefits to be expected by communities in the long term relate to a larger political process stimulated by the study findings that can help address the root causes</w:t>
      </w:r>
      <w:r w:rsidR="001D4163" w:rsidRPr="00E63DCC">
        <w:rPr>
          <w:lang w:val="en-GB"/>
        </w:rPr>
        <w:t xml:space="preserve"> and </w:t>
      </w:r>
      <w:r w:rsidRPr="00E63DCC">
        <w:rPr>
          <w:lang w:val="en-GB"/>
        </w:rPr>
        <w:t xml:space="preserve">socioeconomic factors putting these communities at risk. </w:t>
      </w:r>
    </w:p>
    <w:p w14:paraId="14F4A3EB" w14:textId="5937D5C6" w:rsidR="009D4794" w:rsidRPr="00E63DCC" w:rsidRDefault="009D4794" w:rsidP="00A5640C">
      <w:pPr>
        <w:rPr>
          <w:lang w:val="en-GB"/>
        </w:rPr>
      </w:pPr>
      <w:r w:rsidRPr="00E63DCC">
        <w:rPr>
          <w:lang w:val="en-GB"/>
        </w:rPr>
        <w:t>Through the assessment of public health challenges of ASGM communities and the local health system’s readiness to respond, the intent of the</w:t>
      </w:r>
      <w:r w:rsidR="0074674B" w:rsidRPr="00E63DCC">
        <w:rPr>
          <w:lang w:val="en-GB"/>
        </w:rPr>
        <w:t xml:space="preserve"> ensuing </w:t>
      </w:r>
      <w:r w:rsidRPr="00E63DCC">
        <w:rPr>
          <w:lang w:val="en-GB"/>
        </w:rPr>
        <w:t>formulation of public health strategies as part of each NAP is to directly target identified gaps faced by ASGM communities in terms of inadequate knowledge or high-risk practices, inadequate access to quality health services</w:t>
      </w:r>
      <w:r w:rsidR="0074674B" w:rsidRPr="00E63DCC">
        <w:rPr>
          <w:lang w:val="en-GB"/>
        </w:rPr>
        <w:t>,</w:t>
      </w:r>
      <w:r w:rsidRPr="00E63DCC">
        <w:rPr>
          <w:lang w:val="en-GB"/>
        </w:rPr>
        <w:t xml:space="preserve"> or weak and insufficient </w:t>
      </w:r>
      <w:r w:rsidR="00261D79" w:rsidRPr="00E63DCC">
        <w:rPr>
          <w:lang w:val="en-GB"/>
        </w:rPr>
        <w:t>capacity</w:t>
      </w:r>
      <w:r w:rsidRPr="00E63DCC">
        <w:rPr>
          <w:lang w:val="en-GB"/>
        </w:rPr>
        <w:t xml:space="preserve"> of the health system to respond to </w:t>
      </w:r>
      <w:r w:rsidRPr="00E63DCC">
        <w:rPr>
          <w:lang w:val="en-GB"/>
        </w:rPr>
        <w:lastRenderedPageBreak/>
        <w:t>and address identified health challenges of the ASGM communities. Hence, the benefits expected by miners and ASGM communities will draw from the health sector</w:t>
      </w:r>
      <w:r w:rsidR="0074674B" w:rsidRPr="00E63DCC">
        <w:rPr>
          <w:lang w:val="en-GB"/>
        </w:rPr>
        <w:t>’</w:t>
      </w:r>
      <w:r w:rsidRPr="00E63DCC">
        <w:rPr>
          <w:lang w:val="en-GB"/>
        </w:rPr>
        <w:t xml:space="preserve">s improved </w:t>
      </w:r>
      <w:r w:rsidR="00261D79" w:rsidRPr="00E63DCC">
        <w:rPr>
          <w:lang w:val="en-GB"/>
        </w:rPr>
        <w:t>capacity</w:t>
      </w:r>
      <w:r w:rsidRPr="00E63DCC">
        <w:rPr>
          <w:lang w:val="en-GB"/>
        </w:rPr>
        <w:t xml:space="preserve"> to address issues of data collection</w:t>
      </w:r>
      <w:r w:rsidR="005A3A70" w:rsidRPr="00E63DCC">
        <w:rPr>
          <w:lang w:val="en-GB"/>
        </w:rPr>
        <w:t xml:space="preserve"> and</w:t>
      </w:r>
      <w:r w:rsidRPr="00E63DCC">
        <w:rPr>
          <w:lang w:val="en-GB"/>
        </w:rPr>
        <w:t xml:space="preserve"> to capture information about mercury exposure or illnesses and injuries related to ASGM, to provide access to training for health workers to address the additional health concerns of ASGM populations</w:t>
      </w:r>
      <w:r w:rsidR="0074674B" w:rsidRPr="00E63DCC">
        <w:rPr>
          <w:lang w:val="en-GB"/>
        </w:rPr>
        <w:t>,</w:t>
      </w:r>
      <w:r w:rsidRPr="00E63DCC">
        <w:rPr>
          <w:lang w:val="en-GB"/>
        </w:rPr>
        <w:t xml:space="preserve"> and to improve communication of risks and protection of vulnerable populations.</w:t>
      </w:r>
    </w:p>
    <w:p w14:paraId="0299C6F7" w14:textId="1B156B2D" w:rsidR="001C6B9B" w:rsidRPr="00E63DCC" w:rsidRDefault="001C6B9B" w:rsidP="00A5640C">
      <w:pPr>
        <w:rPr>
          <w:lang w:val="en-GB"/>
        </w:rPr>
      </w:pPr>
      <w:r w:rsidRPr="00E63DCC">
        <w:rPr>
          <w:lang w:val="en-GB"/>
        </w:rPr>
        <w:t xml:space="preserve">[Please </w:t>
      </w:r>
      <w:r w:rsidR="004C0552" w:rsidRPr="00E63DCC">
        <w:rPr>
          <w:lang w:val="en-GB"/>
        </w:rPr>
        <w:t>modify</w:t>
      </w:r>
      <w:r w:rsidRPr="00E63DCC">
        <w:rPr>
          <w:lang w:val="en-GB"/>
        </w:rPr>
        <w:t xml:space="preserve"> and develop the paragraphs above by </w:t>
      </w:r>
      <w:r w:rsidR="004C0552" w:rsidRPr="00E63DCC">
        <w:rPr>
          <w:lang w:val="en-GB"/>
        </w:rPr>
        <w:t>specifying</w:t>
      </w:r>
      <w:r w:rsidRPr="00E63DCC">
        <w:rPr>
          <w:lang w:val="en-GB"/>
        </w:rPr>
        <w:t xml:space="preserve"> the </w:t>
      </w:r>
      <w:r w:rsidR="004C0552" w:rsidRPr="00E63DCC">
        <w:rPr>
          <w:lang w:val="en-GB"/>
        </w:rPr>
        <w:t xml:space="preserve">expected </w:t>
      </w:r>
      <w:r w:rsidR="005E28AC" w:rsidRPr="00E63DCC">
        <w:rPr>
          <w:lang w:val="en-GB"/>
        </w:rPr>
        <w:t xml:space="preserve">short-, medium- and long-term </w:t>
      </w:r>
      <w:r w:rsidR="004C0552" w:rsidRPr="00E63DCC">
        <w:rPr>
          <w:lang w:val="en-GB"/>
        </w:rPr>
        <w:t>benefits</w:t>
      </w:r>
      <w:r w:rsidRPr="00E63DCC">
        <w:rPr>
          <w:lang w:val="en-GB"/>
        </w:rPr>
        <w:t xml:space="preserve"> </w:t>
      </w:r>
      <w:r w:rsidR="004C0552" w:rsidRPr="00E63DCC">
        <w:rPr>
          <w:lang w:val="en-GB"/>
        </w:rPr>
        <w:t xml:space="preserve">of </w:t>
      </w:r>
      <w:r w:rsidRPr="00E63DCC">
        <w:rPr>
          <w:lang w:val="en-GB"/>
        </w:rPr>
        <w:t>your study.]</w:t>
      </w:r>
    </w:p>
    <w:p w14:paraId="08412958" w14:textId="3ADFA71C" w:rsidR="009D4794" w:rsidRPr="00E63DCC" w:rsidRDefault="009D4794" w:rsidP="00A5640C">
      <w:pPr>
        <w:rPr>
          <w:lang w:val="en-GB"/>
        </w:rPr>
      </w:pPr>
      <w:r w:rsidRPr="00E63DCC">
        <w:rPr>
          <w:lang w:val="en-GB"/>
        </w:rPr>
        <w:t>The study team will make sure</w:t>
      </w:r>
      <w:r w:rsidR="0074674B" w:rsidRPr="00E63DCC">
        <w:rPr>
          <w:lang w:val="en-GB"/>
        </w:rPr>
        <w:t xml:space="preserve"> that they take the opportunity to explain to </w:t>
      </w:r>
      <w:r w:rsidRPr="00E63DCC">
        <w:rPr>
          <w:lang w:val="en-GB"/>
        </w:rPr>
        <w:t xml:space="preserve">the ASGM communities the benefits of the survey activities and to repeat the messages under the dissemination strategy (see also section </w:t>
      </w:r>
      <w:r w:rsidR="005E28AC" w:rsidRPr="00E63DCC">
        <w:rPr>
          <w:lang w:val="en-GB"/>
        </w:rPr>
        <w:t>[</w:t>
      </w:r>
      <w:r w:rsidRPr="00E63DCC">
        <w:rPr>
          <w:lang w:val="en-GB"/>
        </w:rPr>
        <w:t>3.4</w:t>
      </w:r>
      <w:r w:rsidR="005E28AC" w:rsidRPr="00E63DCC">
        <w:rPr>
          <w:lang w:val="en-GB"/>
        </w:rPr>
        <w:t>]</w:t>
      </w:r>
      <w:r w:rsidR="0074674B" w:rsidRPr="00E63DCC">
        <w:rPr>
          <w:lang w:val="en-GB"/>
        </w:rPr>
        <w:t xml:space="preserve"> on c</w:t>
      </w:r>
      <w:r w:rsidRPr="00E63DCC">
        <w:rPr>
          <w:lang w:val="en-GB"/>
        </w:rPr>
        <w:t xml:space="preserve">ommunity mobilization and sensitization activities). After the completion of the survey, </w:t>
      </w:r>
      <w:r w:rsidR="005003AC" w:rsidRPr="00E63DCC">
        <w:rPr>
          <w:rFonts w:cs="Arial"/>
          <w:lang w:val="en-GB"/>
        </w:rPr>
        <w:t>CSO</w:t>
      </w:r>
      <w:r w:rsidRPr="00E63DCC">
        <w:rPr>
          <w:lang w:val="en-GB"/>
        </w:rPr>
        <w:t>s will present</w:t>
      </w:r>
      <w:r w:rsidR="0074674B" w:rsidRPr="00E63DCC">
        <w:rPr>
          <w:lang w:val="en-GB"/>
        </w:rPr>
        <w:t xml:space="preserve"> the</w:t>
      </w:r>
      <w:r w:rsidRPr="00E63DCC">
        <w:rPr>
          <w:lang w:val="en-GB"/>
        </w:rPr>
        <w:t xml:space="preserve"> key findings to the ASGM communities and will further explain how the data will be used thereafter to develop public health strategies (see also section </w:t>
      </w:r>
      <w:r w:rsidR="005E28AC" w:rsidRPr="00E63DCC">
        <w:rPr>
          <w:lang w:val="en-GB"/>
        </w:rPr>
        <w:t>[</w:t>
      </w:r>
      <w:r w:rsidRPr="00E63DCC">
        <w:rPr>
          <w:lang w:val="en-GB"/>
        </w:rPr>
        <w:t>5.3</w:t>
      </w:r>
      <w:r w:rsidR="005E28AC" w:rsidRPr="00E63DCC">
        <w:rPr>
          <w:lang w:val="en-GB"/>
        </w:rPr>
        <w:t>]</w:t>
      </w:r>
      <w:r w:rsidRPr="00E63DCC">
        <w:rPr>
          <w:lang w:val="en-GB"/>
        </w:rPr>
        <w:t xml:space="preserve"> </w:t>
      </w:r>
      <w:r w:rsidR="0074674B" w:rsidRPr="00E63DCC">
        <w:rPr>
          <w:lang w:val="en-GB"/>
        </w:rPr>
        <w:t>on c</w:t>
      </w:r>
      <w:r w:rsidRPr="00E63DCC">
        <w:rPr>
          <w:lang w:val="en-GB"/>
        </w:rPr>
        <w:t>ommunity feedback).</w:t>
      </w:r>
    </w:p>
    <w:p w14:paraId="4184A9BA" w14:textId="5BBE5C05" w:rsidR="009D4794" w:rsidRPr="00E63DCC" w:rsidRDefault="009D4794" w:rsidP="00A5640C">
      <w:pPr>
        <w:rPr>
          <w:lang w:val="en-GB"/>
        </w:rPr>
      </w:pPr>
      <w:r w:rsidRPr="00E63DCC">
        <w:rPr>
          <w:lang w:val="en-GB"/>
        </w:rPr>
        <w:t>Moreover, there may be potential benefits for the mining associations and mine owners</w:t>
      </w:r>
      <w:r w:rsidR="0074674B" w:rsidRPr="00E63DCC">
        <w:rPr>
          <w:lang w:val="en-GB"/>
        </w:rPr>
        <w:t>,</w:t>
      </w:r>
      <w:r w:rsidRPr="00E63DCC">
        <w:rPr>
          <w:lang w:val="en-GB"/>
        </w:rPr>
        <w:t xml:space="preserve"> particularly through the establishment of a NAP. The NAP will lay out key factors to reduce the use of mercury. Strengthening the role, responsibility and incentives for the mining associations and mine owners and reducing their health, environmental and social impacts may further contribute to improved benefits for the ASGM communities.</w:t>
      </w:r>
    </w:p>
    <w:p w14:paraId="6741617C" w14:textId="3395A043" w:rsidR="005E28AC" w:rsidRPr="00E63DCC" w:rsidRDefault="005E28AC" w:rsidP="00A5640C">
      <w:pPr>
        <w:rPr>
          <w:lang w:val="en-GB"/>
        </w:rPr>
      </w:pPr>
      <w:r w:rsidRPr="00E63DCC">
        <w:rPr>
          <w:lang w:val="en-GB"/>
        </w:rPr>
        <w:t xml:space="preserve">[Please </w:t>
      </w:r>
      <w:r w:rsidR="00D90AD1" w:rsidRPr="00E63DCC">
        <w:rPr>
          <w:lang w:val="en-GB"/>
        </w:rPr>
        <w:t>develop the last two paragraphs further by modifying and adjusting them to your social mobilization strategy.]</w:t>
      </w:r>
    </w:p>
    <w:p w14:paraId="4E990DCF" w14:textId="311AAD6C" w:rsidR="008C07CF" w:rsidRPr="00E63DCC" w:rsidRDefault="00806713" w:rsidP="003F62DA">
      <w:pPr>
        <w:pStyle w:val="Heading2"/>
        <w:rPr>
          <w:lang w:val="en-GB"/>
        </w:rPr>
      </w:pPr>
      <w:bookmarkStart w:id="65" w:name="_Toc245371491"/>
      <w:bookmarkStart w:id="66" w:name="_Toc283557228"/>
      <w:bookmarkStart w:id="67" w:name="_Toc70926825"/>
      <w:r w:rsidRPr="00E63DCC">
        <w:rPr>
          <w:lang w:val="en-GB"/>
        </w:rPr>
        <w:t>4.3</w:t>
      </w:r>
      <w:r w:rsidRPr="00E63DCC">
        <w:rPr>
          <w:lang w:val="en-GB"/>
        </w:rPr>
        <w:tab/>
        <w:t>P</w:t>
      </w:r>
      <w:r w:rsidR="008C07CF" w:rsidRPr="00E63DCC">
        <w:rPr>
          <w:lang w:val="en-GB"/>
        </w:rPr>
        <w:t xml:space="preserve">articipant </w:t>
      </w:r>
      <w:r w:rsidR="00F6493F" w:rsidRPr="00E63DCC">
        <w:rPr>
          <w:lang w:val="en-GB"/>
        </w:rPr>
        <w:t>i</w:t>
      </w:r>
      <w:r w:rsidR="008C07CF" w:rsidRPr="00E63DCC">
        <w:rPr>
          <w:lang w:val="en-GB"/>
        </w:rPr>
        <w:t xml:space="preserve">nformation and </w:t>
      </w:r>
      <w:r w:rsidR="00F6493F" w:rsidRPr="00E63DCC">
        <w:rPr>
          <w:lang w:val="en-GB"/>
        </w:rPr>
        <w:t>i</w:t>
      </w:r>
      <w:r w:rsidR="008C07CF" w:rsidRPr="00E63DCC">
        <w:rPr>
          <w:lang w:val="en-GB"/>
        </w:rPr>
        <w:t xml:space="preserve">nformed </w:t>
      </w:r>
      <w:r w:rsidR="00F6493F" w:rsidRPr="00E63DCC">
        <w:rPr>
          <w:lang w:val="en-GB"/>
        </w:rPr>
        <w:t>c</w:t>
      </w:r>
      <w:r w:rsidR="008C07CF" w:rsidRPr="00E63DCC">
        <w:rPr>
          <w:lang w:val="en-GB"/>
        </w:rPr>
        <w:t>onsent</w:t>
      </w:r>
      <w:bookmarkEnd w:id="65"/>
      <w:bookmarkEnd w:id="66"/>
      <w:bookmarkEnd w:id="67"/>
    </w:p>
    <w:p w14:paraId="3FEBD290" w14:textId="423EFC3E" w:rsidR="00D90AD1" w:rsidRPr="00E63DCC" w:rsidRDefault="00D90AD1" w:rsidP="00A5640C">
      <w:pPr>
        <w:rPr>
          <w:lang w:val="en-GB"/>
        </w:rPr>
      </w:pPr>
      <w:r w:rsidRPr="00E63DCC">
        <w:rPr>
          <w:lang w:val="en-GB"/>
        </w:rPr>
        <w:t xml:space="preserve">Participants will be informed in detail about the planned research, as well as risks and benefits of participation, and informed consent of all study participants will be obtained in writing (see Annexes </w:t>
      </w:r>
      <w:r w:rsidR="00EF4357" w:rsidRPr="00E63DCC">
        <w:rPr>
          <w:lang w:val="en-GB"/>
        </w:rPr>
        <w:t>4</w:t>
      </w:r>
      <w:r w:rsidR="00E67AAE" w:rsidRPr="00E63DCC">
        <w:rPr>
          <w:lang w:val="en-GB"/>
        </w:rPr>
        <w:t xml:space="preserve"> and </w:t>
      </w:r>
      <w:r w:rsidR="00EF4357" w:rsidRPr="00E63DCC">
        <w:rPr>
          <w:lang w:val="en-GB"/>
        </w:rPr>
        <w:t>5 to the step-by-step guide</w:t>
      </w:r>
      <w:r w:rsidRPr="00E63DCC">
        <w:rPr>
          <w:lang w:val="en-GB"/>
        </w:rPr>
        <w:t xml:space="preserve">). The information will describe the basic principles that guarantee the rights of participants in human research: voluntary participation, confidentiality and identity protection, benefits and risks, the amounts, methods, and timing of compensation, and the mechanism </w:t>
      </w:r>
      <w:r w:rsidR="000626E8" w:rsidRPr="00E63DCC">
        <w:rPr>
          <w:lang w:val="en-GB"/>
        </w:rPr>
        <w:t>for</w:t>
      </w:r>
      <w:r w:rsidRPr="00E63DCC">
        <w:rPr>
          <w:lang w:val="en-GB"/>
        </w:rPr>
        <w:t xml:space="preserve"> communication of the results. The consent shall be administered by the fieldwork team before the application of the questionnaires. Participants will have the opportunity to raise questions</w:t>
      </w:r>
      <w:r w:rsidR="00346D36" w:rsidRPr="00E63DCC">
        <w:rPr>
          <w:lang w:val="en-GB"/>
        </w:rPr>
        <w:t>,</w:t>
      </w:r>
      <w:r w:rsidRPr="00E63DCC">
        <w:rPr>
          <w:lang w:val="en-GB"/>
        </w:rPr>
        <w:t xml:space="preserve"> which will be answered by the field team. Participants have the right to withdraw from the study at any moment without any consequences, in which case the</w:t>
      </w:r>
      <w:r w:rsidR="00346D36" w:rsidRPr="00E63DCC">
        <w:rPr>
          <w:lang w:val="en-GB"/>
        </w:rPr>
        <w:t xml:space="preserve"> information</w:t>
      </w:r>
      <w:r w:rsidRPr="00E63DCC">
        <w:rPr>
          <w:lang w:val="en-GB"/>
        </w:rPr>
        <w:t xml:space="preserve"> already obtained is deleted.</w:t>
      </w:r>
    </w:p>
    <w:p w14:paraId="368176DF" w14:textId="27B48D2D" w:rsidR="00236A47" w:rsidRPr="00E63DCC" w:rsidRDefault="00236A47" w:rsidP="00A5640C">
      <w:pPr>
        <w:rPr>
          <w:lang w:val="en-GB"/>
        </w:rPr>
      </w:pPr>
      <w:r w:rsidRPr="00E63DCC">
        <w:rPr>
          <w:lang w:val="en-GB"/>
        </w:rPr>
        <w:t>[Please modify the paragraph above about how participants will be informed</w:t>
      </w:r>
      <w:r w:rsidR="000626E8" w:rsidRPr="00E63DCC">
        <w:rPr>
          <w:lang w:val="en-GB"/>
        </w:rPr>
        <w:t xml:space="preserve"> of</w:t>
      </w:r>
      <w:r w:rsidRPr="00E63DCC">
        <w:rPr>
          <w:lang w:val="en-GB"/>
        </w:rPr>
        <w:t xml:space="preserve"> the study procedure, including the associated risks and benefits, and how participants’ consent will be obtained.]</w:t>
      </w:r>
    </w:p>
    <w:p w14:paraId="7FB76E2C" w14:textId="679BA943" w:rsidR="008C07CF" w:rsidRPr="00E63DCC" w:rsidRDefault="002D4D69" w:rsidP="0007618A">
      <w:pPr>
        <w:pStyle w:val="Heading2"/>
        <w:rPr>
          <w:lang w:val="en-GB"/>
        </w:rPr>
      </w:pPr>
      <w:bookmarkStart w:id="68" w:name="_Toc245371494"/>
      <w:bookmarkStart w:id="69" w:name="_Toc254360587"/>
      <w:bookmarkStart w:id="70" w:name="_Toc283557231"/>
      <w:bookmarkStart w:id="71" w:name="_Toc70926826"/>
      <w:r w:rsidRPr="00E63DCC">
        <w:rPr>
          <w:lang w:val="en-GB"/>
        </w:rPr>
        <w:lastRenderedPageBreak/>
        <w:t>4.4</w:t>
      </w:r>
      <w:r w:rsidRPr="00E63DCC">
        <w:rPr>
          <w:lang w:val="en-GB"/>
        </w:rPr>
        <w:tab/>
        <w:t>A</w:t>
      </w:r>
      <w:r w:rsidR="008C07CF" w:rsidRPr="00E63DCC">
        <w:rPr>
          <w:lang w:val="en-GB"/>
        </w:rPr>
        <w:t>mendments</w:t>
      </w:r>
      <w:bookmarkEnd w:id="68"/>
      <w:bookmarkEnd w:id="69"/>
      <w:r w:rsidRPr="00E63DCC">
        <w:rPr>
          <w:lang w:val="en-GB"/>
        </w:rPr>
        <w:t xml:space="preserve"> and c</w:t>
      </w:r>
      <w:r w:rsidR="008C07CF" w:rsidRPr="00E63DCC">
        <w:rPr>
          <w:lang w:val="en-GB"/>
        </w:rPr>
        <w:t>hanges</w:t>
      </w:r>
      <w:bookmarkEnd w:id="70"/>
      <w:bookmarkEnd w:id="71"/>
    </w:p>
    <w:p w14:paraId="44F75754" w14:textId="3949A10F" w:rsidR="00FE3D23" w:rsidRPr="00E63DCC" w:rsidRDefault="00FE3D23" w:rsidP="00A5640C">
      <w:pPr>
        <w:rPr>
          <w:lang w:val="en-GB"/>
        </w:rPr>
      </w:pPr>
      <w:r w:rsidRPr="00E63DCC">
        <w:rPr>
          <w:lang w:val="en-GB"/>
        </w:rPr>
        <w:t>In</w:t>
      </w:r>
      <w:r w:rsidR="000626E8" w:rsidRPr="00E63DCC">
        <w:rPr>
          <w:lang w:val="en-GB"/>
        </w:rPr>
        <w:t xml:space="preserve"> a </w:t>
      </w:r>
      <w:r w:rsidRPr="00E63DCC">
        <w:rPr>
          <w:lang w:val="en-GB"/>
        </w:rPr>
        <w:t>case</w:t>
      </w:r>
      <w:r w:rsidR="000626E8" w:rsidRPr="00E63DCC">
        <w:rPr>
          <w:lang w:val="en-GB"/>
        </w:rPr>
        <w:t xml:space="preserve"> where</w:t>
      </w:r>
      <w:r w:rsidRPr="00E63DCC">
        <w:rPr>
          <w:lang w:val="en-GB"/>
        </w:rPr>
        <w:t xml:space="preserve"> significant changes to the project plan are needed, the full study protocol will be resubmitted to the [name ethics committee] and [local</w:t>
      </w:r>
      <w:r w:rsidR="000626E8" w:rsidRPr="00E63DCC">
        <w:rPr>
          <w:lang w:val="en-GB"/>
        </w:rPr>
        <w:t xml:space="preserve"> and </w:t>
      </w:r>
      <w:r w:rsidRPr="00E63DCC">
        <w:rPr>
          <w:lang w:val="en-GB"/>
        </w:rPr>
        <w:t>national institutions or ministries, depending on your requirements for ethical approval].</w:t>
      </w:r>
    </w:p>
    <w:p w14:paraId="395D0328" w14:textId="77777777" w:rsidR="000626E8" w:rsidRPr="00E63DCC" w:rsidRDefault="000626E8">
      <w:pPr>
        <w:spacing w:after="0" w:line="240" w:lineRule="auto"/>
        <w:rPr>
          <w:rFonts w:eastAsia="Times New Roman"/>
          <w:b/>
          <w:bCs/>
          <w:color w:val="800000"/>
          <w:kern w:val="32"/>
          <w:sz w:val="32"/>
          <w:szCs w:val="28"/>
          <w:lang w:val="en-GB"/>
        </w:rPr>
      </w:pPr>
      <w:bookmarkStart w:id="72" w:name="_Ref482777011"/>
      <w:r w:rsidRPr="00E63DCC">
        <w:rPr>
          <w:lang w:val="en-GB"/>
        </w:rPr>
        <w:br w:type="page"/>
      </w:r>
    </w:p>
    <w:p w14:paraId="5EF3C8A4" w14:textId="15560480" w:rsidR="008901A7" w:rsidRPr="00E63DCC" w:rsidRDefault="000626E8" w:rsidP="00A5640C">
      <w:pPr>
        <w:pStyle w:val="Heading1"/>
      </w:pPr>
      <w:bookmarkStart w:id="73" w:name="_Toc70926741"/>
      <w:bookmarkStart w:id="74" w:name="_Toc70926827"/>
      <w:r w:rsidRPr="00E63DCC">
        <w:lastRenderedPageBreak/>
        <w:t>5.</w:t>
      </w:r>
      <w:r w:rsidRPr="00E63DCC">
        <w:tab/>
        <w:t>R</w:t>
      </w:r>
      <w:r w:rsidR="003B4839" w:rsidRPr="00E63DCC">
        <w:t>eporting and dissemination</w:t>
      </w:r>
      <w:bookmarkEnd w:id="56"/>
      <w:bookmarkEnd w:id="72"/>
      <w:bookmarkEnd w:id="73"/>
      <w:bookmarkEnd w:id="74"/>
    </w:p>
    <w:p w14:paraId="4965181D" w14:textId="1FF77140" w:rsidR="008901A7" w:rsidRPr="00E63DCC" w:rsidRDefault="000626E8" w:rsidP="00A5640C">
      <w:pPr>
        <w:pStyle w:val="Heading2"/>
        <w:rPr>
          <w:lang w:val="en-GB"/>
        </w:rPr>
      </w:pPr>
      <w:bookmarkStart w:id="75" w:name="_Toc283557272"/>
      <w:bookmarkStart w:id="76" w:name="_Toc70926828"/>
      <w:r w:rsidRPr="00E63DCC">
        <w:rPr>
          <w:lang w:val="en-GB"/>
        </w:rPr>
        <w:t>5.1</w:t>
      </w:r>
      <w:r w:rsidRPr="00E63DCC">
        <w:rPr>
          <w:lang w:val="en-GB"/>
        </w:rPr>
        <w:tab/>
        <w:t>R</w:t>
      </w:r>
      <w:r w:rsidR="009E5664" w:rsidRPr="00E63DCC">
        <w:rPr>
          <w:lang w:val="en-GB"/>
        </w:rPr>
        <w:t>eporting</w:t>
      </w:r>
      <w:r w:rsidR="008901A7" w:rsidRPr="00E63DCC">
        <w:rPr>
          <w:lang w:val="en-GB"/>
        </w:rPr>
        <w:t xml:space="preserve"> of results</w:t>
      </w:r>
      <w:bookmarkEnd w:id="75"/>
      <w:bookmarkEnd w:id="76"/>
    </w:p>
    <w:p w14:paraId="248A9664" w14:textId="5D25305D" w:rsidR="00FE3D23" w:rsidRPr="00E63DCC" w:rsidRDefault="00FE3D23" w:rsidP="00A5640C">
      <w:pPr>
        <w:rPr>
          <w:lang w:val="en-GB"/>
        </w:rPr>
      </w:pPr>
      <w:r w:rsidRPr="00E63DCC">
        <w:rPr>
          <w:lang w:val="en-GB"/>
        </w:rPr>
        <w:t>The study results will be reported</w:t>
      </w:r>
      <w:r w:rsidR="00521FA3" w:rsidRPr="00E63DCC">
        <w:rPr>
          <w:lang w:val="en-GB"/>
        </w:rPr>
        <w:t xml:space="preserve"> and </w:t>
      </w:r>
      <w:r w:rsidRPr="00E63DCC">
        <w:rPr>
          <w:lang w:val="en-GB"/>
        </w:rPr>
        <w:t>communicated in multiple formats tailored to different decision-makers and stakeholders</w:t>
      </w:r>
      <w:r w:rsidR="00521FA3" w:rsidRPr="00E63DCC">
        <w:rPr>
          <w:lang w:val="en-GB"/>
        </w:rPr>
        <w:t>,</w:t>
      </w:r>
      <w:r w:rsidRPr="00E63DCC">
        <w:rPr>
          <w:lang w:val="en-GB"/>
        </w:rPr>
        <w:t xml:space="preserve"> as follows</w:t>
      </w:r>
      <w:r w:rsidR="00521FA3" w:rsidRPr="00E63DCC">
        <w:rPr>
          <w:lang w:val="en-GB"/>
        </w:rPr>
        <w:t>.</w:t>
      </w:r>
    </w:p>
    <w:p w14:paraId="73B84D1F" w14:textId="6213B149" w:rsidR="00FE3D23" w:rsidRPr="00E63DCC" w:rsidRDefault="00FE3D23" w:rsidP="00704C70">
      <w:pPr>
        <w:pStyle w:val="Listnumbered"/>
        <w:numPr>
          <w:ilvl w:val="0"/>
          <w:numId w:val="42"/>
        </w:numPr>
      </w:pPr>
      <w:r w:rsidRPr="00E63DCC">
        <w:t xml:space="preserve">Members of the </w:t>
      </w:r>
      <w:r w:rsidR="005003AC" w:rsidRPr="00E63DCC">
        <w:rPr>
          <w:rFonts w:cs="Arial"/>
        </w:rPr>
        <w:t>CSO</w:t>
      </w:r>
      <w:r w:rsidRPr="00E63DCC">
        <w:t>s will report back to the project team during the mobilization phase of the sensitization activities. These feedback sessions will be held during the survey period on a regular basis according to weekly plans to ensure that the activities are carried out as intended. The same network of mobili</w:t>
      </w:r>
      <w:r w:rsidR="005440BA" w:rsidRPr="00E63DCC">
        <w:t>z</w:t>
      </w:r>
      <w:r w:rsidRPr="00E63DCC">
        <w:t xml:space="preserve">ers will then be activated for disseminating the main findings of the study and will provide an outlook of resulting responses. </w:t>
      </w:r>
    </w:p>
    <w:p w14:paraId="00739374" w14:textId="3CFBF87A" w:rsidR="00FE3D23" w:rsidRPr="00E63DCC" w:rsidRDefault="00FE3D23" w:rsidP="00704C70">
      <w:pPr>
        <w:pStyle w:val="Listnumbered"/>
        <w:numPr>
          <w:ilvl w:val="0"/>
          <w:numId w:val="42"/>
        </w:numPr>
      </w:pPr>
      <w:r w:rsidRPr="00E63DCC">
        <w:t>The study team will prepare a national report presenting the findings and a set of tailored recommendations for [country name]</w:t>
      </w:r>
      <w:r w:rsidR="00521FA3" w:rsidRPr="00E63DCC">
        <w:t>,</w:t>
      </w:r>
      <w:r w:rsidRPr="00E63DCC">
        <w:t xml:space="preserve"> which in turn will be used to inform the development of public health strategies on ASGM as required under the Minamata Convention.</w:t>
      </w:r>
    </w:p>
    <w:p w14:paraId="47F40562" w14:textId="12303C84" w:rsidR="00FE3D23" w:rsidRPr="00E63DCC" w:rsidRDefault="00FE3D23" w:rsidP="00A5640C">
      <w:pPr>
        <w:rPr>
          <w:lang w:val="en-GB"/>
        </w:rPr>
      </w:pPr>
      <w:r w:rsidRPr="00E63DCC">
        <w:rPr>
          <w:lang w:val="en-GB"/>
        </w:rPr>
        <w:t xml:space="preserve">For the national report, findings of the rapid health situation assessments will be combined with the institutional capacity assessment, which forms a second axis in the overall project. </w:t>
      </w:r>
    </w:p>
    <w:p w14:paraId="5F8E43C1" w14:textId="10A37F80" w:rsidR="00FE3D23" w:rsidRPr="00E63DCC" w:rsidRDefault="00FE3D23" w:rsidP="00A5640C">
      <w:pPr>
        <w:rPr>
          <w:lang w:val="en-GB"/>
        </w:rPr>
      </w:pPr>
      <w:r w:rsidRPr="00E63DCC">
        <w:rPr>
          <w:lang w:val="en-GB"/>
        </w:rPr>
        <w:t>[Please modify, remove or add any step to give an overview of how your findings will be reported. If applicable, include the ministries or organizations from which approval needs to be sought in order to publish the national report.]</w:t>
      </w:r>
    </w:p>
    <w:p w14:paraId="34F5B550" w14:textId="0A3E0D59" w:rsidR="005929B4" w:rsidRPr="00E63DCC" w:rsidRDefault="00521FA3" w:rsidP="00A5640C">
      <w:pPr>
        <w:pStyle w:val="Heading2"/>
        <w:rPr>
          <w:lang w:val="en-GB"/>
        </w:rPr>
      </w:pPr>
      <w:bookmarkStart w:id="77" w:name="_Toc70926829"/>
      <w:r w:rsidRPr="00E63DCC">
        <w:rPr>
          <w:lang w:val="en-GB"/>
        </w:rPr>
        <w:t>5.2</w:t>
      </w:r>
      <w:r w:rsidRPr="00E63DCC">
        <w:rPr>
          <w:lang w:val="en-GB"/>
        </w:rPr>
        <w:tab/>
        <w:t>N</w:t>
      </w:r>
      <w:r w:rsidR="005929B4" w:rsidRPr="00E63DCC">
        <w:rPr>
          <w:lang w:val="en-GB"/>
        </w:rPr>
        <w:t xml:space="preserve">ational </w:t>
      </w:r>
      <w:r w:rsidR="004918D1" w:rsidRPr="00E63DCC">
        <w:rPr>
          <w:lang w:val="en-GB"/>
        </w:rPr>
        <w:t xml:space="preserve">stakeholder </w:t>
      </w:r>
      <w:r w:rsidR="005929B4" w:rsidRPr="00E63DCC">
        <w:rPr>
          <w:lang w:val="en-GB"/>
        </w:rPr>
        <w:t>workshop</w:t>
      </w:r>
      <w:bookmarkEnd w:id="77"/>
    </w:p>
    <w:p w14:paraId="21B85247" w14:textId="60DD7320" w:rsidR="00E425A2" w:rsidRPr="00E63DCC" w:rsidRDefault="00FE3D23" w:rsidP="00A5640C">
      <w:pPr>
        <w:rPr>
          <w:lang w:val="en-GB"/>
        </w:rPr>
      </w:pPr>
      <w:bookmarkStart w:id="78" w:name="_Hlk46748161"/>
      <w:r w:rsidRPr="00E63DCC">
        <w:rPr>
          <w:lang w:val="en-GB"/>
        </w:rPr>
        <w:t xml:space="preserve">Findings and recommendations captured in the reports mentioned above will be presented in a </w:t>
      </w:r>
      <w:r w:rsidR="00521FA3" w:rsidRPr="00E63DCC">
        <w:rPr>
          <w:lang w:val="en-GB"/>
        </w:rPr>
        <w:t>one</w:t>
      </w:r>
      <w:r w:rsidRPr="00E63DCC">
        <w:rPr>
          <w:lang w:val="en-GB"/>
        </w:rPr>
        <w:t xml:space="preserve">-day national stakeholder workshop that will be organized </w:t>
      </w:r>
      <w:bookmarkEnd w:id="78"/>
      <w:r w:rsidRPr="00E63DCC">
        <w:rPr>
          <w:lang w:val="en-GB"/>
        </w:rPr>
        <w:t xml:space="preserve">by [name the ministry or organization that will be responsible for the organization of the stakeholder workshop]. Stakeholders include representatives of </w:t>
      </w:r>
      <w:r w:rsidR="00E425A2" w:rsidRPr="00E63DCC">
        <w:rPr>
          <w:lang w:val="en-GB"/>
        </w:rPr>
        <w:t>[name all ministries, organizations, CSOs and ASGM associations that will send representatives].</w:t>
      </w:r>
    </w:p>
    <w:p w14:paraId="63B65638" w14:textId="2A6C242E" w:rsidR="008C3DF8" w:rsidRPr="00E63DCC" w:rsidRDefault="008C3DF8" w:rsidP="00A5640C">
      <w:pPr>
        <w:rPr>
          <w:lang w:val="en-GB"/>
        </w:rPr>
      </w:pPr>
      <w:r w:rsidRPr="00E63DCC">
        <w:rPr>
          <w:lang w:val="en-GB"/>
        </w:rPr>
        <w:t xml:space="preserve">In each country, a </w:t>
      </w:r>
      <w:r w:rsidR="00521FA3" w:rsidRPr="00E63DCC">
        <w:rPr>
          <w:lang w:val="en-GB"/>
        </w:rPr>
        <w:t>one</w:t>
      </w:r>
      <w:r w:rsidRPr="00E63DCC">
        <w:rPr>
          <w:lang w:val="en-GB"/>
        </w:rPr>
        <w:t>-day meeting will be held after finali</w:t>
      </w:r>
      <w:r w:rsidR="00FC6C29" w:rsidRPr="00E63DCC">
        <w:rPr>
          <w:lang w:val="en-GB"/>
        </w:rPr>
        <w:t>z</w:t>
      </w:r>
      <w:r w:rsidRPr="00E63DCC">
        <w:rPr>
          <w:lang w:val="en-GB"/>
        </w:rPr>
        <w:t>ation of country reports and recommendations. Participants</w:t>
      </w:r>
      <w:r w:rsidR="00521FA3" w:rsidRPr="00E63DCC">
        <w:rPr>
          <w:lang w:val="en-GB"/>
        </w:rPr>
        <w:t xml:space="preserve"> will be</w:t>
      </w:r>
      <w:r w:rsidRPr="00E63DCC">
        <w:rPr>
          <w:lang w:val="en-GB"/>
        </w:rPr>
        <w:t xml:space="preserve"> invited to the national dissemination meetings</w:t>
      </w:r>
      <w:r w:rsidR="009F68CB" w:rsidRPr="00E63DCC">
        <w:rPr>
          <w:lang w:val="en-GB"/>
        </w:rPr>
        <w:t>, which will</w:t>
      </w:r>
      <w:r w:rsidRPr="00E63DCC">
        <w:rPr>
          <w:lang w:val="en-GB"/>
        </w:rPr>
        <w:t xml:space="preserve"> involve decision-makers at national, regional and local levels in the domains of health, environment and mining</w:t>
      </w:r>
      <w:r w:rsidR="00CB6540" w:rsidRPr="00E63DCC">
        <w:rPr>
          <w:lang w:val="en-GB"/>
        </w:rPr>
        <w:t xml:space="preserve"> (see Annexes 11 and 12 to the step-by-step guide)</w:t>
      </w:r>
      <w:r w:rsidRPr="00E63DCC">
        <w:rPr>
          <w:lang w:val="en-GB"/>
        </w:rPr>
        <w:t>.</w:t>
      </w:r>
    </w:p>
    <w:p w14:paraId="6141B5DE" w14:textId="77777777" w:rsidR="00E425A2" w:rsidRPr="00E63DCC" w:rsidRDefault="00E425A2" w:rsidP="00704C70">
      <w:pPr>
        <w:pStyle w:val="Normalboldhead"/>
      </w:pPr>
      <w:r w:rsidRPr="00E63DCC">
        <w:t>Example from Nigeria [delete in final version of your study protocol]:</w:t>
      </w:r>
    </w:p>
    <w:p w14:paraId="6D0E3DCD" w14:textId="54688B68" w:rsidR="00FE3D23" w:rsidRPr="00E63DCC" w:rsidRDefault="00E425A2" w:rsidP="00A5640C">
      <w:pPr>
        <w:rPr>
          <w:lang w:val="en-GB"/>
        </w:rPr>
      </w:pPr>
      <w:r w:rsidRPr="00E63DCC">
        <w:rPr>
          <w:lang w:val="en-GB"/>
        </w:rPr>
        <w:t xml:space="preserve">Findings and recommendations captured in the reports mentioned above will be presented in a </w:t>
      </w:r>
      <w:r w:rsidR="00521FA3" w:rsidRPr="00E63DCC">
        <w:rPr>
          <w:lang w:val="en-GB"/>
        </w:rPr>
        <w:t>one</w:t>
      </w:r>
      <w:r w:rsidRPr="00E63DCC">
        <w:rPr>
          <w:lang w:val="en-GB"/>
        </w:rPr>
        <w:t>-day national stakeholder workshop that will be organized by</w:t>
      </w:r>
      <w:r w:rsidR="00521FA3" w:rsidRPr="00E63DCC">
        <w:rPr>
          <w:lang w:val="en-GB"/>
        </w:rPr>
        <w:t xml:space="preserve"> the</w:t>
      </w:r>
      <w:r w:rsidRPr="00E63DCC">
        <w:rPr>
          <w:lang w:val="en-GB"/>
        </w:rPr>
        <w:t xml:space="preserve"> </w:t>
      </w:r>
      <w:r w:rsidR="00FE3D23" w:rsidRPr="00E63DCC">
        <w:rPr>
          <w:lang w:val="en-GB"/>
        </w:rPr>
        <w:t>Federal Ministry of Health, Federal Ministry of Min</w:t>
      </w:r>
      <w:r w:rsidR="00566793" w:rsidRPr="00E63DCC">
        <w:rPr>
          <w:lang w:val="en-GB"/>
        </w:rPr>
        <w:t xml:space="preserve">es </w:t>
      </w:r>
      <w:r w:rsidR="00FE3D23" w:rsidRPr="00E63DCC">
        <w:rPr>
          <w:lang w:val="en-GB"/>
        </w:rPr>
        <w:t xml:space="preserve">and Steel Development, Federal Ministry of Environment, National Steering Group </w:t>
      </w:r>
      <w:r w:rsidR="00521FA3" w:rsidRPr="00E63DCC">
        <w:rPr>
          <w:lang w:val="en-GB"/>
        </w:rPr>
        <w:t>for</w:t>
      </w:r>
      <w:r w:rsidR="00FE3D23" w:rsidRPr="00E63DCC">
        <w:rPr>
          <w:lang w:val="en-GB"/>
        </w:rPr>
        <w:t xml:space="preserve"> ASGM, representatives</w:t>
      </w:r>
      <w:r w:rsidR="00521FA3" w:rsidRPr="00E63DCC">
        <w:rPr>
          <w:lang w:val="en-GB"/>
        </w:rPr>
        <w:t xml:space="preserve"> of s</w:t>
      </w:r>
      <w:r w:rsidR="00FE3D23" w:rsidRPr="00E63DCC">
        <w:rPr>
          <w:lang w:val="en-GB"/>
        </w:rPr>
        <w:t xml:space="preserve">tate ministries of </w:t>
      </w:r>
      <w:r w:rsidR="00521FA3" w:rsidRPr="00E63DCC">
        <w:rPr>
          <w:lang w:val="en-GB"/>
        </w:rPr>
        <w:t>h</w:t>
      </w:r>
      <w:r w:rsidR="00FE3D23" w:rsidRPr="00E63DCC">
        <w:rPr>
          <w:lang w:val="en-GB"/>
        </w:rPr>
        <w:t xml:space="preserve">ealth and </w:t>
      </w:r>
      <w:r w:rsidR="00521FA3" w:rsidRPr="00E63DCC">
        <w:rPr>
          <w:lang w:val="en-GB"/>
        </w:rPr>
        <w:t>e</w:t>
      </w:r>
      <w:r w:rsidR="00FE3D23" w:rsidRPr="00E63DCC">
        <w:rPr>
          <w:lang w:val="en-GB"/>
        </w:rPr>
        <w:t>nvironment in the locations</w:t>
      </w:r>
      <w:r w:rsidR="00521FA3" w:rsidRPr="00E63DCC">
        <w:rPr>
          <w:lang w:val="en-GB"/>
        </w:rPr>
        <w:t xml:space="preserve"> or </w:t>
      </w:r>
      <w:r w:rsidR="00FE3D23" w:rsidRPr="00E63DCC">
        <w:rPr>
          <w:lang w:val="en-GB"/>
        </w:rPr>
        <w:t>sites of study, country staff of WHO,</w:t>
      </w:r>
      <w:r w:rsidR="00521FA3" w:rsidRPr="00E63DCC">
        <w:rPr>
          <w:lang w:val="en-GB"/>
        </w:rPr>
        <w:t xml:space="preserve"> the United Nations Environment Programme (</w:t>
      </w:r>
      <w:r w:rsidR="00FE3D23" w:rsidRPr="00E63DCC">
        <w:rPr>
          <w:lang w:val="en-GB"/>
        </w:rPr>
        <w:t>UNEP</w:t>
      </w:r>
      <w:r w:rsidR="00521FA3" w:rsidRPr="00E63DCC">
        <w:rPr>
          <w:lang w:val="en-GB"/>
        </w:rPr>
        <w:t>)</w:t>
      </w:r>
      <w:r w:rsidR="00FE3D23" w:rsidRPr="00E63DCC">
        <w:rPr>
          <w:lang w:val="en-GB"/>
        </w:rPr>
        <w:t xml:space="preserve"> and UNIDO</w:t>
      </w:r>
      <w:r w:rsidR="00521FA3" w:rsidRPr="00E63DCC">
        <w:rPr>
          <w:lang w:val="en-GB"/>
        </w:rPr>
        <w:t>,</w:t>
      </w:r>
      <w:r w:rsidR="00FE3D23" w:rsidRPr="00E63DCC">
        <w:rPr>
          <w:lang w:val="en-GB"/>
        </w:rPr>
        <w:t xml:space="preserve"> ASGM association leaders, Environmental </w:t>
      </w:r>
      <w:r w:rsidR="00FE3D23" w:rsidRPr="00E63DCC">
        <w:rPr>
          <w:lang w:val="en-GB"/>
        </w:rPr>
        <w:lastRenderedPageBreak/>
        <w:t>Health Officers Association of Nigeria</w:t>
      </w:r>
      <w:r w:rsidR="00521FA3" w:rsidRPr="00E63DCC">
        <w:rPr>
          <w:lang w:val="en-GB"/>
        </w:rPr>
        <w:t>,</w:t>
      </w:r>
      <w:r w:rsidR="009F68CB" w:rsidRPr="00E63DCC">
        <w:rPr>
          <w:lang w:val="en-GB"/>
        </w:rPr>
        <w:t xml:space="preserve"> CSOs</w:t>
      </w:r>
      <w:r w:rsidR="00FE3D23" w:rsidRPr="00E63DCC">
        <w:rPr>
          <w:lang w:val="en-GB"/>
        </w:rPr>
        <w:t xml:space="preserve"> engaged in ASGM areas and other relevant parties as identified during the study implementation. </w:t>
      </w:r>
    </w:p>
    <w:p w14:paraId="4F0DE21E" w14:textId="71CA24B4" w:rsidR="004918D1" w:rsidRPr="00E63DCC" w:rsidRDefault="00704C70" w:rsidP="00A5640C">
      <w:pPr>
        <w:pStyle w:val="Heading2"/>
        <w:rPr>
          <w:lang w:val="en-GB"/>
        </w:rPr>
      </w:pPr>
      <w:bookmarkStart w:id="79" w:name="_Toc70926830"/>
      <w:r w:rsidRPr="00E63DCC">
        <w:rPr>
          <w:lang w:val="en-GB"/>
        </w:rPr>
        <w:t>5.3</w:t>
      </w:r>
      <w:r w:rsidRPr="00E63DCC">
        <w:rPr>
          <w:lang w:val="en-GB"/>
        </w:rPr>
        <w:tab/>
        <w:t>C</w:t>
      </w:r>
      <w:r w:rsidR="004918D1" w:rsidRPr="00E63DCC">
        <w:rPr>
          <w:lang w:val="en-GB"/>
        </w:rPr>
        <w:t>ommunity feedback</w:t>
      </w:r>
      <w:bookmarkEnd w:id="79"/>
    </w:p>
    <w:p w14:paraId="0904B4D0" w14:textId="5FB8EBE5" w:rsidR="008C3DF8" w:rsidRPr="00E63DCC" w:rsidRDefault="008C3DF8" w:rsidP="00A5640C">
      <w:pPr>
        <w:rPr>
          <w:rFonts w:cs="Arial"/>
          <w:lang w:val="en-GB"/>
        </w:rPr>
      </w:pPr>
      <w:r w:rsidRPr="00E63DCC">
        <w:rPr>
          <w:rFonts w:cs="Arial"/>
          <w:lang w:val="en-GB"/>
        </w:rPr>
        <w:t xml:space="preserve">The investigators will ensure that the results </w:t>
      </w:r>
      <w:r w:rsidR="003B3EE1" w:rsidRPr="00E63DCC">
        <w:rPr>
          <w:rFonts w:cs="Arial"/>
          <w:lang w:val="en-GB"/>
        </w:rPr>
        <w:t>are</w:t>
      </w:r>
      <w:r w:rsidRPr="00E63DCC">
        <w:rPr>
          <w:rFonts w:cs="Arial"/>
          <w:lang w:val="en-GB"/>
        </w:rPr>
        <w:t xml:space="preserve"> return</w:t>
      </w:r>
      <w:r w:rsidR="00155252" w:rsidRPr="00E63DCC">
        <w:rPr>
          <w:rFonts w:cs="Arial"/>
          <w:lang w:val="en-GB"/>
        </w:rPr>
        <w:t>ed to the study locations</w:t>
      </w:r>
      <w:r w:rsidRPr="00E63DCC">
        <w:rPr>
          <w:rFonts w:cs="Arial"/>
          <w:lang w:val="en-GB"/>
        </w:rPr>
        <w:t xml:space="preserve"> and shared in community meetings or at local community events where the survey activities took place through the network of community mobili</w:t>
      </w:r>
      <w:r w:rsidR="005440BA" w:rsidRPr="00E63DCC">
        <w:rPr>
          <w:rFonts w:cs="Arial"/>
          <w:lang w:val="en-GB"/>
        </w:rPr>
        <w:t>z</w:t>
      </w:r>
      <w:r w:rsidRPr="00E63DCC">
        <w:rPr>
          <w:rFonts w:cs="Arial"/>
          <w:lang w:val="en-GB"/>
        </w:rPr>
        <w:t>ers in [name of states or regions where the study took place] (see also</w:t>
      </w:r>
      <w:r w:rsidR="00155252" w:rsidRPr="00E63DCC">
        <w:rPr>
          <w:rFonts w:cs="Arial"/>
          <w:lang w:val="en-GB"/>
        </w:rPr>
        <w:t xml:space="preserve"> section</w:t>
      </w:r>
      <w:r w:rsidRPr="00E63DCC">
        <w:rPr>
          <w:rFonts w:cs="Arial"/>
          <w:lang w:val="en-GB"/>
        </w:rPr>
        <w:t xml:space="preserve"> [3.4]</w:t>
      </w:r>
      <w:r w:rsidR="00155252" w:rsidRPr="00E63DCC">
        <w:rPr>
          <w:rFonts w:cs="Arial"/>
          <w:lang w:val="en-GB"/>
        </w:rPr>
        <w:t xml:space="preserve"> on c</w:t>
      </w:r>
      <w:r w:rsidRPr="00E63DCC">
        <w:rPr>
          <w:rFonts w:cs="Arial"/>
          <w:lang w:val="en-GB"/>
        </w:rPr>
        <w:t>ommunity mobilization and sensitization activities). It is expected that this is an integral component of the public health strategy that will be developed (see Art</w:t>
      </w:r>
      <w:r w:rsidR="00155252" w:rsidRPr="00E63DCC">
        <w:rPr>
          <w:rFonts w:cs="Arial"/>
          <w:lang w:val="en-GB"/>
        </w:rPr>
        <w:t>icle</w:t>
      </w:r>
      <w:r w:rsidRPr="00E63DCC">
        <w:rPr>
          <w:rFonts w:cs="Arial"/>
          <w:lang w:val="en-GB"/>
        </w:rPr>
        <w:t xml:space="preserve"> 7 and </w:t>
      </w:r>
      <w:r w:rsidR="009E4BB6" w:rsidRPr="00E63DCC">
        <w:rPr>
          <w:lang w:val="en-GB"/>
        </w:rPr>
        <w:t>Annex</w:t>
      </w:r>
      <w:r w:rsidRPr="00E63DCC">
        <w:rPr>
          <w:rFonts w:cs="Arial"/>
          <w:lang w:val="en-GB"/>
        </w:rPr>
        <w:t xml:space="preserve"> C of the Minamata Convention</w:t>
      </w:r>
      <w:r w:rsidR="00155252" w:rsidRPr="00E63DCC">
        <w:rPr>
          <w:rFonts w:cs="Arial"/>
          <w:lang w:val="en-GB"/>
        </w:rPr>
        <w:t xml:space="preserve">, as included in </w:t>
      </w:r>
      <w:r w:rsidRPr="00E63DCC">
        <w:rPr>
          <w:rFonts w:cs="Arial"/>
          <w:lang w:val="en-GB"/>
        </w:rPr>
        <w:t>A</w:t>
      </w:r>
      <w:r w:rsidR="000C05F1" w:rsidRPr="00E63DCC">
        <w:rPr>
          <w:rFonts w:cs="Arial"/>
          <w:lang w:val="en-GB"/>
        </w:rPr>
        <w:t xml:space="preserve">ppendices </w:t>
      </w:r>
      <w:r w:rsidR="006E21A9" w:rsidRPr="00E63DCC">
        <w:rPr>
          <w:rFonts w:cs="Arial"/>
          <w:lang w:val="en-GB"/>
        </w:rPr>
        <w:t>A</w:t>
      </w:r>
      <w:r w:rsidRPr="00E63DCC">
        <w:rPr>
          <w:rFonts w:cs="Arial"/>
          <w:lang w:val="en-GB"/>
        </w:rPr>
        <w:t xml:space="preserve"> and </w:t>
      </w:r>
      <w:r w:rsidR="006E21A9" w:rsidRPr="00E63DCC">
        <w:rPr>
          <w:rFonts w:cs="Arial"/>
          <w:lang w:val="en-GB"/>
        </w:rPr>
        <w:t>B</w:t>
      </w:r>
      <w:r w:rsidR="00155252" w:rsidRPr="00E63DCC">
        <w:rPr>
          <w:rFonts w:cs="Arial"/>
          <w:lang w:val="en-GB"/>
        </w:rPr>
        <w:t xml:space="preserve"> to the present document</w:t>
      </w:r>
      <w:r w:rsidRPr="00E63DCC">
        <w:rPr>
          <w:rFonts w:cs="Arial"/>
          <w:lang w:val="en-GB"/>
        </w:rPr>
        <w:t xml:space="preserve">). For this purpose, appropriate educational and communication materials will be developed and made available with the support of the </w:t>
      </w:r>
      <w:r w:rsidR="00155252" w:rsidRPr="00E63DCC">
        <w:rPr>
          <w:rFonts w:cs="Arial"/>
          <w:lang w:val="en-GB"/>
        </w:rPr>
        <w:t>m</w:t>
      </w:r>
      <w:r w:rsidRPr="00E63DCC">
        <w:rPr>
          <w:rFonts w:cs="Arial"/>
          <w:lang w:val="en-GB"/>
        </w:rPr>
        <w:t xml:space="preserve">inistry of </w:t>
      </w:r>
      <w:r w:rsidR="00155252" w:rsidRPr="00E63DCC">
        <w:rPr>
          <w:rFonts w:cs="Arial"/>
          <w:lang w:val="en-GB"/>
        </w:rPr>
        <w:t>h</w:t>
      </w:r>
      <w:r w:rsidRPr="00E63DCC">
        <w:rPr>
          <w:rFonts w:cs="Arial"/>
          <w:lang w:val="en-GB"/>
        </w:rPr>
        <w:t>ealth</w:t>
      </w:r>
      <w:r w:rsidR="00155252" w:rsidRPr="00E63DCC">
        <w:rPr>
          <w:rFonts w:cs="Arial"/>
          <w:lang w:val="en-GB"/>
        </w:rPr>
        <w:t>,</w:t>
      </w:r>
      <w:r w:rsidRPr="00E63DCC">
        <w:rPr>
          <w:rFonts w:cs="Arial"/>
          <w:lang w:val="en-GB"/>
        </w:rPr>
        <w:t xml:space="preserve"> and sufficient time will be allocated to facilitate open discussions around the results at dissemination events.</w:t>
      </w:r>
    </w:p>
    <w:p w14:paraId="4CCD5D59" w14:textId="49D86808" w:rsidR="008C3DF8" w:rsidRPr="00E63DCC" w:rsidRDefault="008C3DF8" w:rsidP="00A5640C">
      <w:pPr>
        <w:rPr>
          <w:rFonts w:cs="Arial"/>
          <w:lang w:val="en-GB"/>
        </w:rPr>
      </w:pPr>
      <w:r w:rsidRPr="00E63DCC">
        <w:rPr>
          <w:rFonts w:cs="Arial"/>
          <w:lang w:val="en-GB"/>
        </w:rPr>
        <w:t>The joint community mobilizers</w:t>
      </w:r>
      <w:r w:rsidR="00155252" w:rsidRPr="00E63DCC">
        <w:rPr>
          <w:rFonts w:cs="Arial"/>
          <w:lang w:val="en-GB"/>
        </w:rPr>
        <w:t>’</w:t>
      </w:r>
      <w:r w:rsidRPr="00E63DCC">
        <w:rPr>
          <w:rFonts w:cs="Arial"/>
          <w:lang w:val="en-GB"/>
        </w:rPr>
        <w:t xml:space="preserve"> team consisting of representatives</w:t>
      </w:r>
      <w:r w:rsidR="00155252" w:rsidRPr="00E63DCC">
        <w:rPr>
          <w:rFonts w:cs="Arial"/>
          <w:lang w:val="en-GB"/>
        </w:rPr>
        <w:t xml:space="preserve"> or </w:t>
      </w:r>
      <w:r w:rsidRPr="00E63DCC">
        <w:rPr>
          <w:rFonts w:cs="Arial"/>
          <w:lang w:val="en-GB"/>
        </w:rPr>
        <w:t xml:space="preserve">staff of </w:t>
      </w:r>
      <w:r w:rsidR="009C3C21" w:rsidRPr="00E63DCC">
        <w:rPr>
          <w:rFonts w:cs="Arial"/>
          <w:lang w:val="en-GB"/>
        </w:rPr>
        <w:t xml:space="preserve">[name of all </w:t>
      </w:r>
      <w:r w:rsidR="005003AC" w:rsidRPr="00E63DCC">
        <w:rPr>
          <w:rFonts w:cs="Arial"/>
          <w:lang w:val="en-GB"/>
        </w:rPr>
        <w:t>CSO</w:t>
      </w:r>
      <w:r w:rsidR="009C3C21" w:rsidRPr="00E63DCC">
        <w:rPr>
          <w:rFonts w:cs="Arial"/>
          <w:lang w:val="en-GB"/>
        </w:rPr>
        <w:t>s involved]</w:t>
      </w:r>
      <w:r w:rsidRPr="00E63DCC">
        <w:rPr>
          <w:rFonts w:cs="Arial"/>
          <w:lang w:val="en-GB"/>
        </w:rPr>
        <w:t xml:space="preserve"> will </w:t>
      </w:r>
      <w:r w:rsidR="00FE30A1" w:rsidRPr="00E63DCC">
        <w:rPr>
          <w:rFonts w:cs="Arial"/>
          <w:lang w:val="en-GB"/>
        </w:rPr>
        <w:t xml:space="preserve">work </w:t>
      </w:r>
      <w:r w:rsidRPr="00E63DCC">
        <w:rPr>
          <w:rFonts w:cs="Arial"/>
          <w:lang w:val="en-GB"/>
        </w:rPr>
        <w:t>closely with community leaders and the community around the ASGM sites to facilitate inclusive feedback.</w:t>
      </w:r>
    </w:p>
    <w:p w14:paraId="45D0F744" w14:textId="0699603C" w:rsidR="008C3DF8" w:rsidRPr="00E63DCC" w:rsidRDefault="008C3DF8" w:rsidP="00A5640C">
      <w:pPr>
        <w:rPr>
          <w:rFonts w:cs="Arial"/>
          <w:lang w:val="en-GB"/>
        </w:rPr>
      </w:pPr>
      <w:r w:rsidRPr="00E63DCC">
        <w:rPr>
          <w:rFonts w:cs="Arial"/>
          <w:lang w:val="en-GB"/>
        </w:rPr>
        <w:t xml:space="preserve">Additionally, the study team will strongly encourage </w:t>
      </w:r>
      <w:r w:rsidR="00FB3F3B" w:rsidRPr="00E63DCC">
        <w:rPr>
          <w:rFonts w:cs="Arial"/>
          <w:lang w:val="en-GB"/>
        </w:rPr>
        <w:t xml:space="preserve">[leading national authority on ASGM] </w:t>
      </w:r>
      <w:r w:rsidRPr="00E63DCC">
        <w:rPr>
          <w:rFonts w:cs="Arial"/>
          <w:lang w:val="en-GB"/>
        </w:rPr>
        <w:t xml:space="preserve">to conduct open and continuous consultations with </w:t>
      </w:r>
      <w:r w:rsidR="005003AC" w:rsidRPr="00E63DCC">
        <w:rPr>
          <w:rFonts w:cs="Arial"/>
          <w:lang w:val="en-GB"/>
        </w:rPr>
        <w:t>CSO</w:t>
      </w:r>
      <w:r w:rsidRPr="00E63DCC">
        <w:rPr>
          <w:rFonts w:cs="Arial"/>
          <w:lang w:val="en-GB"/>
        </w:rPr>
        <w:t>s, artisanal and small-scale gold miners and mine owners to formulate feasible action plans</w:t>
      </w:r>
      <w:r w:rsidR="00DB4B34" w:rsidRPr="00E63DCC">
        <w:rPr>
          <w:rFonts w:cs="Arial"/>
          <w:lang w:val="en-GB"/>
        </w:rPr>
        <w:t xml:space="preserve">, </w:t>
      </w:r>
      <w:r w:rsidRPr="00E63DCC">
        <w:rPr>
          <w:rFonts w:cs="Arial"/>
          <w:lang w:val="en-GB"/>
        </w:rPr>
        <w:t>prioritize and develop intervention strategies based on the study findings</w:t>
      </w:r>
      <w:r w:rsidR="00DB4B34" w:rsidRPr="00E63DCC">
        <w:rPr>
          <w:rFonts w:cs="Arial"/>
          <w:lang w:val="en-GB"/>
        </w:rPr>
        <w:t>,</w:t>
      </w:r>
      <w:r w:rsidRPr="00E63DCC">
        <w:rPr>
          <w:rFonts w:cs="Arial"/>
          <w:lang w:val="en-GB"/>
        </w:rPr>
        <w:t xml:space="preserve"> and monitor improvements. </w:t>
      </w:r>
    </w:p>
    <w:p w14:paraId="2FA7146E" w14:textId="53CFCFEC" w:rsidR="008C3DF8" w:rsidRPr="00E63DCC" w:rsidRDefault="008C3DF8" w:rsidP="00A5640C">
      <w:pPr>
        <w:rPr>
          <w:rFonts w:cs="Arial"/>
          <w:lang w:val="en-GB"/>
        </w:rPr>
      </w:pPr>
      <w:r w:rsidRPr="00E63DCC">
        <w:rPr>
          <w:rFonts w:cs="Arial"/>
          <w:lang w:val="en-GB"/>
        </w:rPr>
        <w:t>As the ASGM sector is closely linked to complex economic development and poverty issues, the ASGM NAPs are envisaged as flexible, country-specific solutions. The entire NAP process relies on a stakeholder engagement and participation plan to make sure the envisaged solutions match the miners’ needs</w:t>
      </w:r>
      <w:r w:rsidR="00DB4B34" w:rsidRPr="00E63DCC">
        <w:rPr>
          <w:rFonts w:cs="Arial"/>
          <w:lang w:val="en-GB"/>
        </w:rPr>
        <w:t xml:space="preserve"> </w:t>
      </w:r>
      <w:r w:rsidR="00DB4B34" w:rsidRPr="00E63DCC">
        <w:rPr>
          <w:rFonts w:cs="Arial"/>
          <w:i/>
          <w:lang w:val="en-GB"/>
        </w:rPr>
        <w:t>(1</w:t>
      </w:r>
      <w:r w:rsidR="0081765C" w:rsidRPr="00E63DCC">
        <w:rPr>
          <w:rFonts w:cs="Arial"/>
          <w:i/>
          <w:lang w:val="en-GB"/>
        </w:rPr>
        <w:t>7</w:t>
      </w:r>
      <w:r w:rsidR="00DB4B34" w:rsidRPr="00E63DCC">
        <w:rPr>
          <w:rFonts w:cs="Arial"/>
          <w:i/>
          <w:lang w:val="en-GB"/>
        </w:rPr>
        <w:t>)</w:t>
      </w:r>
      <w:r w:rsidRPr="00E63DCC">
        <w:rPr>
          <w:rFonts w:cs="Arial"/>
          <w:lang w:val="en-GB"/>
        </w:rPr>
        <w:t>.</w:t>
      </w:r>
      <w:r w:rsidR="00DB4B34" w:rsidRPr="00E63DCC">
        <w:rPr>
          <w:rFonts w:cs="Arial"/>
          <w:lang w:val="en-GB"/>
        </w:rPr>
        <w:t xml:space="preserve"> </w:t>
      </w:r>
      <w:r w:rsidRPr="00E63DCC">
        <w:rPr>
          <w:rFonts w:cs="Arial"/>
          <w:lang w:val="en-GB"/>
        </w:rPr>
        <w:t xml:space="preserve">This inclusive process will provide </w:t>
      </w:r>
      <w:r w:rsidR="005003AC" w:rsidRPr="00E63DCC">
        <w:rPr>
          <w:rFonts w:cs="Arial"/>
          <w:lang w:val="en-GB"/>
        </w:rPr>
        <w:t>CSO</w:t>
      </w:r>
      <w:r w:rsidRPr="00E63DCC">
        <w:rPr>
          <w:rFonts w:cs="Arial"/>
          <w:lang w:val="en-GB"/>
        </w:rPr>
        <w:t>s and communities</w:t>
      </w:r>
      <w:r w:rsidR="00460795" w:rsidRPr="00E63DCC">
        <w:rPr>
          <w:rFonts w:cs="Arial"/>
          <w:lang w:val="en-GB"/>
        </w:rPr>
        <w:t xml:space="preserve"> with</w:t>
      </w:r>
      <w:r w:rsidRPr="00E63DCC">
        <w:rPr>
          <w:rFonts w:cs="Arial"/>
          <w:lang w:val="en-GB"/>
        </w:rPr>
        <w:t xml:space="preserve"> the opportunity to find locally adaptive solutions to improving miners</w:t>
      </w:r>
      <w:r w:rsidR="00460795" w:rsidRPr="00E63DCC">
        <w:rPr>
          <w:rFonts w:cs="Arial"/>
          <w:lang w:val="en-GB"/>
        </w:rPr>
        <w:t>’</w:t>
      </w:r>
      <w:r w:rsidRPr="00E63DCC">
        <w:rPr>
          <w:rFonts w:cs="Arial"/>
          <w:lang w:val="en-GB"/>
        </w:rPr>
        <w:t xml:space="preserve"> working conditions and mitigate risks</w:t>
      </w:r>
      <w:r w:rsidR="00460795" w:rsidRPr="00E63DCC">
        <w:rPr>
          <w:rFonts w:cs="Arial"/>
          <w:lang w:val="en-GB"/>
        </w:rPr>
        <w:t>,</w:t>
      </w:r>
      <w:r w:rsidRPr="00E63DCC">
        <w:rPr>
          <w:rFonts w:cs="Arial"/>
          <w:lang w:val="en-GB"/>
        </w:rPr>
        <w:t xml:space="preserve"> as highlighted in section </w:t>
      </w:r>
      <w:r w:rsidR="009C3C21" w:rsidRPr="00E63DCC">
        <w:rPr>
          <w:rFonts w:cs="Arial"/>
          <w:lang w:val="en-GB"/>
        </w:rPr>
        <w:t>[</w:t>
      </w:r>
      <w:r w:rsidRPr="00E63DCC">
        <w:rPr>
          <w:rFonts w:cs="Arial"/>
          <w:lang w:val="en-GB"/>
        </w:rPr>
        <w:t>4.</w:t>
      </w:r>
      <w:r w:rsidR="00460795" w:rsidRPr="00E63DCC">
        <w:rPr>
          <w:rFonts w:cs="Arial"/>
          <w:lang w:val="en-GB"/>
        </w:rPr>
        <w:t>2</w:t>
      </w:r>
      <w:r w:rsidR="009C3C21" w:rsidRPr="00E63DCC">
        <w:rPr>
          <w:rFonts w:cs="Arial"/>
          <w:lang w:val="en-GB"/>
        </w:rPr>
        <w:t>]</w:t>
      </w:r>
      <w:r w:rsidR="00460795" w:rsidRPr="00E63DCC">
        <w:rPr>
          <w:rFonts w:cs="Arial"/>
          <w:lang w:val="en-GB"/>
        </w:rPr>
        <w:t xml:space="preserve"> on</w:t>
      </w:r>
      <w:r w:rsidRPr="00E63DCC">
        <w:rPr>
          <w:rFonts w:cs="Arial"/>
          <w:lang w:val="en-GB"/>
        </w:rPr>
        <w:t xml:space="preserve"> </w:t>
      </w:r>
      <w:r w:rsidR="00460795" w:rsidRPr="00E63DCC">
        <w:rPr>
          <w:rFonts w:cs="Arial"/>
          <w:lang w:val="en-GB"/>
        </w:rPr>
        <w:t>r</w:t>
      </w:r>
      <w:r w:rsidRPr="00E63DCC">
        <w:rPr>
          <w:rFonts w:cs="Arial"/>
          <w:lang w:val="en-GB"/>
        </w:rPr>
        <w:t>isk</w:t>
      </w:r>
      <w:r w:rsidR="00460795" w:rsidRPr="00E63DCC">
        <w:rPr>
          <w:rFonts w:cs="Arial"/>
          <w:lang w:val="en-GB"/>
        </w:rPr>
        <w:t>–</w:t>
      </w:r>
      <w:r w:rsidRPr="00E63DCC">
        <w:rPr>
          <w:rFonts w:cs="Arial"/>
          <w:lang w:val="en-GB"/>
        </w:rPr>
        <w:t>benefit assessment and protection of participants.</w:t>
      </w:r>
    </w:p>
    <w:p w14:paraId="01A19478" w14:textId="76E8ECDE" w:rsidR="00FB3F3B" w:rsidRPr="00E63DCC" w:rsidRDefault="00FB3F3B" w:rsidP="00A5640C">
      <w:pPr>
        <w:rPr>
          <w:rFonts w:cs="Arial"/>
          <w:lang w:val="en-GB"/>
        </w:rPr>
      </w:pPr>
      <w:r w:rsidRPr="00E63DCC">
        <w:rPr>
          <w:rFonts w:cs="Arial"/>
          <w:lang w:val="en-GB"/>
        </w:rPr>
        <w:t>[Please modify and adapt the text under 5.3 in order to explain your strategy for achieving community feedback.]</w:t>
      </w:r>
    </w:p>
    <w:p w14:paraId="0DB20394" w14:textId="2DD71797" w:rsidR="00B973D8" w:rsidRPr="00E63DCC" w:rsidRDefault="00460795" w:rsidP="00A5640C">
      <w:pPr>
        <w:pStyle w:val="Heading2"/>
        <w:rPr>
          <w:lang w:val="en-GB"/>
        </w:rPr>
      </w:pPr>
      <w:bookmarkStart w:id="80" w:name="_Toc70926831"/>
      <w:bookmarkStart w:id="81" w:name="_Toc245371593"/>
      <w:r w:rsidRPr="00E63DCC">
        <w:rPr>
          <w:lang w:val="en-GB"/>
        </w:rPr>
        <w:t>5.4</w:t>
      </w:r>
      <w:r w:rsidRPr="00E63DCC">
        <w:rPr>
          <w:lang w:val="en-GB"/>
        </w:rPr>
        <w:tab/>
        <w:t>D</w:t>
      </w:r>
      <w:r w:rsidR="009006B4" w:rsidRPr="00E63DCC">
        <w:rPr>
          <w:lang w:val="en-GB"/>
        </w:rPr>
        <w:t>ecision-making process and p</w:t>
      </w:r>
      <w:r w:rsidR="00B03E19" w:rsidRPr="00E63DCC">
        <w:rPr>
          <w:lang w:val="en-GB"/>
        </w:rPr>
        <w:t>olicy implications</w:t>
      </w:r>
      <w:bookmarkEnd w:id="80"/>
    </w:p>
    <w:p w14:paraId="157638A5" w14:textId="5626088B" w:rsidR="00FB3F3B" w:rsidRPr="00E63DCC" w:rsidRDefault="00FB3F3B" w:rsidP="00A5640C">
      <w:pPr>
        <w:rPr>
          <w:lang w:val="en-GB"/>
        </w:rPr>
      </w:pPr>
      <w:bookmarkStart w:id="82" w:name="_Toc283557274"/>
      <w:r w:rsidRPr="00E63DCC">
        <w:rPr>
          <w:lang w:val="en-GB"/>
        </w:rPr>
        <w:t>The study findings will feed into the overall NAP</w:t>
      </w:r>
      <w:r w:rsidR="00DA00D4" w:rsidRPr="00E63DCC">
        <w:rPr>
          <w:lang w:val="en-GB"/>
        </w:rPr>
        <w:t xml:space="preserve"> </w:t>
      </w:r>
      <w:r w:rsidRPr="00E63DCC">
        <w:rPr>
          <w:lang w:val="en-GB"/>
        </w:rPr>
        <w:t>development process, but especially into the development of</w:t>
      </w:r>
      <w:r w:rsidR="00DA00D4" w:rsidRPr="00E63DCC">
        <w:rPr>
          <w:lang w:val="en-GB"/>
        </w:rPr>
        <w:t xml:space="preserve"> a</w:t>
      </w:r>
      <w:r w:rsidRPr="00E63DCC">
        <w:rPr>
          <w:lang w:val="en-GB"/>
        </w:rPr>
        <w:t xml:space="preserve"> public health strateg</w:t>
      </w:r>
      <w:r w:rsidR="00DA00D4" w:rsidRPr="00E63DCC">
        <w:rPr>
          <w:lang w:val="en-GB"/>
        </w:rPr>
        <w:t>y</w:t>
      </w:r>
      <w:r w:rsidRPr="00E63DCC">
        <w:rPr>
          <w:lang w:val="en-GB"/>
        </w:rPr>
        <w:t xml:space="preserve"> on ASGM,</w:t>
      </w:r>
      <w:r w:rsidR="00DA00D4" w:rsidRPr="00E63DCC">
        <w:rPr>
          <w:lang w:val="en-GB"/>
        </w:rPr>
        <w:t xml:space="preserve"> in accordance with </w:t>
      </w:r>
      <w:r w:rsidRPr="00E63DCC">
        <w:rPr>
          <w:lang w:val="en-GB"/>
        </w:rPr>
        <w:t xml:space="preserve">the Minamata Convention. The findings will guide health ministries </w:t>
      </w:r>
      <w:r w:rsidR="00A358C7" w:rsidRPr="00E63DCC">
        <w:rPr>
          <w:lang w:val="en-GB"/>
        </w:rPr>
        <w:t>i</w:t>
      </w:r>
      <w:r w:rsidRPr="00E63DCC">
        <w:rPr>
          <w:lang w:val="en-GB"/>
        </w:rPr>
        <w:t xml:space="preserve">n developing the needed public health strategies. The decision-making process and the political process should aim to ensure that steps are taken by governments to formalize ASGM activities and to ensure that the health and well-being of those persons dependent on it for their livelihoods </w:t>
      </w:r>
      <w:r w:rsidR="00A358C7" w:rsidRPr="00E63DCC">
        <w:rPr>
          <w:lang w:val="en-GB"/>
        </w:rPr>
        <w:t>are</w:t>
      </w:r>
      <w:r w:rsidRPr="00E63DCC">
        <w:rPr>
          <w:lang w:val="en-GB"/>
        </w:rPr>
        <w:t xml:space="preserve"> safeguarded. </w:t>
      </w:r>
    </w:p>
    <w:p w14:paraId="7367D60C" w14:textId="0E8CE128" w:rsidR="00FB3F3B" w:rsidRPr="00E63DCC" w:rsidRDefault="00FB3F3B" w:rsidP="00A5640C">
      <w:pPr>
        <w:rPr>
          <w:lang w:val="en-GB"/>
        </w:rPr>
      </w:pPr>
      <w:r w:rsidRPr="00E63DCC">
        <w:rPr>
          <w:lang w:val="en-GB"/>
        </w:rPr>
        <w:t>The following two steps should be considered to</w:t>
      </w:r>
      <w:r w:rsidR="00A358C7" w:rsidRPr="00E63DCC">
        <w:rPr>
          <w:lang w:val="en-GB"/>
        </w:rPr>
        <w:t xml:space="preserve"> facilitate </w:t>
      </w:r>
      <w:r w:rsidRPr="00E63DCC">
        <w:rPr>
          <w:lang w:val="en-GB"/>
        </w:rPr>
        <w:t>a participatory decision-making process in the overall NAP</w:t>
      </w:r>
      <w:r w:rsidR="00A358C7" w:rsidRPr="00E63DCC">
        <w:rPr>
          <w:lang w:val="en-GB"/>
        </w:rPr>
        <w:t xml:space="preserve"> </w:t>
      </w:r>
      <w:r w:rsidRPr="00E63DCC">
        <w:rPr>
          <w:lang w:val="en-GB"/>
        </w:rPr>
        <w:t>development process</w:t>
      </w:r>
      <w:r w:rsidR="00A358C7" w:rsidRPr="00E63DCC">
        <w:rPr>
          <w:lang w:val="en-GB"/>
        </w:rPr>
        <w:t>.</w:t>
      </w:r>
    </w:p>
    <w:p w14:paraId="718B8ED4" w14:textId="2034AEDE" w:rsidR="00FB3F3B" w:rsidRPr="00E63DCC" w:rsidRDefault="00A31535" w:rsidP="0089364B">
      <w:pPr>
        <w:pStyle w:val="Listnumbered"/>
        <w:numPr>
          <w:ilvl w:val="0"/>
          <w:numId w:val="43"/>
        </w:numPr>
      </w:pPr>
      <w:r w:rsidRPr="00E63DCC">
        <w:lastRenderedPageBreak/>
        <w:t>C</w:t>
      </w:r>
      <w:r w:rsidR="00FB3F3B" w:rsidRPr="00E63DCC">
        <w:t>ommunity participation</w:t>
      </w:r>
      <w:r w:rsidRPr="00E63DCC">
        <w:t xml:space="preserve"> should be ensured</w:t>
      </w:r>
      <w:r w:rsidR="00FB3F3B" w:rsidRPr="00E63DCC">
        <w:t xml:space="preserve"> in the development of the NAP and in the creation of policy frameworks through iterative consultative processes with </w:t>
      </w:r>
      <w:r w:rsidR="005003AC" w:rsidRPr="00E63DCC">
        <w:rPr>
          <w:rFonts w:cs="Arial"/>
        </w:rPr>
        <w:t>CSO</w:t>
      </w:r>
      <w:r w:rsidR="00FB3F3B" w:rsidRPr="00E63DCC">
        <w:t>s, artisanal and small-scale gold miners and other relevant stakeholders ([name relevant ministries]) in order to reduce exposure</w:t>
      </w:r>
      <w:r w:rsidRPr="00E63DCC">
        <w:t xml:space="preserve"> and the incidence of </w:t>
      </w:r>
      <w:r w:rsidR="00FB3F3B" w:rsidRPr="00E63DCC">
        <w:t>illness and injur</w:t>
      </w:r>
      <w:r w:rsidR="00401A6D" w:rsidRPr="00E63DCC">
        <w:t>y</w:t>
      </w:r>
      <w:r w:rsidR="00FB3F3B" w:rsidRPr="00E63DCC">
        <w:t xml:space="preserve"> related to ASGM and</w:t>
      </w:r>
      <w:r w:rsidR="00401A6D" w:rsidRPr="00E63DCC">
        <w:t>,</w:t>
      </w:r>
      <w:r w:rsidR="00FB3F3B" w:rsidRPr="00E63DCC">
        <w:t xml:space="preserve"> importantly, to advocate cleaner production techniques. </w:t>
      </w:r>
    </w:p>
    <w:p w14:paraId="11F3609E" w14:textId="714B0CE6" w:rsidR="00FB3F3B" w:rsidRPr="00E63DCC" w:rsidRDefault="00FF5B41" w:rsidP="0089364B">
      <w:pPr>
        <w:pStyle w:val="Listnumbered"/>
        <w:numPr>
          <w:ilvl w:val="0"/>
          <w:numId w:val="43"/>
        </w:numPr>
      </w:pPr>
      <w:r w:rsidRPr="00E63DCC">
        <w:t xml:space="preserve">In the </w:t>
      </w:r>
      <w:r w:rsidR="00FB3F3B" w:rsidRPr="00E63DCC">
        <w:t>development of the NAP and the creation of policy frameworks</w:t>
      </w:r>
      <w:r w:rsidRPr="00E63DCC">
        <w:t xml:space="preserve"> based on the research findings</w:t>
      </w:r>
      <w:r w:rsidR="00FB3F3B" w:rsidRPr="00E63DCC">
        <w:t xml:space="preserve">, community and civil society participation and </w:t>
      </w:r>
      <w:proofErr w:type="spellStart"/>
      <w:r w:rsidR="00FB3F3B" w:rsidRPr="00E63DCC">
        <w:t>multistakeholder</w:t>
      </w:r>
      <w:proofErr w:type="spellEnd"/>
      <w:r w:rsidR="00FB3F3B" w:rsidRPr="00E63DCC">
        <w:t xml:space="preserve"> engagement will be crucial in supporting and formalizing,</w:t>
      </w:r>
      <w:r w:rsidR="00B10284" w:rsidRPr="00E63DCC">
        <w:t xml:space="preserve"> to the extent</w:t>
      </w:r>
      <w:r w:rsidR="00FB3F3B" w:rsidRPr="00E63DCC">
        <w:t xml:space="preserve"> possible, the ASGM sector to help the industry develop in an environmentally friendly and sustainable manner.</w:t>
      </w:r>
    </w:p>
    <w:p w14:paraId="42D82BD7" w14:textId="519AA9EA" w:rsidR="00FB3F3B" w:rsidRPr="00E63DCC" w:rsidRDefault="00FB3F3B" w:rsidP="00A5640C">
      <w:pPr>
        <w:rPr>
          <w:lang w:val="en-GB"/>
        </w:rPr>
      </w:pPr>
      <w:r w:rsidRPr="00E63DCC">
        <w:rPr>
          <w:lang w:val="en-GB"/>
        </w:rPr>
        <w:t xml:space="preserve">The NAP provides the opportunity to outline a clear and transparent basis for the support, development, and implementation of activities to reduce and </w:t>
      </w:r>
      <w:r w:rsidR="00CC7BED" w:rsidRPr="00E63DCC">
        <w:rPr>
          <w:lang w:val="en-GB"/>
        </w:rPr>
        <w:t>(</w:t>
      </w:r>
      <w:r w:rsidRPr="00E63DCC">
        <w:rPr>
          <w:lang w:val="en-GB"/>
        </w:rPr>
        <w:t>where feasible</w:t>
      </w:r>
      <w:r w:rsidR="00CC7BED" w:rsidRPr="00E63DCC">
        <w:rPr>
          <w:lang w:val="en-GB"/>
        </w:rPr>
        <w:t>)</w:t>
      </w:r>
      <w:r w:rsidRPr="00E63DCC">
        <w:rPr>
          <w:lang w:val="en-GB"/>
        </w:rPr>
        <w:t xml:space="preserve"> eliminate mercury use, emissions and releases from ASGM at the national level. In the absence of a pre-existing institution to perform this role, an intersectoral working group will guide the NAP development through all its phases and ensure that there is proper project planning and management throughout the process. The working group</w:t>
      </w:r>
      <w:r w:rsidR="00FF5B41" w:rsidRPr="00E63DCC">
        <w:rPr>
          <w:lang w:val="en-GB"/>
        </w:rPr>
        <w:t xml:space="preserve"> will</w:t>
      </w:r>
      <w:r w:rsidRPr="00E63DCC">
        <w:rPr>
          <w:lang w:val="en-GB"/>
        </w:rPr>
        <w:t xml:space="preserve"> include members from different governmental ministries or departments (environment, mining, finance, trade</w:t>
      </w:r>
      <w:r w:rsidR="00FF5B41" w:rsidRPr="00E63DCC">
        <w:rPr>
          <w:lang w:val="en-GB"/>
        </w:rPr>
        <w:t xml:space="preserve"> and </w:t>
      </w:r>
      <w:r w:rsidRPr="00E63DCC">
        <w:rPr>
          <w:lang w:val="en-GB"/>
        </w:rPr>
        <w:t>public health), including local government representatives, and</w:t>
      </w:r>
      <w:r w:rsidR="00FF5B41" w:rsidRPr="00E63DCC">
        <w:rPr>
          <w:lang w:val="en-GB"/>
        </w:rPr>
        <w:t xml:space="preserve"> will</w:t>
      </w:r>
      <w:r w:rsidRPr="00E63DCC">
        <w:rPr>
          <w:lang w:val="en-GB"/>
        </w:rPr>
        <w:t xml:space="preserve"> interact with other relevant agencies as appropriate. This intersectoral approach allows for shared accountability</w:t>
      </w:r>
      <w:r w:rsidR="00F8111E" w:rsidRPr="00E63DCC">
        <w:rPr>
          <w:lang w:val="en-GB"/>
        </w:rPr>
        <w:t xml:space="preserve"> in</w:t>
      </w:r>
      <w:r w:rsidRPr="00E63DCC">
        <w:rPr>
          <w:lang w:val="en-GB"/>
        </w:rPr>
        <w:t xml:space="preserve"> promoting alternatives to mercury</w:t>
      </w:r>
      <w:r w:rsidR="00F8111E" w:rsidRPr="00E63DCC">
        <w:rPr>
          <w:lang w:val="en-GB"/>
        </w:rPr>
        <w:t xml:space="preserve"> and </w:t>
      </w:r>
      <w:r w:rsidRPr="00E63DCC">
        <w:rPr>
          <w:lang w:val="en-GB"/>
        </w:rPr>
        <w:t>formalizing the ASGM sector.</w:t>
      </w:r>
      <w:r w:rsidR="00E44C0C" w:rsidRPr="00E63DCC">
        <w:rPr>
          <w:lang w:val="en-GB"/>
        </w:rPr>
        <w:t xml:space="preserve"> Those engaged will </w:t>
      </w:r>
      <w:r w:rsidRPr="00E63DCC">
        <w:rPr>
          <w:lang w:val="en-GB"/>
        </w:rPr>
        <w:t>include relevant members of civil society with experience and knowledge in the ASGM sector, including representatives of artisanal and small-scale mining groups and community organizations. This ensures that all aspects of ASGM are considered during the development of the NAP</w:t>
      </w:r>
      <w:r w:rsidR="00BC3E5A" w:rsidRPr="00E63DCC">
        <w:rPr>
          <w:lang w:val="en-GB"/>
        </w:rPr>
        <w:t xml:space="preserve">, and that </w:t>
      </w:r>
      <w:r w:rsidRPr="00E63DCC">
        <w:rPr>
          <w:lang w:val="en-GB"/>
        </w:rPr>
        <w:t>the NAP</w:t>
      </w:r>
      <w:r w:rsidR="00BC3E5A" w:rsidRPr="00E63DCC">
        <w:rPr>
          <w:lang w:val="en-GB"/>
        </w:rPr>
        <w:t xml:space="preserve"> accords</w:t>
      </w:r>
      <w:r w:rsidRPr="00E63DCC">
        <w:rPr>
          <w:lang w:val="en-GB"/>
        </w:rPr>
        <w:t xml:space="preserve"> with</w:t>
      </w:r>
      <w:r w:rsidR="00BC3E5A" w:rsidRPr="00E63DCC">
        <w:rPr>
          <w:lang w:val="en-GB"/>
        </w:rPr>
        <w:t xml:space="preserve"> the</w:t>
      </w:r>
      <w:r w:rsidRPr="00E63DCC">
        <w:rPr>
          <w:lang w:val="en-GB"/>
        </w:rPr>
        <w:t xml:space="preserve"> activities or program</w:t>
      </w:r>
      <w:r w:rsidR="00BC3E5A" w:rsidRPr="00E63DCC">
        <w:rPr>
          <w:lang w:val="en-GB"/>
        </w:rPr>
        <w:t>me</w:t>
      </w:r>
      <w:r w:rsidRPr="00E63DCC">
        <w:rPr>
          <w:lang w:val="en-GB"/>
        </w:rPr>
        <w:t>s of other ministries or departments. The relative roles and responsibilities of the members of the working group are clearly defined from the outset.</w:t>
      </w:r>
    </w:p>
    <w:p w14:paraId="533B9415" w14:textId="06862F6F" w:rsidR="00FB3F3B" w:rsidRPr="00E63DCC" w:rsidRDefault="00FB3F3B" w:rsidP="00A5640C">
      <w:pPr>
        <w:rPr>
          <w:lang w:val="en-GB"/>
        </w:rPr>
      </w:pPr>
      <w:r w:rsidRPr="00E63DCC">
        <w:rPr>
          <w:lang w:val="en-GB"/>
        </w:rPr>
        <w:t>[Please modify this section to give a short overview of how the findings will guide the development of public health strategies on ASGM in your country and which steps will be taken to allow for a participatory NAP</w:t>
      </w:r>
      <w:r w:rsidR="00BC3E5A" w:rsidRPr="00E63DCC">
        <w:rPr>
          <w:lang w:val="en-GB"/>
        </w:rPr>
        <w:t xml:space="preserve"> </w:t>
      </w:r>
      <w:r w:rsidRPr="00E63DCC">
        <w:rPr>
          <w:lang w:val="en-GB"/>
        </w:rPr>
        <w:t>development approach.]</w:t>
      </w:r>
    </w:p>
    <w:p w14:paraId="197A91A7" w14:textId="77777777" w:rsidR="00B628FC" w:rsidRPr="00E63DCC" w:rsidRDefault="00B628FC" w:rsidP="00A5640C">
      <w:pPr>
        <w:rPr>
          <w:lang w:val="en-GB"/>
        </w:rPr>
      </w:pPr>
    </w:p>
    <w:p w14:paraId="47B7B97F" w14:textId="77777777" w:rsidR="00A358C7" w:rsidRPr="00E63DCC" w:rsidRDefault="00A358C7">
      <w:pPr>
        <w:spacing w:after="0" w:line="240" w:lineRule="auto"/>
        <w:rPr>
          <w:rFonts w:eastAsia="Times New Roman"/>
          <w:b/>
          <w:bCs/>
          <w:color w:val="800000"/>
          <w:kern w:val="32"/>
          <w:sz w:val="32"/>
          <w:szCs w:val="28"/>
          <w:lang w:val="en-GB"/>
        </w:rPr>
      </w:pPr>
      <w:r w:rsidRPr="00E63DCC">
        <w:rPr>
          <w:lang w:val="en-GB"/>
        </w:rPr>
        <w:br w:type="page"/>
      </w:r>
    </w:p>
    <w:p w14:paraId="0720030B" w14:textId="3DAA7271" w:rsidR="008C07CF" w:rsidRPr="00E63DCC" w:rsidRDefault="00CC7BED" w:rsidP="00A5640C">
      <w:pPr>
        <w:pStyle w:val="Heading1"/>
      </w:pPr>
      <w:bookmarkStart w:id="83" w:name="_Toc70926742"/>
      <w:bookmarkStart w:id="84" w:name="_Toc70926832"/>
      <w:r w:rsidRPr="00E63DCC">
        <w:lastRenderedPageBreak/>
        <w:t>6.</w:t>
      </w:r>
      <w:r w:rsidRPr="00E63DCC">
        <w:tab/>
        <w:t>S</w:t>
      </w:r>
      <w:r w:rsidR="00FA05E1" w:rsidRPr="00E63DCC">
        <w:t>tudy schedule</w:t>
      </w:r>
      <w:bookmarkEnd w:id="83"/>
      <w:bookmarkEnd w:id="84"/>
    </w:p>
    <w:p w14:paraId="0DB84941" w14:textId="155CA4AC" w:rsidR="008C3DF8" w:rsidRPr="00E63DCC" w:rsidRDefault="008C3DF8" w:rsidP="00A5640C">
      <w:pPr>
        <w:rPr>
          <w:lang w:val="en-GB"/>
        </w:rPr>
      </w:pPr>
      <w:r w:rsidRPr="00E63DCC">
        <w:rPr>
          <w:lang w:val="en-GB"/>
        </w:rPr>
        <w:t>[P</w:t>
      </w:r>
      <w:r w:rsidR="006F724D" w:rsidRPr="00E63DCC">
        <w:rPr>
          <w:lang w:val="en-GB"/>
        </w:rPr>
        <w:t>lease p</w:t>
      </w:r>
      <w:r w:rsidRPr="00E63DCC">
        <w:rPr>
          <w:lang w:val="en-GB"/>
        </w:rPr>
        <w:t>resent a detailed (month, year) study schedule with the key project milestones of both the institutional capacity and the rapid health assessments.]</w:t>
      </w:r>
    </w:p>
    <w:p w14:paraId="7FDD0BD1" w14:textId="1E260AE4" w:rsidR="008C3DF8" w:rsidRPr="00E63DCC" w:rsidRDefault="008C3DF8" w:rsidP="00A5640C">
      <w:pPr>
        <w:rPr>
          <w:lang w:val="en-GB"/>
        </w:rPr>
      </w:pPr>
      <w:r w:rsidRPr="00E63DCC">
        <w:rPr>
          <w:lang w:val="en-GB"/>
        </w:rPr>
        <w:t>The timeline and proposed sequencing of the activities are shown in Table 5. The timelines might be subject to minor changes.</w:t>
      </w:r>
    </w:p>
    <w:p w14:paraId="347C8D58" w14:textId="77777777" w:rsidR="006F724D" w:rsidRPr="00E63DCC" w:rsidRDefault="006F724D" w:rsidP="00A5640C">
      <w:pPr>
        <w:rPr>
          <w:lang w:val="en-GB"/>
        </w:rPr>
      </w:pPr>
    </w:p>
    <w:p w14:paraId="075AA9D7" w14:textId="77777777" w:rsidR="00CD3A11" w:rsidRPr="00E63DCC" w:rsidRDefault="00CD3A11" w:rsidP="00A5640C">
      <w:pPr>
        <w:rPr>
          <w:lang w:val="en-GB"/>
        </w:rPr>
        <w:sectPr w:rsidR="00CD3A11" w:rsidRPr="00E63DCC" w:rsidSect="00091C41">
          <w:headerReference w:type="default" r:id="rId17"/>
          <w:pgSz w:w="11906" w:h="16838"/>
          <w:pgMar w:top="1440" w:right="1440" w:bottom="1440" w:left="1440" w:header="720" w:footer="720" w:gutter="0"/>
          <w:cols w:space="708"/>
          <w:docGrid w:linePitch="360"/>
        </w:sectPr>
      </w:pPr>
    </w:p>
    <w:p w14:paraId="15B896DD" w14:textId="4EF51B10" w:rsidR="00CC7BED" w:rsidRPr="00E63DCC" w:rsidRDefault="006F724D" w:rsidP="00A5640C">
      <w:pPr>
        <w:rPr>
          <w:lang w:val="en-GB"/>
        </w:rPr>
      </w:pPr>
      <w:r w:rsidRPr="00E63DCC">
        <w:rPr>
          <w:lang w:val="en-GB"/>
        </w:rPr>
        <w:lastRenderedPageBreak/>
        <w:t>[Suggestion]</w:t>
      </w:r>
      <w:r w:rsidR="00CC7BED" w:rsidRPr="00E63DCC">
        <w:rPr>
          <w:lang w:val="en-GB"/>
        </w:rPr>
        <w:t>:</w:t>
      </w:r>
    </w:p>
    <w:p w14:paraId="7224ABF8" w14:textId="2C1C0FA1" w:rsidR="009C3ECF" w:rsidRPr="00E63DCC" w:rsidRDefault="004537BF" w:rsidP="001105AC">
      <w:pPr>
        <w:pStyle w:val="Tablehead"/>
      </w:pPr>
      <w:bookmarkStart w:id="85" w:name="_Toc475116182"/>
      <w:r w:rsidRPr="00E63DCC">
        <w:t>Table 5</w:t>
      </w:r>
      <w:r w:rsidR="00CC7BED" w:rsidRPr="00E63DCC">
        <w:t>.</w:t>
      </w:r>
      <w:r w:rsidRPr="00E63DCC">
        <w:t xml:space="preserve"> Study schedule</w:t>
      </w:r>
      <w:bookmarkEnd w:id="85"/>
    </w:p>
    <w:p w14:paraId="6F7D4003" w14:textId="496A741C" w:rsidR="00C24616" w:rsidRPr="00E63DCC" w:rsidRDefault="000F5E6D" w:rsidP="00A5640C">
      <w:pPr>
        <w:rPr>
          <w:lang w:val="en-GB"/>
        </w:rPr>
      </w:pPr>
      <w:r w:rsidRPr="00E63DCC">
        <w:rPr>
          <w:lang w:val="en-GB"/>
        </w:rPr>
        <w:t>[to be inserted]</w:t>
      </w:r>
    </w:p>
    <w:p w14:paraId="03E6428E" w14:textId="77777777" w:rsidR="007F74E0" w:rsidRPr="00E63DCC" w:rsidRDefault="007F74E0" w:rsidP="00A5640C">
      <w:pPr>
        <w:rPr>
          <w:lang w:val="en-GB"/>
        </w:rPr>
        <w:sectPr w:rsidR="007F74E0" w:rsidRPr="00E63DCC" w:rsidSect="00091C41">
          <w:headerReference w:type="default" r:id="rId18"/>
          <w:pgSz w:w="16838" w:h="11906" w:orient="landscape"/>
          <w:pgMar w:top="1440" w:right="1440" w:bottom="1440" w:left="1440" w:header="720" w:footer="720" w:gutter="0"/>
          <w:cols w:space="708"/>
          <w:docGrid w:linePitch="360"/>
        </w:sectPr>
      </w:pPr>
    </w:p>
    <w:p w14:paraId="50B6DB42" w14:textId="4B904CA8" w:rsidR="008901A7" w:rsidRPr="00E63DCC" w:rsidRDefault="000F5E6D" w:rsidP="00A5640C">
      <w:pPr>
        <w:pStyle w:val="Heading1"/>
      </w:pPr>
      <w:bookmarkStart w:id="86" w:name="_Toc70926743"/>
      <w:bookmarkStart w:id="87" w:name="_Toc70926833"/>
      <w:r w:rsidRPr="00E63DCC">
        <w:lastRenderedPageBreak/>
        <w:t>7.</w:t>
      </w:r>
      <w:r w:rsidRPr="00E63DCC">
        <w:tab/>
        <w:t>F</w:t>
      </w:r>
      <w:r w:rsidR="00233D9A" w:rsidRPr="00E63DCC">
        <w:t>unding and support</w:t>
      </w:r>
      <w:bookmarkEnd w:id="81"/>
      <w:bookmarkEnd w:id="82"/>
      <w:bookmarkEnd w:id="86"/>
      <w:bookmarkEnd w:id="87"/>
    </w:p>
    <w:p w14:paraId="7F2DD583" w14:textId="4613B71B" w:rsidR="00FB3F3B" w:rsidRPr="00E63DCC" w:rsidRDefault="00FB3F3B" w:rsidP="00A5640C">
      <w:pPr>
        <w:rPr>
          <w:lang w:val="en-GB"/>
        </w:rPr>
      </w:pPr>
      <w:bookmarkStart w:id="88" w:name="_Toc245371596"/>
      <w:r w:rsidRPr="00E63DCC">
        <w:rPr>
          <w:lang w:val="en-GB"/>
        </w:rPr>
        <w:t>[Please mention here in one paragraph the different sponsors of your study and the total budget available.]</w:t>
      </w:r>
    </w:p>
    <w:bookmarkEnd w:id="88"/>
    <w:p w14:paraId="151452BE" w14:textId="77777777" w:rsidR="001132E1" w:rsidRPr="00E63DCC" w:rsidRDefault="001132E1" w:rsidP="00A5640C">
      <w:pPr>
        <w:rPr>
          <w:rFonts w:eastAsia="Times New Roman"/>
          <w:kern w:val="32"/>
          <w:sz w:val="28"/>
          <w:szCs w:val="28"/>
          <w:lang w:val="en-GB"/>
        </w:rPr>
      </w:pPr>
      <w:r w:rsidRPr="00E63DCC">
        <w:rPr>
          <w:lang w:val="en-GB"/>
        </w:rPr>
        <w:br w:type="page"/>
      </w:r>
    </w:p>
    <w:p w14:paraId="47B6F227" w14:textId="77777777" w:rsidR="00BB0002" w:rsidRPr="00E63DCC" w:rsidRDefault="00BB4A5E" w:rsidP="00A5640C">
      <w:pPr>
        <w:pStyle w:val="Heading1"/>
      </w:pPr>
      <w:bookmarkStart w:id="89" w:name="_Toc70926744"/>
      <w:bookmarkStart w:id="90" w:name="_Toc70926834"/>
      <w:r w:rsidRPr="00E63DCC">
        <w:lastRenderedPageBreak/>
        <w:t>R</w:t>
      </w:r>
      <w:r w:rsidR="00233D9A" w:rsidRPr="00E63DCC">
        <w:t>eferences</w:t>
      </w:r>
      <w:bookmarkEnd w:id="89"/>
      <w:bookmarkEnd w:id="90"/>
    </w:p>
    <w:p w14:paraId="627E34B8" w14:textId="77777777" w:rsidR="00171BEE" w:rsidRPr="00F31CE2" w:rsidRDefault="00171BEE" w:rsidP="00171BEE">
      <w:pPr>
        <w:pStyle w:val="Referencelist"/>
        <w:rPr>
          <w:lang w:val="en-US"/>
        </w:rPr>
      </w:pPr>
      <w:r w:rsidRPr="00F31CE2">
        <w:rPr>
          <w:lang w:val="en-US"/>
        </w:rPr>
        <w:t>1.</w:t>
      </w:r>
      <w:r w:rsidRPr="00F31CE2">
        <w:rPr>
          <w:lang w:val="en-US"/>
        </w:rPr>
        <w:tab/>
      </w:r>
      <w:proofErr w:type="spellStart"/>
      <w:r w:rsidRPr="00F31CE2">
        <w:rPr>
          <w:lang w:val="en-US"/>
        </w:rPr>
        <w:t>Hentschel</w:t>
      </w:r>
      <w:proofErr w:type="spellEnd"/>
      <w:r w:rsidRPr="00F31CE2">
        <w:rPr>
          <w:lang w:val="en-US"/>
        </w:rPr>
        <w:t xml:space="preserve"> T, </w:t>
      </w:r>
      <w:proofErr w:type="spellStart"/>
      <w:r w:rsidRPr="00F31CE2">
        <w:rPr>
          <w:lang w:val="en-US"/>
        </w:rPr>
        <w:t>Hruschka</w:t>
      </w:r>
      <w:proofErr w:type="spellEnd"/>
      <w:r w:rsidRPr="00F31CE2">
        <w:rPr>
          <w:lang w:val="en-US"/>
        </w:rPr>
        <w:t xml:space="preserve"> F, Priester M. Artisanal and small-scale mining: challenges and opportunities. London: World Business Council for Sustainable Development; 2003.</w:t>
      </w:r>
    </w:p>
    <w:p w14:paraId="1EB9551B" w14:textId="77777777" w:rsidR="00171BEE" w:rsidRPr="00F31CE2" w:rsidRDefault="00171BEE" w:rsidP="00171BEE">
      <w:pPr>
        <w:pStyle w:val="Referencelist"/>
        <w:rPr>
          <w:lang w:val="en-US"/>
        </w:rPr>
      </w:pPr>
      <w:r w:rsidRPr="00F31CE2">
        <w:rPr>
          <w:lang w:val="en-US"/>
        </w:rPr>
        <w:t>2.</w:t>
      </w:r>
      <w:r w:rsidRPr="00F31CE2">
        <w:rPr>
          <w:lang w:val="en-US"/>
        </w:rPr>
        <w:tab/>
        <w:t>Breaking new ground: mining, minerals and sustainable development. London: International Institute for Environment and Development; 2004.</w:t>
      </w:r>
    </w:p>
    <w:p w14:paraId="4702B39E" w14:textId="77777777" w:rsidR="00171BEE" w:rsidRPr="00F31CE2" w:rsidRDefault="00171BEE" w:rsidP="00171BEE">
      <w:pPr>
        <w:pStyle w:val="Referencelist"/>
        <w:rPr>
          <w:lang w:val="en-US"/>
        </w:rPr>
      </w:pPr>
      <w:r w:rsidRPr="00F31CE2">
        <w:rPr>
          <w:lang w:val="en-US"/>
        </w:rPr>
        <w:t>3.</w:t>
      </w:r>
      <w:r w:rsidRPr="00F31CE2">
        <w:rPr>
          <w:lang w:val="en-US"/>
        </w:rPr>
        <w:tab/>
      </w:r>
      <w:proofErr w:type="spellStart"/>
      <w:r w:rsidRPr="00F31CE2">
        <w:rPr>
          <w:lang w:val="en-US"/>
        </w:rPr>
        <w:t>Veiga</w:t>
      </w:r>
      <w:proofErr w:type="spellEnd"/>
      <w:r w:rsidRPr="00F31CE2">
        <w:rPr>
          <w:lang w:val="en-US"/>
        </w:rPr>
        <w:t xml:space="preserve"> MM, Baker RF. Protocols for environmental and health assessment of mercury released by artisanal and small-scale gold miners. Vienna: United Nations Industrial Development Organization; 2004.</w:t>
      </w:r>
    </w:p>
    <w:p w14:paraId="4DB180D3" w14:textId="77777777" w:rsidR="00171BEE" w:rsidRPr="00F31CE2" w:rsidRDefault="00171BEE" w:rsidP="00171BEE">
      <w:pPr>
        <w:pStyle w:val="Referencelist"/>
        <w:rPr>
          <w:lang w:val="en-US"/>
        </w:rPr>
      </w:pPr>
      <w:r w:rsidRPr="00F31CE2">
        <w:rPr>
          <w:lang w:val="en-US"/>
        </w:rPr>
        <w:t>4.</w:t>
      </w:r>
      <w:r w:rsidRPr="00F31CE2">
        <w:rPr>
          <w:lang w:val="en-US"/>
        </w:rPr>
        <w:tab/>
        <w:t xml:space="preserve">Persaud A, </w:t>
      </w:r>
      <w:proofErr w:type="spellStart"/>
      <w:r w:rsidRPr="00F31CE2">
        <w:rPr>
          <w:lang w:val="en-US"/>
        </w:rPr>
        <w:t>Telmer</w:t>
      </w:r>
      <w:proofErr w:type="spellEnd"/>
      <w:r w:rsidRPr="00F31CE2">
        <w:rPr>
          <w:lang w:val="en-US"/>
        </w:rPr>
        <w:t xml:space="preserve"> K. Developing baseline estimates of mercury use in artisanal and small-scale gold mining communities: a practical guide (version 1.0). Victoria, British Columbia: Artisanal Gold Council; 2015.</w:t>
      </w:r>
    </w:p>
    <w:p w14:paraId="2DA802FC" w14:textId="77777777" w:rsidR="00171BEE" w:rsidRPr="00F31CE2" w:rsidRDefault="00171BEE" w:rsidP="00171BEE">
      <w:pPr>
        <w:pStyle w:val="Referencelist"/>
        <w:rPr>
          <w:lang w:val="en-US"/>
        </w:rPr>
      </w:pPr>
      <w:r w:rsidRPr="00F31CE2">
        <w:rPr>
          <w:lang w:val="en-US"/>
        </w:rPr>
        <w:t>5.</w:t>
      </w:r>
      <w:r w:rsidRPr="00F31CE2">
        <w:rPr>
          <w:lang w:val="en-US"/>
        </w:rPr>
        <w:tab/>
        <w:t>Environmental and occupational health hazards associated with artisanal and small-scale gold mining. Geneva: World Health Organization; 2016 (</w:t>
      </w:r>
      <w:r w:rsidRPr="00F31CE2">
        <w:rPr>
          <w:noProof/>
          <w:lang w:val="en-US"/>
        </w:rPr>
        <w:t>https://apps.who.int/iris/handle/10665/247195</w:t>
      </w:r>
      <w:r w:rsidRPr="00F31CE2">
        <w:rPr>
          <w:lang w:val="en-US"/>
        </w:rPr>
        <w:t>, accessed 10 February 2021).</w:t>
      </w:r>
    </w:p>
    <w:p w14:paraId="21873958" w14:textId="77777777" w:rsidR="00171BEE" w:rsidRPr="00F31CE2" w:rsidRDefault="00171BEE" w:rsidP="00171BEE">
      <w:pPr>
        <w:pStyle w:val="Referencelist"/>
        <w:rPr>
          <w:lang w:val="en-US"/>
        </w:rPr>
      </w:pPr>
      <w:r w:rsidRPr="00F31CE2">
        <w:rPr>
          <w:lang w:val="en-US"/>
        </w:rPr>
        <w:t>6.</w:t>
      </w:r>
      <w:r w:rsidRPr="00F31CE2">
        <w:rPr>
          <w:lang w:val="en-US"/>
        </w:rPr>
        <w:tab/>
      </w:r>
      <w:proofErr w:type="spellStart"/>
      <w:r w:rsidRPr="00F31CE2">
        <w:rPr>
          <w:lang w:val="en-US"/>
        </w:rPr>
        <w:t>Veiga</w:t>
      </w:r>
      <w:proofErr w:type="spellEnd"/>
      <w:r w:rsidRPr="00F31CE2">
        <w:rPr>
          <w:lang w:val="en-US"/>
        </w:rPr>
        <w:t xml:space="preserve"> MM, Maxson PA, </w:t>
      </w:r>
      <w:proofErr w:type="spellStart"/>
      <w:r w:rsidRPr="00F31CE2">
        <w:rPr>
          <w:lang w:val="en-US"/>
        </w:rPr>
        <w:t>Hylander</w:t>
      </w:r>
      <w:proofErr w:type="spellEnd"/>
      <w:r w:rsidRPr="00F31CE2">
        <w:rPr>
          <w:lang w:val="en-US"/>
        </w:rPr>
        <w:t xml:space="preserve"> LD. Origin and consumption of mercury in small-scale gold mining. Journal of Cleaner Production. 2006;14:436–47.</w:t>
      </w:r>
    </w:p>
    <w:p w14:paraId="5BAF967F" w14:textId="77777777" w:rsidR="00171BEE" w:rsidRPr="00F31CE2" w:rsidRDefault="00171BEE" w:rsidP="00171BEE">
      <w:pPr>
        <w:pStyle w:val="Referencelist"/>
        <w:rPr>
          <w:lang w:val="en-US"/>
        </w:rPr>
      </w:pPr>
      <w:r w:rsidRPr="00F31CE2">
        <w:rPr>
          <w:lang w:val="en-US"/>
        </w:rPr>
        <w:t>7.</w:t>
      </w:r>
      <w:r w:rsidRPr="00F31CE2">
        <w:rPr>
          <w:lang w:val="en-US"/>
        </w:rPr>
        <w:tab/>
        <w:t xml:space="preserve">Minamata Convention on Mercury: text and annexes. Nairobi: United Nations Environmental </w:t>
      </w:r>
      <w:proofErr w:type="spellStart"/>
      <w:r w:rsidRPr="00F31CE2">
        <w:rPr>
          <w:lang w:val="en-US"/>
        </w:rPr>
        <w:t>Programme</w:t>
      </w:r>
      <w:proofErr w:type="spellEnd"/>
      <w:r w:rsidRPr="00F31CE2">
        <w:rPr>
          <w:lang w:val="en-US"/>
        </w:rPr>
        <w:t xml:space="preserve"> (</w:t>
      </w:r>
      <w:r w:rsidRPr="00F31CE2">
        <w:rPr>
          <w:noProof/>
          <w:lang w:val="en-US"/>
        </w:rPr>
        <w:t>http://www.mercuryconvention.org/</w:t>
      </w:r>
      <w:r w:rsidRPr="00F31CE2">
        <w:rPr>
          <w:lang w:val="en-US"/>
        </w:rPr>
        <w:t>, accessed 10 February 2021).</w:t>
      </w:r>
    </w:p>
    <w:p w14:paraId="7A2D6272" w14:textId="77777777" w:rsidR="00171BEE" w:rsidRPr="00584C6F" w:rsidRDefault="00171BEE" w:rsidP="00171BEE">
      <w:pPr>
        <w:ind w:left="720" w:hanging="720"/>
      </w:pPr>
      <w:r w:rsidRPr="00E63DCC">
        <w:t>8.</w:t>
      </w:r>
      <w:r w:rsidRPr="00E63DCC">
        <w:tab/>
        <w:t>Step-by-step guide for developing a public health strategy for artisanal and small-scale gold mining in the context of the Minamata Convention on Mercury. Geneva: World Health Organization; 2021</w:t>
      </w:r>
      <w:r>
        <w:t>, (</w:t>
      </w:r>
      <w:r w:rsidRPr="00F31CE2">
        <w:rPr>
          <w:noProof/>
        </w:rPr>
        <w:t>https://www.who.int/publications/i/item/9789240022768</w:t>
      </w:r>
      <w:r w:rsidRPr="00584C6F">
        <w:t>, accessed 23 April 2021).</w:t>
      </w:r>
    </w:p>
    <w:p w14:paraId="3A26A73A" w14:textId="77777777" w:rsidR="00171BEE" w:rsidRPr="00F31CE2" w:rsidRDefault="00171BEE" w:rsidP="00171BEE">
      <w:pPr>
        <w:pStyle w:val="Referencelist"/>
        <w:rPr>
          <w:lang w:val="en-US"/>
        </w:rPr>
      </w:pPr>
      <w:r w:rsidRPr="00F31CE2">
        <w:rPr>
          <w:lang w:val="en-US"/>
        </w:rPr>
        <w:t>9.</w:t>
      </w:r>
      <w:r w:rsidRPr="00F31CE2">
        <w:rPr>
          <w:lang w:val="en-US"/>
        </w:rPr>
        <w:tab/>
        <w:t xml:space="preserve">Winkler MS, </w:t>
      </w:r>
      <w:proofErr w:type="spellStart"/>
      <w:r w:rsidRPr="00F31CE2">
        <w:rPr>
          <w:lang w:val="en-US"/>
        </w:rPr>
        <w:t>Divall</w:t>
      </w:r>
      <w:proofErr w:type="spellEnd"/>
      <w:r w:rsidRPr="00F31CE2">
        <w:rPr>
          <w:lang w:val="en-US"/>
        </w:rPr>
        <w:t xml:space="preserve"> MJ, Krieger GR, </w:t>
      </w:r>
      <w:proofErr w:type="spellStart"/>
      <w:r w:rsidRPr="00F31CE2">
        <w:rPr>
          <w:lang w:val="en-US"/>
        </w:rPr>
        <w:t>Balge</w:t>
      </w:r>
      <w:proofErr w:type="spellEnd"/>
      <w:r w:rsidRPr="00F31CE2">
        <w:rPr>
          <w:lang w:val="en-US"/>
        </w:rPr>
        <w:t xml:space="preserve"> MZ, Singer BH, </w:t>
      </w:r>
      <w:proofErr w:type="spellStart"/>
      <w:r w:rsidRPr="00F31CE2">
        <w:rPr>
          <w:lang w:val="en-US"/>
        </w:rPr>
        <w:t>Utzinger</w:t>
      </w:r>
      <w:proofErr w:type="spellEnd"/>
      <w:r w:rsidRPr="00F31CE2">
        <w:rPr>
          <w:lang w:val="en-US"/>
        </w:rPr>
        <w:t xml:space="preserve"> J. Assessing health impacts in complex eco-epidemiological settings in the humid tropics: the centrality of scoping. Environmental Impact Assessment Review. 2011;31(3):310–9.</w:t>
      </w:r>
    </w:p>
    <w:p w14:paraId="77EA20A0" w14:textId="77777777" w:rsidR="00171BEE" w:rsidRPr="00F31CE2" w:rsidRDefault="00171BEE" w:rsidP="00171BEE">
      <w:pPr>
        <w:pStyle w:val="Referencelist"/>
        <w:rPr>
          <w:lang w:val="en-US"/>
        </w:rPr>
      </w:pPr>
      <w:r w:rsidRPr="00F31CE2">
        <w:rPr>
          <w:lang w:val="en-US"/>
        </w:rPr>
        <w:t>10.</w:t>
      </w:r>
      <w:r w:rsidRPr="00F31CE2">
        <w:rPr>
          <w:lang w:val="en-US"/>
        </w:rPr>
        <w:tab/>
      </w:r>
      <w:proofErr w:type="spellStart"/>
      <w:r w:rsidRPr="00F31CE2">
        <w:rPr>
          <w:lang w:val="en-US"/>
        </w:rPr>
        <w:t>Razum</w:t>
      </w:r>
      <w:proofErr w:type="spellEnd"/>
      <w:r w:rsidRPr="00F31CE2">
        <w:rPr>
          <w:lang w:val="en-US"/>
        </w:rPr>
        <w:t xml:space="preserve"> O, </w:t>
      </w:r>
      <w:proofErr w:type="spellStart"/>
      <w:r w:rsidRPr="00F31CE2">
        <w:rPr>
          <w:lang w:val="en-US"/>
        </w:rPr>
        <w:t>Gerhardus</w:t>
      </w:r>
      <w:proofErr w:type="spellEnd"/>
      <w:r w:rsidRPr="00F31CE2">
        <w:rPr>
          <w:lang w:val="en-US"/>
        </w:rPr>
        <w:t xml:space="preserve"> A. Methodological triangulation in public health research: advancement or mirage? Tropical Medicine and International Health. 1999;4(4):243–4. </w:t>
      </w:r>
    </w:p>
    <w:p w14:paraId="6BF2A20B" w14:textId="77777777" w:rsidR="00171BEE" w:rsidRPr="00F31CE2" w:rsidRDefault="00171BEE" w:rsidP="00171BEE">
      <w:pPr>
        <w:pStyle w:val="Referencelist"/>
        <w:rPr>
          <w:lang w:val="en-US"/>
        </w:rPr>
      </w:pPr>
      <w:r w:rsidRPr="00F31CE2">
        <w:rPr>
          <w:lang w:val="en-US"/>
        </w:rPr>
        <w:t>11.</w:t>
      </w:r>
      <w:r w:rsidRPr="00F31CE2">
        <w:rPr>
          <w:lang w:val="en-US"/>
        </w:rPr>
        <w:tab/>
        <w:t xml:space="preserve">De </w:t>
      </w:r>
      <w:proofErr w:type="spellStart"/>
      <w:r w:rsidRPr="00F31CE2">
        <w:rPr>
          <w:lang w:val="en-US"/>
        </w:rPr>
        <w:t>Swardt</w:t>
      </w:r>
      <w:proofErr w:type="spellEnd"/>
      <w:r w:rsidRPr="00F31CE2">
        <w:rPr>
          <w:lang w:val="en-US"/>
        </w:rPr>
        <w:t xml:space="preserve"> AMI. </w:t>
      </w:r>
      <w:r w:rsidRPr="00F31CE2">
        <w:rPr>
          <w:iCs/>
          <w:lang w:val="en-US"/>
        </w:rPr>
        <w:t>The geological inventory around Ilesha.</w:t>
      </w:r>
      <w:r w:rsidRPr="00F31CE2">
        <w:rPr>
          <w:lang w:val="en-US"/>
        </w:rPr>
        <w:t xml:space="preserve"> Geological Survey of Nigeria Bulletin. 1953:23.</w:t>
      </w:r>
    </w:p>
    <w:p w14:paraId="563F6D04" w14:textId="77777777" w:rsidR="00171BEE" w:rsidRPr="00F31CE2" w:rsidRDefault="00171BEE" w:rsidP="00171BEE">
      <w:pPr>
        <w:pStyle w:val="Referencelist"/>
        <w:rPr>
          <w:lang w:val="en-US"/>
        </w:rPr>
      </w:pPr>
      <w:r w:rsidRPr="00F31CE2">
        <w:rPr>
          <w:lang w:val="en-US"/>
        </w:rPr>
        <w:t>12.</w:t>
      </w:r>
      <w:r w:rsidRPr="00F31CE2">
        <w:rPr>
          <w:lang w:val="en-US"/>
        </w:rPr>
        <w:tab/>
        <w:t xml:space="preserve">Text for inclusion in data collection forms in all data collection tools (paper-based, electronic or other) used by WHO to collect data from Member States. Geneva: World Health </w:t>
      </w:r>
      <w:r w:rsidRPr="00BD28A6">
        <w:rPr>
          <w:color w:val="000000" w:themeColor="text1"/>
          <w:lang w:val="en-US"/>
        </w:rPr>
        <w:t>Organization (</w:t>
      </w:r>
      <w:r w:rsidRPr="00BD28A6">
        <w:rPr>
          <w:rStyle w:val="Hyperlink"/>
          <w:noProof w:val="0"/>
          <w:color w:val="000000" w:themeColor="text1"/>
          <w:u w:val="none"/>
          <w:lang w:val="en-US"/>
        </w:rPr>
        <w:t>https://www.who.int/about/who-we-are/publishing-policies/data-policy/text-for-inclusion-in-data-collection-forms</w:t>
      </w:r>
      <w:r w:rsidRPr="00BD28A6">
        <w:rPr>
          <w:color w:val="000000" w:themeColor="text1"/>
          <w:lang w:val="en-US"/>
        </w:rPr>
        <w:t xml:space="preserve">, accessed 13 February </w:t>
      </w:r>
      <w:r w:rsidRPr="00F31CE2">
        <w:rPr>
          <w:lang w:val="en-US"/>
        </w:rPr>
        <w:t>2021).</w:t>
      </w:r>
    </w:p>
    <w:p w14:paraId="5A461761" w14:textId="77777777" w:rsidR="00171BEE" w:rsidRPr="00BD26D8" w:rsidRDefault="00171BEE" w:rsidP="00171BEE">
      <w:pPr>
        <w:pStyle w:val="Referencelist"/>
        <w:rPr>
          <w:lang w:val="en-US"/>
        </w:rPr>
      </w:pPr>
      <w:r w:rsidRPr="00F31CE2">
        <w:rPr>
          <w:lang w:val="en-US"/>
        </w:rPr>
        <w:lastRenderedPageBreak/>
        <w:t>13.</w:t>
      </w:r>
      <w:r w:rsidRPr="00F31CE2">
        <w:rPr>
          <w:lang w:val="en-US"/>
        </w:rPr>
        <w:tab/>
        <w:t xml:space="preserve">Human biomonitoring in the context of artisanal and small-scale gold mining: ethical </w:t>
      </w:r>
      <w:r w:rsidRPr="00BD28A6">
        <w:rPr>
          <w:color w:val="000000" w:themeColor="text1"/>
          <w:lang w:val="en-US"/>
        </w:rPr>
        <w:t>and scientific principles. Geneva: World Health Organization; 2021 (</w:t>
      </w:r>
      <w:r w:rsidRPr="00BD28A6">
        <w:rPr>
          <w:rStyle w:val="Hyperlink"/>
          <w:noProof w:val="0"/>
          <w:color w:val="000000" w:themeColor="text1"/>
          <w:u w:val="none"/>
          <w:lang w:val="en-US"/>
        </w:rPr>
        <w:t>https://apps.who.int/iris/handle/10665/339848</w:t>
      </w:r>
      <w:r w:rsidRPr="00BD28A6">
        <w:rPr>
          <w:color w:val="000000" w:themeColor="text1"/>
          <w:lang w:val="en-US"/>
        </w:rPr>
        <w:t>, accessed 18 March </w:t>
      </w:r>
      <w:r w:rsidRPr="00F32361">
        <w:rPr>
          <w:color w:val="000000"/>
          <w:lang w:val="en-US"/>
        </w:rPr>
        <w:t>2021).</w:t>
      </w:r>
      <w:bookmarkStart w:id="91" w:name="_GoBack"/>
      <w:bookmarkEnd w:id="91"/>
    </w:p>
    <w:p w14:paraId="4DFBD7C7" w14:textId="77777777" w:rsidR="00171BEE" w:rsidRPr="00F31CE2" w:rsidRDefault="00171BEE" w:rsidP="00171BEE">
      <w:pPr>
        <w:pStyle w:val="Referencelist"/>
        <w:rPr>
          <w:lang w:val="en-US"/>
        </w:rPr>
      </w:pPr>
      <w:r w:rsidRPr="00F31CE2">
        <w:rPr>
          <w:lang w:val="en-US"/>
        </w:rPr>
        <w:t>14.</w:t>
      </w:r>
      <w:r w:rsidRPr="00F31CE2">
        <w:rPr>
          <w:lang w:val="en-US"/>
        </w:rPr>
        <w:tab/>
        <w:t>International Ethical Guidelines for Health-Related Research Involving Humans, fourth edition. Geneva: Council for International Organizations of Medical Sciences and World Health Organization; 2016.</w:t>
      </w:r>
    </w:p>
    <w:p w14:paraId="5191CA94" w14:textId="77777777" w:rsidR="00171BEE" w:rsidRPr="00507363" w:rsidRDefault="00171BEE" w:rsidP="00171BEE">
      <w:pPr>
        <w:ind w:left="720" w:hanging="720"/>
        <w:rPr>
          <w:rStyle w:val="Hyperlink"/>
          <w:color w:val="000000" w:themeColor="text1"/>
          <w:u w:val="none"/>
        </w:rPr>
      </w:pPr>
      <w:r w:rsidRPr="00E63DCC">
        <w:t>15.</w:t>
      </w:r>
      <w:r w:rsidRPr="00E63DCC">
        <w:tab/>
        <w:t xml:space="preserve">Worst Forms of Child </w:t>
      </w:r>
      <w:proofErr w:type="spellStart"/>
      <w:r w:rsidRPr="00E63DCC">
        <w:t>Labour</w:t>
      </w:r>
      <w:proofErr w:type="spellEnd"/>
      <w:r w:rsidRPr="00E63DCC">
        <w:t xml:space="preserve"> Convention, 1999 (No. 182). Geneva: International </w:t>
      </w:r>
      <w:proofErr w:type="spellStart"/>
      <w:r w:rsidRPr="00E63DCC">
        <w:t>Labour</w:t>
      </w:r>
      <w:proofErr w:type="spellEnd"/>
      <w:r w:rsidRPr="00E63DCC">
        <w:t xml:space="preserve"> Organization; 1999 (</w:t>
      </w:r>
      <w:r w:rsidRPr="00F31CE2">
        <w:rPr>
          <w:noProof/>
        </w:rPr>
        <w:t>https://www.ilo.org/dyn/normlex/en</w:t>
      </w:r>
      <w:r w:rsidRPr="00507363">
        <w:rPr>
          <w:rStyle w:val="Hyperlink"/>
          <w:color w:val="000000" w:themeColor="text1"/>
          <w:u w:val="none"/>
        </w:rPr>
        <w:t>, accessed 3 February, 2021).</w:t>
      </w:r>
    </w:p>
    <w:p w14:paraId="61156F13" w14:textId="77777777" w:rsidR="00171BEE" w:rsidRPr="00507363" w:rsidRDefault="00171BEE" w:rsidP="00171BEE">
      <w:pPr>
        <w:ind w:left="720" w:hanging="720"/>
        <w:rPr>
          <w:rStyle w:val="Hyperlink"/>
          <w:color w:val="000000" w:themeColor="text1"/>
          <w:u w:val="none"/>
        </w:rPr>
      </w:pPr>
      <w:r w:rsidRPr="00E63DCC">
        <w:t>16.</w:t>
      </w:r>
      <w:r w:rsidRPr="00E63DCC">
        <w:tab/>
        <w:t xml:space="preserve">Chemicals Convention, 1990 (No. 170), and Chemicals Recommendation, 1990 (No. 177). Geneva; International </w:t>
      </w:r>
      <w:proofErr w:type="spellStart"/>
      <w:r w:rsidRPr="00E63DCC">
        <w:t>Labour</w:t>
      </w:r>
      <w:proofErr w:type="spellEnd"/>
      <w:r w:rsidRPr="00E63DCC">
        <w:t xml:space="preserve"> Organization; 1990 (</w:t>
      </w:r>
      <w:r w:rsidRPr="00F31CE2">
        <w:rPr>
          <w:noProof/>
        </w:rPr>
        <w:t>https://www.ilo.org/dyn/normlex/en</w:t>
      </w:r>
      <w:r w:rsidRPr="00507363">
        <w:rPr>
          <w:rStyle w:val="Hyperlink"/>
          <w:color w:val="000000" w:themeColor="text1"/>
          <w:u w:val="none"/>
        </w:rPr>
        <w:t>, accessed 3 February, 2021).</w:t>
      </w:r>
    </w:p>
    <w:p w14:paraId="0E53078B" w14:textId="77777777" w:rsidR="00171BEE" w:rsidRPr="00E63DCC" w:rsidRDefault="00171BEE" w:rsidP="00171BEE">
      <w:pPr>
        <w:pStyle w:val="Referencelist"/>
      </w:pPr>
      <w:r w:rsidRPr="00F31CE2">
        <w:rPr>
          <w:lang w:val="en-US"/>
        </w:rPr>
        <w:t>17.</w:t>
      </w:r>
      <w:r w:rsidRPr="00F31CE2">
        <w:rPr>
          <w:lang w:val="en-US"/>
        </w:rPr>
        <w:tab/>
        <w:t xml:space="preserve">Developing a national action plan to reduce and, where feasible, eliminate mercury use in artisanal and small-scale gold mining: guidance document. </w:t>
      </w:r>
      <w:r w:rsidRPr="00E63DCC">
        <w:t>Nairobi: United Nations Environment Programme; 2017 (</w:t>
      </w:r>
      <w:r w:rsidRPr="00F31CE2">
        <w:rPr>
          <w:noProof/>
        </w:rPr>
        <w:t>https://wedocs.unep.org/handle/20.500.11822/25473</w:t>
      </w:r>
      <w:r w:rsidRPr="00E63DCC">
        <w:t>, accessed 3 February 2021).</w:t>
      </w:r>
    </w:p>
    <w:p w14:paraId="22551898" w14:textId="77777777" w:rsidR="00171BEE" w:rsidRPr="00F31CE2" w:rsidRDefault="00171BEE" w:rsidP="00171BEE">
      <w:pPr>
        <w:rPr>
          <w:lang w:val="pt-PT"/>
        </w:rPr>
      </w:pPr>
    </w:p>
    <w:p w14:paraId="2F7B714A" w14:textId="739556C8" w:rsidR="00BB0002" w:rsidRPr="00E63DCC" w:rsidRDefault="00BB0002" w:rsidP="00A5640C">
      <w:pPr>
        <w:rPr>
          <w:lang w:val="en-GB"/>
        </w:rPr>
      </w:pPr>
    </w:p>
    <w:p w14:paraId="2DB5DD6E" w14:textId="77777777" w:rsidR="00D84FC3" w:rsidRPr="00E63DCC" w:rsidRDefault="00D84FC3" w:rsidP="00A5640C">
      <w:pPr>
        <w:spacing w:after="0"/>
        <w:rPr>
          <w:rFonts w:eastAsia="Times New Roman"/>
          <w:b/>
          <w:bCs/>
          <w:kern w:val="32"/>
          <w:sz w:val="28"/>
          <w:szCs w:val="28"/>
          <w:lang w:val="en-GB"/>
        </w:rPr>
      </w:pPr>
      <w:r w:rsidRPr="00E63DCC">
        <w:rPr>
          <w:lang w:val="en-GB"/>
        </w:rPr>
        <w:br w:type="page"/>
      </w:r>
    </w:p>
    <w:p w14:paraId="57851140" w14:textId="097CDC00" w:rsidR="00AF6321" w:rsidRPr="00E63DCC" w:rsidRDefault="00D84FC3" w:rsidP="00B02FA3">
      <w:pPr>
        <w:pStyle w:val="Heading1"/>
      </w:pPr>
      <w:bookmarkStart w:id="92" w:name="_Toc70926745"/>
      <w:bookmarkStart w:id="93" w:name="_Toc70926835"/>
      <w:r w:rsidRPr="00E63DCC">
        <w:lastRenderedPageBreak/>
        <w:t>A</w:t>
      </w:r>
      <w:r w:rsidR="009B5E59" w:rsidRPr="00E63DCC">
        <w:t>ppendix</w:t>
      </w:r>
      <w:r w:rsidR="000144F9" w:rsidRPr="00E63DCC">
        <w:t xml:space="preserve"> </w:t>
      </w:r>
      <w:r w:rsidR="002F4516" w:rsidRPr="00E63DCC">
        <w:t>A</w:t>
      </w:r>
      <w:r w:rsidR="000144F9" w:rsidRPr="00E63DCC">
        <w:t xml:space="preserve">. </w:t>
      </w:r>
      <w:bookmarkStart w:id="94" w:name="_Ref482618249"/>
      <w:bookmarkStart w:id="95" w:name="_Ref479604649"/>
      <w:r w:rsidR="00AF6321" w:rsidRPr="00E63DCC">
        <w:t>Article 7 of the Minamata Convention</w:t>
      </w:r>
      <w:r w:rsidR="00BB6EE3" w:rsidRPr="00E63DCC">
        <w:t>: a</w:t>
      </w:r>
      <w:r w:rsidR="001A77D4" w:rsidRPr="00E63DCC">
        <w:t>rtisanal and small-scale gold mining</w:t>
      </w:r>
      <w:bookmarkEnd w:id="92"/>
      <w:bookmarkEnd w:id="93"/>
      <w:bookmarkEnd w:id="94"/>
    </w:p>
    <w:p w14:paraId="26F3B0D3" w14:textId="77777777" w:rsidR="00AF6321" w:rsidRPr="00E63DCC" w:rsidRDefault="00AF6321" w:rsidP="00B907B5">
      <w:pPr>
        <w:pStyle w:val="ListParagraph"/>
        <w:numPr>
          <w:ilvl w:val="0"/>
          <w:numId w:val="11"/>
        </w:numPr>
        <w:spacing w:after="120"/>
        <w:ind w:left="426" w:hanging="426"/>
      </w:pPr>
      <w:r w:rsidRPr="00E63DCC">
        <w:t>The measures in this Article and in Annex C shall apply to artisanal and small-scale gold mining and processing in which mercury amalgamation is used to extract gold from ore.</w:t>
      </w:r>
    </w:p>
    <w:p w14:paraId="6DD349B2" w14:textId="77777777" w:rsidR="00AF6321" w:rsidRPr="00E63DCC" w:rsidRDefault="00AF6321" w:rsidP="00B907B5">
      <w:pPr>
        <w:pStyle w:val="ListParagraph"/>
        <w:numPr>
          <w:ilvl w:val="0"/>
          <w:numId w:val="11"/>
        </w:numPr>
        <w:spacing w:after="120"/>
        <w:ind w:left="426" w:hanging="426"/>
      </w:pPr>
      <w:r w:rsidRPr="00E63DCC">
        <w:t xml:space="preserve">Each Party that has artisanal and small-scale gold mining and processing subject to this Article within its territory shall take steps to reduce, and where feasible eliminate, the use of mercury and mercury compounds in, and the emissions and releases to the environment of mercury from, such mining and processing. </w:t>
      </w:r>
    </w:p>
    <w:p w14:paraId="5DBF1099" w14:textId="77777777" w:rsidR="00AF6321" w:rsidRPr="00E63DCC" w:rsidRDefault="00AF6321" w:rsidP="00B907B5">
      <w:pPr>
        <w:pStyle w:val="ListParagraph"/>
        <w:numPr>
          <w:ilvl w:val="0"/>
          <w:numId w:val="11"/>
        </w:numPr>
        <w:spacing w:after="120"/>
        <w:ind w:left="426" w:hanging="426"/>
      </w:pPr>
      <w:r w:rsidRPr="00E63DCC">
        <w:t>Each Party shall notify the Secretariat if at any time the Party determines that artisanal and small-scale gold mining and processing in its territory is more than insignificant. If it so determines the Party shall:</w:t>
      </w:r>
    </w:p>
    <w:p w14:paraId="05EC9CD2" w14:textId="77777777" w:rsidR="00AF6321" w:rsidRPr="00E63DCC" w:rsidRDefault="00AF6321" w:rsidP="00B907B5">
      <w:pPr>
        <w:pStyle w:val="ListParagraph"/>
        <w:numPr>
          <w:ilvl w:val="1"/>
          <w:numId w:val="11"/>
        </w:numPr>
        <w:spacing w:after="120"/>
        <w:ind w:left="851" w:hanging="425"/>
      </w:pPr>
      <w:r w:rsidRPr="00E63DCC">
        <w:t xml:space="preserve">Develop and implement a national action plan in accordance with Annex C; </w:t>
      </w:r>
    </w:p>
    <w:p w14:paraId="6148D298" w14:textId="77777777" w:rsidR="00AF6321" w:rsidRPr="00E63DCC" w:rsidRDefault="00AF6321" w:rsidP="00B907B5">
      <w:pPr>
        <w:pStyle w:val="ListParagraph"/>
        <w:numPr>
          <w:ilvl w:val="1"/>
          <w:numId w:val="11"/>
        </w:numPr>
        <w:spacing w:after="120"/>
        <w:ind w:left="851" w:hanging="425"/>
      </w:pPr>
      <w:r w:rsidRPr="00E63DCC">
        <w:t>Submit its national action plan to the Secretariat no later than three years after entry into force of the Convention for it or three years after the notification to the Secre</w:t>
      </w:r>
      <w:r w:rsidR="001A77D4" w:rsidRPr="00E63DCC">
        <w:t>tariat, whichever is later; and</w:t>
      </w:r>
    </w:p>
    <w:p w14:paraId="41C3F4CC" w14:textId="77777777" w:rsidR="00AF6321" w:rsidRPr="00E63DCC" w:rsidRDefault="00AF6321" w:rsidP="00B907B5">
      <w:pPr>
        <w:pStyle w:val="ListParagraph"/>
        <w:numPr>
          <w:ilvl w:val="1"/>
          <w:numId w:val="11"/>
        </w:numPr>
        <w:spacing w:after="120"/>
        <w:ind w:left="851" w:hanging="425"/>
      </w:pPr>
      <w:r w:rsidRPr="00E63DCC">
        <w:t>Thereafter, provide a review every three years of the progress made in meeting its obligations under this Article and include such reviews in its reports submitted pursuant to Article 21.</w:t>
      </w:r>
    </w:p>
    <w:p w14:paraId="15931F50" w14:textId="77777777" w:rsidR="00AF6321" w:rsidRPr="00E63DCC" w:rsidRDefault="00AF6321" w:rsidP="00B907B5">
      <w:pPr>
        <w:pStyle w:val="ListParagraph"/>
        <w:numPr>
          <w:ilvl w:val="0"/>
          <w:numId w:val="11"/>
        </w:numPr>
        <w:spacing w:after="120"/>
        <w:ind w:left="426" w:hanging="426"/>
      </w:pPr>
      <w:r w:rsidRPr="00E63DCC">
        <w:t>Parties may cooperate with each other and with relevant intergovernmental organizations and other entities, as appropriate, to achieve the objectives of this Article. Such cooperation may include:</w:t>
      </w:r>
    </w:p>
    <w:p w14:paraId="4824F470" w14:textId="77777777" w:rsidR="00AF6321" w:rsidRPr="00E63DCC" w:rsidRDefault="00AF6321" w:rsidP="00B907B5">
      <w:pPr>
        <w:pStyle w:val="ListParagraph"/>
        <w:numPr>
          <w:ilvl w:val="1"/>
          <w:numId w:val="11"/>
        </w:numPr>
        <w:spacing w:after="120"/>
        <w:ind w:left="851" w:hanging="425"/>
      </w:pPr>
      <w:r w:rsidRPr="00E63DCC">
        <w:t>Development of strategies to prevent the diversion of mercury or mercury compounds for use in artisanal and small-scale gold mining and processing;</w:t>
      </w:r>
    </w:p>
    <w:p w14:paraId="4CC24541" w14:textId="77777777" w:rsidR="00AF6321" w:rsidRPr="00E63DCC" w:rsidRDefault="00AF6321" w:rsidP="00B907B5">
      <w:pPr>
        <w:pStyle w:val="ListParagraph"/>
        <w:numPr>
          <w:ilvl w:val="1"/>
          <w:numId w:val="11"/>
        </w:numPr>
        <w:spacing w:after="120"/>
        <w:ind w:left="851" w:hanging="425"/>
      </w:pPr>
      <w:r w:rsidRPr="00E63DCC">
        <w:t xml:space="preserve">Education, outreach and capacity-building initiatives; </w:t>
      </w:r>
    </w:p>
    <w:p w14:paraId="53E79CEA" w14:textId="77777777" w:rsidR="00AF6321" w:rsidRPr="00E63DCC" w:rsidRDefault="00AF6321" w:rsidP="00B907B5">
      <w:pPr>
        <w:pStyle w:val="ListParagraph"/>
        <w:numPr>
          <w:ilvl w:val="1"/>
          <w:numId w:val="11"/>
        </w:numPr>
        <w:spacing w:after="120"/>
        <w:ind w:left="851" w:hanging="425"/>
      </w:pPr>
      <w:r w:rsidRPr="00E63DCC">
        <w:t xml:space="preserve">Promotion of research into sustainable non-mercury alternative practices; </w:t>
      </w:r>
    </w:p>
    <w:p w14:paraId="777B8FBA" w14:textId="77777777" w:rsidR="00AF6321" w:rsidRPr="00E63DCC" w:rsidRDefault="00AF6321" w:rsidP="00B907B5">
      <w:pPr>
        <w:pStyle w:val="ListParagraph"/>
        <w:numPr>
          <w:ilvl w:val="1"/>
          <w:numId w:val="11"/>
        </w:numPr>
        <w:spacing w:after="120"/>
        <w:ind w:left="851" w:hanging="425"/>
      </w:pPr>
      <w:r w:rsidRPr="00E63DCC">
        <w:t xml:space="preserve">Provision of technical and financial assistance; </w:t>
      </w:r>
    </w:p>
    <w:p w14:paraId="5A45C0CA" w14:textId="77777777" w:rsidR="00AF6321" w:rsidRPr="00E63DCC" w:rsidRDefault="00AF6321" w:rsidP="00B907B5">
      <w:pPr>
        <w:pStyle w:val="ListParagraph"/>
        <w:numPr>
          <w:ilvl w:val="1"/>
          <w:numId w:val="11"/>
        </w:numPr>
        <w:spacing w:after="120"/>
        <w:ind w:left="851" w:hanging="425"/>
      </w:pPr>
      <w:r w:rsidRPr="00E63DCC">
        <w:t>Partnerships to assist in the implementation of their commitments under this Article; and</w:t>
      </w:r>
    </w:p>
    <w:p w14:paraId="4101E6B7" w14:textId="77777777" w:rsidR="00AF6321" w:rsidRPr="00E63DCC" w:rsidRDefault="00AF6321" w:rsidP="00B907B5">
      <w:pPr>
        <w:pStyle w:val="ListParagraph"/>
        <w:numPr>
          <w:ilvl w:val="1"/>
          <w:numId w:val="11"/>
        </w:numPr>
        <w:spacing w:after="120"/>
        <w:ind w:left="851" w:hanging="425"/>
      </w:pPr>
      <w:r w:rsidRPr="00E63DCC">
        <w:t>Use of existing information exchange mechanisms to promote knowledge, best environmental practices and alternative technologies that are environmentally, technically, socially and economically viable.</w:t>
      </w:r>
    </w:p>
    <w:p w14:paraId="00FCD273" w14:textId="77777777" w:rsidR="00AF6321" w:rsidRPr="00E63DCC" w:rsidRDefault="00AF6321" w:rsidP="00A5640C">
      <w:pPr>
        <w:rPr>
          <w:lang w:val="en-GB"/>
        </w:rPr>
      </w:pPr>
    </w:p>
    <w:p w14:paraId="56FAAA79" w14:textId="77777777" w:rsidR="00B907B5" w:rsidRPr="00E63DCC" w:rsidRDefault="00B907B5">
      <w:pPr>
        <w:spacing w:after="0" w:line="240" w:lineRule="auto"/>
        <w:rPr>
          <w:rFonts w:eastAsia="Times New Roman"/>
          <w:b/>
          <w:bCs/>
          <w:iCs/>
          <w:color w:val="0000FF"/>
          <w:sz w:val="28"/>
          <w:szCs w:val="28"/>
          <w:lang w:val="en-GB"/>
        </w:rPr>
      </w:pPr>
      <w:bookmarkStart w:id="96" w:name="_Ref482618309"/>
      <w:r w:rsidRPr="00E63DCC">
        <w:rPr>
          <w:lang w:val="en-GB"/>
        </w:rPr>
        <w:br w:type="page"/>
      </w:r>
    </w:p>
    <w:p w14:paraId="4A51EE0F" w14:textId="556F355D" w:rsidR="00B02FA3" w:rsidRPr="00E63DCC" w:rsidRDefault="00B02FA3" w:rsidP="00B02FA3">
      <w:pPr>
        <w:pStyle w:val="Heading1"/>
      </w:pPr>
      <w:bookmarkStart w:id="97" w:name="_Toc70926746"/>
      <w:bookmarkStart w:id="98" w:name="_Toc70926836"/>
      <w:r w:rsidRPr="00E63DCC">
        <w:lastRenderedPageBreak/>
        <w:t>A</w:t>
      </w:r>
      <w:r w:rsidR="009B5E59" w:rsidRPr="00E63DCC">
        <w:t>ppendix</w:t>
      </w:r>
      <w:r w:rsidR="002F4516" w:rsidRPr="00E63DCC">
        <w:t xml:space="preserve"> B</w:t>
      </w:r>
      <w:r w:rsidRPr="00E63DCC">
        <w:t>. Annex C of the Minamata Convention: national action plans</w:t>
      </w:r>
      <w:bookmarkEnd w:id="97"/>
      <w:bookmarkEnd w:id="98"/>
    </w:p>
    <w:bookmarkEnd w:id="96"/>
    <w:p w14:paraId="036573FF" w14:textId="77777777" w:rsidR="00AF6321" w:rsidRPr="00E63DCC" w:rsidRDefault="00AF6321" w:rsidP="00C01CC2">
      <w:pPr>
        <w:pStyle w:val="ListParagraph"/>
        <w:numPr>
          <w:ilvl w:val="0"/>
          <w:numId w:val="12"/>
        </w:numPr>
        <w:spacing w:after="100"/>
        <w:ind w:left="426" w:hanging="426"/>
      </w:pPr>
      <w:r w:rsidRPr="00E63DCC">
        <w:t>Each Party that is subject to the provisions of paragraph 3 of Article 7 shall include in its national action plan:</w:t>
      </w:r>
    </w:p>
    <w:p w14:paraId="661FA7AB" w14:textId="77777777" w:rsidR="00AF6321" w:rsidRPr="00E63DCC" w:rsidRDefault="00AF6321" w:rsidP="00C01CC2">
      <w:pPr>
        <w:pStyle w:val="ListParagraph"/>
        <w:numPr>
          <w:ilvl w:val="1"/>
          <w:numId w:val="12"/>
        </w:numPr>
        <w:spacing w:after="100"/>
        <w:ind w:left="851" w:hanging="425"/>
      </w:pPr>
      <w:r w:rsidRPr="00E63DCC">
        <w:t>National objectives and reduction targets;</w:t>
      </w:r>
    </w:p>
    <w:p w14:paraId="67704780" w14:textId="77777777" w:rsidR="00AF6321" w:rsidRPr="00E63DCC" w:rsidRDefault="00AF6321" w:rsidP="00C01CC2">
      <w:pPr>
        <w:pStyle w:val="ListParagraph"/>
        <w:numPr>
          <w:ilvl w:val="1"/>
          <w:numId w:val="12"/>
        </w:numPr>
        <w:spacing w:after="100"/>
        <w:ind w:left="851" w:hanging="425"/>
      </w:pPr>
      <w:r w:rsidRPr="00E63DCC">
        <w:t>Actions to eliminate:</w:t>
      </w:r>
    </w:p>
    <w:p w14:paraId="5973E76B" w14:textId="77777777" w:rsidR="00AF6321" w:rsidRPr="00E63DCC" w:rsidRDefault="00AF6321" w:rsidP="00C01CC2">
      <w:pPr>
        <w:pStyle w:val="ListParagraph"/>
        <w:numPr>
          <w:ilvl w:val="1"/>
          <w:numId w:val="6"/>
        </w:numPr>
        <w:spacing w:after="100"/>
      </w:pPr>
      <w:r w:rsidRPr="00E63DCC">
        <w:t>Whole ore amalgamation;</w:t>
      </w:r>
    </w:p>
    <w:p w14:paraId="4E81DF9E" w14:textId="77777777" w:rsidR="00AF6321" w:rsidRPr="00E63DCC" w:rsidRDefault="00AF6321" w:rsidP="00C01CC2">
      <w:pPr>
        <w:pStyle w:val="ListParagraph"/>
        <w:numPr>
          <w:ilvl w:val="1"/>
          <w:numId w:val="6"/>
        </w:numPr>
        <w:spacing w:after="100"/>
      </w:pPr>
      <w:r w:rsidRPr="00E63DCC">
        <w:t>Open burning of amalgam or processed amalgam;</w:t>
      </w:r>
    </w:p>
    <w:p w14:paraId="676C91E1" w14:textId="77777777" w:rsidR="00AF6321" w:rsidRPr="00E63DCC" w:rsidRDefault="00AF6321" w:rsidP="00C01CC2">
      <w:pPr>
        <w:pStyle w:val="ListParagraph"/>
        <w:numPr>
          <w:ilvl w:val="1"/>
          <w:numId w:val="6"/>
        </w:numPr>
        <w:spacing w:after="100"/>
      </w:pPr>
      <w:r w:rsidRPr="00E63DCC">
        <w:t xml:space="preserve">Burning of amalgam in residential areas; and </w:t>
      </w:r>
    </w:p>
    <w:p w14:paraId="4B254AA4" w14:textId="77777777" w:rsidR="00AF6321" w:rsidRPr="00E63DCC" w:rsidRDefault="00AF6321" w:rsidP="00C01CC2">
      <w:pPr>
        <w:pStyle w:val="ListParagraph"/>
        <w:numPr>
          <w:ilvl w:val="1"/>
          <w:numId w:val="6"/>
        </w:numPr>
        <w:spacing w:after="100"/>
      </w:pPr>
      <w:r w:rsidRPr="00E63DCC">
        <w:t>Cyanide leaching in sediment, ore or tailings to which mercury has been added without first removing the mercury;</w:t>
      </w:r>
    </w:p>
    <w:p w14:paraId="70AD509D" w14:textId="77777777" w:rsidR="00AF6321" w:rsidRPr="00E63DCC" w:rsidRDefault="00AF6321" w:rsidP="00C01CC2">
      <w:pPr>
        <w:pStyle w:val="ListParagraph"/>
        <w:numPr>
          <w:ilvl w:val="1"/>
          <w:numId w:val="12"/>
        </w:numPr>
        <w:spacing w:after="100"/>
        <w:ind w:left="851" w:hanging="425"/>
      </w:pPr>
      <w:r w:rsidRPr="00E63DCC">
        <w:t>Steps to facilitate the formalization or regulation of the artisanal and small-scale gold mining sector;</w:t>
      </w:r>
    </w:p>
    <w:p w14:paraId="43FA8B79" w14:textId="77777777" w:rsidR="00AF6321" w:rsidRPr="00E63DCC" w:rsidRDefault="00AF6321" w:rsidP="00C01CC2">
      <w:pPr>
        <w:pStyle w:val="ListParagraph"/>
        <w:numPr>
          <w:ilvl w:val="1"/>
          <w:numId w:val="12"/>
        </w:numPr>
        <w:spacing w:after="100"/>
        <w:ind w:left="851" w:hanging="425"/>
      </w:pPr>
      <w:r w:rsidRPr="00E63DCC">
        <w:t>Baseline estimates of the quantities of mercury used and the practices employed in artisanal and small</w:t>
      </w:r>
      <w:r w:rsidRPr="00E63DCC">
        <w:noBreakHyphen/>
        <w:t xml:space="preserve">scale gold mining and processing within its territory; </w:t>
      </w:r>
    </w:p>
    <w:p w14:paraId="7DC58548" w14:textId="77777777" w:rsidR="00AF6321" w:rsidRPr="00E63DCC" w:rsidRDefault="00AF6321" w:rsidP="00C01CC2">
      <w:pPr>
        <w:pStyle w:val="ListParagraph"/>
        <w:numPr>
          <w:ilvl w:val="1"/>
          <w:numId w:val="12"/>
        </w:numPr>
        <w:spacing w:after="100"/>
        <w:ind w:left="851" w:hanging="425"/>
      </w:pPr>
      <w:r w:rsidRPr="00E63DCC">
        <w:t>Strategies for promoting the reduction of emissions and releases of, and exposure to, mercury in artisanal and small-scale gold mining and processing, including mercury-free methods;</w:t>
      </w:r>
    </w:p>
    <w:p w14:paraId="1D9723AE" w14:textId="77777777" w:rsidR="00AF6321" w:rsidRPr="00E63DCC" w:rsidRDefault="00AF6321" w:rsidP="00C01CC2">
      <w:pPr>
        <w:pStyle w:val="ListParagraph"/>
        <w:numPr>
          <w:ilvl w:val="1"/>
          <w:numId w:val="12"/>
        </w:numPr>
        <w:spacing w:after="100"/>
        <w:ind w:left="851" w:hanging="425"/>
      </w:pPr>
      <w:r w:rsidRPr="00E63DCC">
        <w:t xml:space="preserve">Strategies for managing trade and preventing the diversion of mercury and mercury compounds from both foreign and domestic sources to use in artisanal and </w:t>
      </w:r>
      <w:r w:rsidR="008D0619" w:rsidRPr="00E63DCC">
        <w:t>small-scale</w:t>
      </w:r>
      <w:r w:rsidRPr="00E63DCC">
        <w:t xml:space="preserve"> gold mining and processing; </w:t>
      </w:r>
    </w:p>
    <w:p w14:paraId="4A407BE3" w14:textId="77777777" w:rsidR="001A77D4" w:rsidRPr="00E63DCC" w:rsidRDefault="00AF6321" w:rsidP="00C01CC2">
      <w:pPr>
        <w:pStyle w:val="ListParagraph"/>
        <w:numPr>
          <w:ilvl w:val="1"/>
          <w:numId w:val="12"/>
        </w:numPr>
        <w:spacing w:after="100"/>
        <w:ind w:left="851" w:hanging="425"/>
      </w:pPr>
      <w:r w:rsidRPr="00E63DCC">
        <w:t>Strategies for involving stakeholders in the implementation and continuing development of the national action plan;</w:t>
      </w:r>
    </w:p>
    <w:p w14:paraId="26DD9DB7" w14:textId="77777777" w:rsidR="001A77D4" w:rsidRPr="00E63DCC" w:rsidRDefault="00AF6321" w:rsidP="00C01CC2">
      <w:pPr>
        <w:pStyle w:val="ListParagraph"/>
        <w:numPr>
          <w:ilvl w:val="1"/>
          <w:numId w:val="12"/>
        </w:numPr>
        <w:spacing w:after="100"/>
        <w:ind w:left="851" w:hanging="425"/>
      </w:pPr>
      <w:r w:rsidRPr="00E63DCC">
        <w:t xml:space="preserve">A public health strategy on the exposure of artisanal and small-scale gold miners and their communities to mercury. </w:t>
      </w:r>
      <w:r w:rsidR="001A77D4" w:rsidRPr="00E63DCC">
        <w:t xml:space="preserve">Such a strategy </w:t>
      </w:r>
      <w:r w:rsidRPr="00E63DCC">
        <w:t>should include, inter alia, the gathering of health data, training for health-care workers and awareness-raising through health facilities;</w:t>
      </w:r>
    </w:p>
    <w:p w14:paraId="1EF83EB0" w14:textId="77777777" w:rsidR="00AF6321" w:rsidRPr="00E63DCC" w:rsidRDefault="00AF6321" w:rsidP="00C01CC2">
      <w:pPr>
        <w:pStyle w:val="ListParagraph"/>
        <w:numPr>
          <w:ilvl w:val="1"/>
          <w:numId w:val="12"/>
        </w:numPr>
        <w:spacing w:after="100"/>
        <w:ind w:left="851" w:hanging="425"/>
      </w:pPr>
      <w:r w:rsidRPr="00E63DCC">
        <w:t>Strategies to prevent the exposure of vulnerable populations, particularly children and women of child-bearing age, especially pregnant women, to mercury used in artisanal and small-scale gold mining;</w:t>
      </w:r>
    </w:p>
    <w:p w14:paraId="3489AB2C" w14:textId="77777777" w:rsidR="00AF6321" w:rsidRPr="00E63DCC" w:rsidRDefault="00AF6321" w:rsidP="00C01CC2">
      <w:pPr>
        <w:pStyle w:val="ListParagraph"/>
        <w:numPr>
          <w:ilvl w:val="1"/>
          <w:numId w:val="12"/>
        </w:numPr>
        <w:spacing w:after="100"/>
        <w:ind w:left="851" w:hanging="425"/>
      </w:pPr>
      <w:r w:rsidRPr="00E63DCC">
        <w:t>Strategies for providing information to artisanal and small-scale gold miners and affected communities; and</w:t>
      </w:r>
    </w:p>
    <w:p w14:paraId="20788A88" w14:textId="77777777" w:rsidR="00AF6321" w:rsidRPr="00E63DCC" w:rsidRDefault="00AF6321" w:rsidP="00C01CC2">
      <w:pPr>
        <w:pStyle w:val="ListParagraph"/>
        <w:numPr>
          <w:ilvl w:val="1"/>
          <w:numId w:val="12"/>
        </w:numPr>
        <w:spacing w:after="100"/>
        <w:ind w:left="851" w:hanging="425"/>
      </w:pPr>
      <w:r w:rsidRPr="00E63DCC">
        <w:t>A schedule for the implementation of the national action plan.</w:t>
      </w:r>
    </w:p>
    <w:p w14:paraId="54BC4ABA" w14:textId="77777777" w:rsidR="00AF6321" w:rsidRPr="00E63DCC" w:rsidRDefault="00AF6321" w:rsidP="00C01CC2">
      <w:pPr>
        <w:pStyle w:val="ListParagraph"/>
        <w:numPr>
          <w:ilvl w:val="0"/>
          <w:numId w:val="12"/>
        </w:numPr>
        <w:spacing w:after="100"/>
        <w:ind w:left="426" w:hanging="426"/>
      </w:pPr>
      <w:r w:rsidRPr="00E63DCC">
        <w:t>Each Party may include in its national action plan additional strategies to achieve its objectives, including the use or introduction of standards for mercury-free artisanal and small-scale gold mining and market-based mechanisms or marketing tools.</w:t>
      </w:r>
    </w:p>
    <w:p w14:paraId="568B96B0" w14:textId="77777777" w:rsidR="00AF6321" w:rsidRPr="00E63DCC" w:rsidRDefault="00AF6321" w:rsidP="00A5640C">
      <w:pPr>
        <w:rPr>
          <w:lang w:val="en-GB"/>
        </w:rPr>
      </w:pPr>
    </w:p>
    <w:p w14:paraId="498259E1" w14:textId="4E12691C" w:rsidR="005B0F6C" w:rsidRPr="008E333D" w:rsidRDefault="002F4516" w:rsidP="00E67AAE">
      <w:pPr>
        <w:pStyle w:val="Heading1"/>
        <w:rPr>
          <w:rFonts w:asciiTheme="minorHAnsi" w:hAnsiTheme="minorHAnsi" w:cstheme="minorHAnsi"/>
          <w:b w:val="0"/>
          <w:bCs w:val="0"/>
          <w:sz w:val="22"/>
          <w:szCs w:val="22"/>
        </w:rPr>
      </w:pPr>
      <w:bookmarkStart w:id="99" w:name="_Toc70926747"/>
      <w:bookmarkStart w:id="100" w:name="_Toc70926837"/>
      <w:bookmarkStart w:id="101" w:name="_Ref484861405"/>
      <w:bookmarkStart w:id="102" w:name="_Ref482620345"/>
      <w:r w:rsidRPr="00E63DCC">
        <w:lastRenderedPageBreak/>
        <w:t>Appendix C</w:t>
      </w:r>
      <w:r w:rsidR="005B0F6C" w:rsidRPr="00E63DCC">
        <w:t>. Guide to annexes</w:t>
      </w:r>
      <w:bookmarkEnd w:id="99"/>
      <w:bookmarkEnd w:id="100"/>
      <w:r w:rsidR="008E333D">
        <w:t xml:space="preserve"> </w:t>
      </w:r>
    </w:p>
    <w:p w14:paraId="7E54D113" w14:textId="77777777" w:rsidR="00AF5A44" w:rsidRPr="00E63DCC" w:rsidRDefault="005B0F6C" w:rsidP="00922AFD">
      <w:pPr>
        <w:rPr>
          <w:lang w:val="en-GB"/>
        </w:rPr>
      </w:pPr>
      <w:r w:rsidRPr="00E63DCC">
        <w:rPr>
          <w:lang w:val="en-GB"/>
        </w:rPr>
        <w:t xml:space="preserve">This appendix lists the </w:t>
      </w:r>
      <w:r w:rsidR="00670672" w:rsidRPr="00E63DCC">
        <w:rPr>
          <w:lang w:val="en-GB"/>
        </w:rPr>
        <w:t xml:space="preserve">annexes to the </w:t>
      </w:r>
      <w:r w:rsidR="00670672" w:rsidRPr="00E63DCC">
        <w:rPr>
          <w:i/>
          <w:lang w:val="en-GB"/>
        </w:rPr>
        <w:t>Step-by-step guide for developing a public health strategy for artisanal and small-scale gold mining in the context of the Minamata Convention on Mercury</w:t>
      </w:r>
      <w:r w:rsidR="00670672" w:rsidRPr="00E63DCC">
        <w:rPr>
          <w:lang w:val="en-GB"/>
        </w:rPr>
        <w:t>.</w:t>
      </w:r>
      <w:r w:rsidR="00922AFD" w:rsidRPr="00E63DCC">
        <w:rPr>
          <w:lang w:val="en-GB"/>
        </w:rPr>
        <w:t xml:space="preserve"> Those annexes provide templates for </w:t>
      </w:r>
      <w:r w:rsidR="00AF5A44" w:rsidRPr="00E63DCC">
        <w:rPr>
          <w:lang w:val="en-GB"/>
        </w:rPr>
        <w:t>the various documents that will support the present research study to assess the</w:t>
      </w:r>
      <w:r w:rsidR="00922AFD" w:rsidRPr="00E63DCC">
        <w:rPr>
          <w:lang w:val="en-GB"/>
        </w:rPr>
        <w:t xml:space="preserve"> public health challenges in artisanal and small-scale gold mining communities and the local health system’s readiness to respond in</w:t>
      </w:r>
      <w:r w:rsidR="00AF5A44" w:rsidRPr="00E63DCC">
        <w:rPr>
          <w:lang w:val="en-GB"/>
        </w:rPr>
        <w:t xml:space="preserve"> your country.</w:t>
      </w:r>
    </w:p>
    <w:p w14:paraId="1C0936C5" w14:textId="1AE99A8F" w:rsidR="00922AFD" w:rsidRPr="00E63DCC" w:rsidRDefault="00AF5A44" w:rsidP="00922AFD">
      <w:pPr>
        <w:rPr>
          <w:rFonts w:eastAsia="Times New Roman"/>
          <w:b/>
          <w:lang w:val="en-GB"/>
        </w:rPr>
      </w:pPr>
      <w:r w:rsidRPr="00E63DCC">
        <w:rPr>
          <w:lang w:val="en-GB"/>
        </w:rPr>
        <w:t xml:space="preserve">Please note that </w:t>
      </w:r>
      <w:r w:rsidR="00FC0018" w:rsidRPr="00E63DCC">
        <w:rPr>
          <w:lang w:val="en-GB"/>
        </w:rPr>
        <w:t>only the final versions of those annexes will be attached to your completed research study. The selection and numbering of the annexes will be tailored and amended accor</w:t>
      </w:r>
      <w:r w:rsidR="00E63DCC" w:rsidRPr="00E63DCC">
        <w:rPr>
          <w:lang w:val="en-GB"/>
        </w:rPr>
        <w:t>ding to the study requirements.</w:t>
      </w:r>
    </w:p>
    <w:p w14:paraId="2ABE1B26" w14:textId="77777777" w:rsidR="009F4689" w:rsidRPr="00E63DCC" w:rsidRDefault="009F4689" w:rsidP="009F4689">
      <w:pPr>
        <w:rPr>
          <w:lang w:val="en-GB"/>
        </w:rPr>
      </w:pPr>
      <w:r w:rsidRPr="00E63DCC">
        <w:rPr>
          <w:lang w:val="en-GB"/>
        </w:rPr>
        <w:t>Annex 1. Institutional capacity assessment: methodological framework</w:t>
      </w:r>
    </w:p>
    <w:p w14:paraId="5A244F7A" w14:textId="77777777" w:rsidR="009F4689" w:rsidRPr="00E63DCC" w:rsidRDefault="009F4689" w:rsidP="009F4689">
      <w:pPr>
        <w:rPr>
          <w:lang w:val="en-GB"/>
        </w:rPr>
      </w:pPr>
      <w:r w:rsidRPr="00E63DCC">
        <w:rPr>
          <w:lang w:val="en-GB"/>
        </w:rPr>
        <w:t>Annex 2. Institutional capacity assessment: key informant interview questionnaires</w:t>
      </w:r>
    </w:p>
    <w:p w14:paraId="3E09F0E2" w14:textId="77777777" w:rsidR="009F4689" w:rsidRPr="00E63DCC" w:rsidRDefault="009F4689" w:rsidP="009F4689">
      <w:pPr>
        <w:rPr>
          <w:lang w:val="en-GB"/>
        </w:rPr>
      </w:pPr>
      <w:r w:rsidRPr="00E63DCC">
        <w:rPr>
          <w:lang w:val="en-GB"/>
        </w:rPr>
        <w:t xml:space="preserve">Annex 3. Rapid health assessment: study protocol </w:t>
      </w:r>
    </w:p>
    <w:p w14:paraId="1E6AE7B8" w14:textId="77777777" w:rsidR="009F4689" w:rsidRPr="00E63DCC" w:rsidRDefault="009F4689" w:rsidP="009F4689">
      <w:pPr>
        <w:rPr>
          <w:lang w:val="en-GB"/>
        </w:rPr>
      </w:pPr>
      <w:r w:rsidRPr="00E63DCC">
        <w:rPr>
          <w:lang w:val="en-GB"/>
        </w:rPr>
        <w:t xml:space="preserve">Annex 4. Rapid health assessment: key informant informed consent </w:t>
      </w:r>
    </w:p>
    <w:p w14:paraId="06483A9D" w14:textId="77777777" w:rsidR="009F4689" w:rsidRPr="00E63DCC" w:rsidRDefault="009F4689" w:rsidP="009F4689">
      <w:pPr>
        <w:rPr>
          <w:lang w:val="en-GB"/>
        </w:rPr>
      </w:pPr>
      <w:r w:rsidRPr="00E63DCC">
        <w:rPr>
          <w:lang w:val="en-GB"/>
        </w:rPr>
        <w:t>Annex 5. Rapid health assessment: focus group discussion participant informed consent</w:t>
      </w:r>
    </w:p>
    <w:p w14:paraId="1BFD586D" w14:textId="77777777" w:rsidR="009F4689" w:rsidRPr="00E63DCC" w:rsidRDefault="009F4689" w:rsidP="009F4689">
      <w:pPr>
        <w:rPr>
          <w:lang w:val="en-GB"/>
        </w:rPr>
      </w:pPr>
      <w:r w:rsidRPr="00E63DCC">
        <w:rPr>
          <w:lang w:val="en-GB"/>
        </w:rPr>
        <w:t xml:space="preserve">Annex 6. Rapid health assessment: key informant interview questionnaires </w:t>
      </w:r>
    </w:p>
    <w:p w14:paraId="61361AB2" w14:textId="77777777" w:rsidR="009F4689" w:rsidRPr="00E63DCC" w:rsidRDefault="009F4689" w:rsidP="009F4689">
      <w:pPr>
        <w:rPr>
          <w:lang w:val="en-GB"/>
        </w:rPr>
      </w:pPr>
      <w:r w:rsidRPr="00E63DCC">
        <w:rPr>
          <w:lang w:val="en-GB"/>
        </w:rPr>
        <w:t>Annex 7. Rapid health assessment: focus group discussion questionnaires</w:t>
      </w:r>
    </w:p>
    <w:p w14:paraId="73AB1B58" w14:textId="77777777" w:rsidR="009F4689" w:rsidRPr="00E63DCC" w:rsidRDefault="009F4689" w:rsidP="009F4689">
      <w:pPr>
        <w:rPr>
          <w:lang w:val="en-GB"/>
        </w:rPr>
      </w:pPr>
      <w:r w:rsidRPr="00E63DCC">
        <w:rPr>
          <w:lang w:val="en-GB"/>
        </w:rPr>
        <w:t xml:space="preserve">Annex 8. Rapid health assessment: social mobilization plan </w:t>
      </w:r>
    </w:p>
    <w:p w14:paraId="0644E267" w14:textId="77777777" w:rsidR="009F4689" w:rsidRPr="00E63DCC" w:rsidRDefault="009F4689" w:rsidP="009F4689">
      <w:pPr>
        <w:rPr>
          <w:lang w:val="en-GB"/>
        </w:rPr>
      </w:pPr>
      <w:r w:rsidRPr="00E63DCC">
        <w:rPr>
          <w:lang w:val="en-GB"/>
        </w:rPr>
        <w:t>Annex 9. Health facility assessment: questionnaire and tool</w:t>
      </w:r>
    </w:p>
    <w:p w14:paraId="1BAE3E65" w14:textId="77777777" w:rsidR="009F4689" w:rsidRPr="00E63DCC" w:rsidRDefault="009F4689" w:rsidP="009F4689">
      <w:pPr>
        <w:rPr>
          <w:lang w:val="en-GB"/>
        </w:rPr>
      </w:pPr>
      <w:r w:rsidRPr="00E63DCC">
        <w:rPr>
          <w:lang w:val="en-GB"/>
        </w:rPr>
        <w:t>Annex 10. Rapid health assessment: ASGM site walk-through tool</w:t>
      </w:r>
    </w:p>
    <w:p w14:paraId="069C6C48" w14:textId="77777777" w:rsidR="009F4689" w:rsidRPr="00E63DCC" w:rsidRDefault="009F4689" w:rsidP="009F4689">
      <w:pPr>
        <w:rPr>
          <w:lang w:val="en-GB"/>
        </w:rPr>
      </w:pPr>
      <w:r w:rsidRPr="00E63DCC">
        <w:rPr>
          <w:lang w:val="en-GB"/>
        </w:rPr>
        <w:t xml:space="preserve">Annex 11. Sample agenda for the two-day national </w:t>
      </w:r>
      <w:proofErr w:type="spellStart"/>
      <w:r w:rsidRPr="00E63DCC">
        <w:rPr>
          <w:lang w:val="en-GB"/>
        </w:rPr>
        <w:t>multistakeholder</w:t>
      </w:r>
      <w:proofErr w:type="spellEnd"/>
      <w:r w:rsidRPr="00E63DCC">
        <w:rPr>
          <w:lang w:val="en-GB"/>
        </w:rPr>
        <w:t xml:space="preserve"> workshop </w:t>
      </w:r>
    </w:p>
    <w:p w14:paraId="39F2B37D" w14:textId="77777777" w:rsidR="009F4689" w:rsidRPr="00E63DCC" w:rsidRDefault="009F4689" w:rsidP="009F4689">
      <w:pPr>
        <w:rPr>
          <w:lang w:val="en-GB"/>
        </w:rPr>
      </w:pPr>
      <w:r w:rsidRPr="00E63DCC">
        <w:rPr>
          <w:lang w:val="en-GB"/>
        </w:rPr>
        <w:t>Annex 12. Sample template for public health strategy priorities</w:t>
      </w:r>
    </w:p>
    <w:p w14:paraId="0241F6DF" w14:textId="4F156524" w:rsidR="0094463D" w:rsidRPr="00E63DCC" w:rsidRDefault="004A4B38" w:rsidP="004B07F7">
      <w:pPr>
        <w:rPr>
          <w:lang w:val="en-GB"/>
        </w:rPr>
      </w:pPr>
      <w:r w:rsidRPr="00E63DCC">
        <w:rPr>
          <w:lang w:val="en-GB"/>
        </w:rPr>
        <w:t>Annex 13. Informed consent form: photographs</w:t>
      </w:r>
      <w:bookmarkEnd w:id="95"/>
      <w:bookmarkEnd w:id="101"/>
      <w:bookmarkEnd w:id="102"/>
    </w:p>
    <w:sectPr w:rsidR="0094463D" w:rsidRPr="00E63DCC" w:rsidSect="00091C41">
      <w:headerReference w:type="default" r:id="rId19"/>
      <w:pgSz w:w="11906" w:h="16838"/>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73F61" w14:textId="77777777" w:rsidR="006E45DC" w:rsidRDefault="006E45DC" w:rsidP="00186627">
      <w:r>
        <w:separator/>
      </w:r>
    </w:p>
  </w:endnote>
  <w:endnote w:type="continuationSeparator" w:id="0">
    <w:p w14:paraId="71BB0E40" w14:textId="77777777" w:rsidR="006E45DC" w:rsidRDefault="006E45DC" w:rsidP="0018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charset w:val="4E"/>
    <w:family w:val="auto"/>
    <w:pitch w:val="variable"/>
    <w:sig w:usb0="E00002FF" w:usb1="7AC7FFFF" w:usb2="00000012" w:usb3="00000000" w:csb0="0002000D" w:csb1="00000000"/>
  </w:font>
  <w:font w:name="Myriad Pro Con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511E8" w14:textId="77777777" w:rsidR="005C0DCE" w:rsidRDefault="005C0DCE" w:rsidP="0094463D">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16818F" w14:textId="77777777" w:rsidR="005C0DCE" w:rsidRDefault="005C0D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09C9F" w14:textId="5CCAC1FD" w:rsidR="005C0DCE" w:rsidRPr="00091C41" w:rsidRDefault="005C0DCE" w:rsidP="0094463D">
    <w:pPr>
      <w:framePr w:wrap="around" w:vAnchor="text" w:hAnchor="margin" w:xAlign="center" w:y="1"/>
      <w:spacing w:after="0"/>
      <w:rPr>
        <w:rStyle w:val="PageNumber"/>
      </w:rPr>
    </w:pPr>
    <w:r w:rsidRPr="00091C41">
      <w:rPr>
        <w:rStyle w:val="PageNumber"/>
      </w:rPr>
      <w:fldChar w:fldCharType="begin"/>
    </w:r>
    <w:r w:rsidRPr="00091C41">
      <w:rPr>
        <w:rStyle w:val="PageNumber"/>
      </w:rPr>
      <w:instrText xml:space="preserve">PAGE  </w:instrText>
    </w:r>
    <w:r w:rsidRPr="00091C41">
      <w:rPr>
        <w:rStyle w:val="PageNumber"/>
      </w:rPr>
      <w:fldChar w:fldCharType="separate"/>
    </w:r>
    <w:r w:rsidR="00171BEE">
      <w:rPr>
        <w:rStyle w:val="PageNumber"/>
        <w:noProof/>
      </w:rPr>
      <w:t>41</w:t>
    </w:r>
    <w:r w:rsidRPr="00091C41">
      <w:rPr>
        <w:rStyle w:val="PageNumber"/>
      </w:rPr>
      <w:fldChar w:fldCharType="end"/>
    </w:r>
  </w:p>
  <w:p w14:paraId="1102116C" w14:textId="4F15F657" w:rsidR="005C0DCE" w:rsidRDefault="005C0DCE" w:rsidP="00A5640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02819" w14:textId="77777777" w:rsidR="006E45DC" w:rsidRDefault="006E45DC" w:rsidP="00186627">
      <w:r>
        <w:separator/>
      </w:r>
    </w:p>
  </w:footnote>
  <w:footnote w:type="continuationSeparator" w:id="0">
    <w:p w14:paraId="32703A24" w14:textId="77777777" w:rsidR="006E45DC" w:rsidRDefault="006E45DC" w:rsidP="00186627">
      <w:r>
        <w:continuationSeparator/>
      </w:r>
    </w:p>
  </w:footnote>
  <w:footnote w:id="1">
    <w:p w14:paraId="1DD04AE5" w14:textId="77777777" w:rsidR="005C0DCE" w:rsidRDefault="005C0DCE" w:rsidP="005F6542">
      <w:pPr>
        <w:pStyle w:val="FootnoteText"/>
      </w:pPr>
      <w:r>
        <w:rPr>
          <w:rStyle w:val="FootnoteReference"/>
        </w:rPr>
        <w:footnoteRef/>
      </w:r>
      <w:r>
        <w:t xml:space="preserve"> The annexes to the step-by-step guide </w:t>
      </w:r>
      <w:r w:rsidRPr="00187D9F">
        <w:rPr>
          <w:i/>
        </w:rPr>
        <w:t>(8)</w:t>
      </w:r>
      <w:r>
        <w:t xml:space="preserve"> are listed in Appendix C to the present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86187" w14:textId="76815B13" w:rsidR="005C0DCE" w:rsidRPr="008874D2" w:rsidRDefault="005C0DCE" w:rsidP="00A44FCA">
    <w:pPr>
      <w:tabs>
        <w:tab w:val="left" w:pos="8080"/>
        <w:tab w:val="right" w:pos="9029"/>
      </w:tabs>
      <w:jc w:val="center"/>
      <w:rPr>
        <w:b/>
        <w:bCs/>
        <w:sz w:val="22"/>
        <w:szCs w:val="32"/>
        <w:lang w:val="de-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95F7C" w14:textId="18601E47" w:rsidR="005C0DCE" w:rsidRPr="001C036D" w:rsidRDefault="005C0DCE" w:rsidP="001C036D">
    <w:pPr>
      <w:tabs>
        <w:tab w:val="left" w:pos="8080"/>
        <w:tab w:val="right" w:pos="9029"/>
      </w:tabs>
      <w:jc w:val="center"/>
      <w:rPr>
        <w:b/>
        <w:bCs/>
        <w:sz w:val="22"/>
        <w:szCs w:val="32"/>
        <w:lang w:val="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057B7" w14:textId="163604DA" w:rsidR="005C0DCE" w:rsidRPr="00B10B25" w:rsidRDefault="005C0DCE" w:rsidP="00B10B25">
    <w:pPr>
      <w:tabs>
        <w:tab w:val="left" w:pos="8080"/>
        <w:tab w:val="right" w:pos="9029"/>
      </w:tabs>
      <w:jc w:val="center"/>
      <w:rPr>
        <w:b/>
        <w:bCs/>
        <w:sz w:val="22"/>
        <w:szCs w:val="32"/>
        <w:lang w:val="de-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5EB12" w14:textId="25605574" w:rsidR="005C0DCE" w:rsidRPr="00B10B25" w:rsidRDefault="005C0DCE" w:rsidP="00091C41">
    <w:pPr>
      <w:rPr>
        <w:b/>
        <w:bCs/>
        <w:sz w:val="22"/>
        <w:szCs w:val="32"/>
        <w:lang w:val="de-CH"/>
      </w:rPr>
    </w:pPr>
  </w:p>
  <w:p w14:paraId="70E8157C" w14:textId="77777777" w:rsidR="005C0DCE" w:rsidRPr="004C43B1" w:rsidRDefault="005C0DCE" w:rsidP="003A3C73">
    <w:pPr>
      <w:tabs>
        <w:tab w:val="right" w:pos="13892"/>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622DF" w14:textId="77777777" w:rsidR="005C0DCE" w:rsidRPr="004C43B1" w:rsidRDefault="005C0DCE" w:rsidP="001866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A605C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D84"/>
    <w:multiLevelType w:val="hybridMultilevel"/>
    <w:tmpl w:val="3D88FD1A"/>
    <w:lvl w:ilvl="0" w:tplc="6534F4A4">
      <w:start w:val="1"/>
      <w:numFmt w:val="bullet"/>
      <w:pStyle w:val="astrid"/>
      <w:lvlText w:val=""/>
      <w:lvlJc w:val="left"/>
      <w:pPr>
        <w:ind w:left="720" w:hanging="360"/>
      </w:pPr>
      <w:rPr>
        <w:rFonts w:ascii="Symbol" w:eastAsia="Arial Unicode MS" w:hAnsi="Symbol" w:hint="default"/>
        <w:sz w:val="22"/>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A801B9"/>
    <w:multiLevelType w:val="multilevel"/>
    <w:tmpl w:val="674A0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920BE9"/>
    <w:multiLevelType w:val="multilevel"/>
    <w:tmpl w:val="E3F267BC"/>
    <w:lvl w:ilvl="0">
      <w:start w:val="1"/>
      <w:numFmt w:val="decimal"/>
      <w:lvlText w:val="%1."/>
      <w:lvlJc w:val="left"/>
      <w:pPr>
        <w:ind w:left="431" w:hanging="431"/>
      </w:pPr>
      <w:rPr>
        <w:rFonts w:hint="default"/>
      </w:rPr>
    </w:lvl>
    <w:lvl w:ilvl="1">
      <w:start w:val="1"/>
      <w:numFmt w:val="decimal"/>
      <w:lvlText w:val="%1.%2."/>
      <w:lvlJc w:val="left"/>
      <w:pPr>
        <w:ind w:left="601" w:hanging="601"/>
      </w:pPr>
      <w:rPr>
        <w:rFonts w:hint="default"/>
      </w:rPr>
    </w:lvl>
    <w:lvl w:ilvl="2">
      <w:start w:val="1"/>
      <w:numFmt w:val="decimal"/>
      <w:lvlText w:val="%1.%2.%3."/>
      <w:lvlJc w:val="left"/>
      <w:pPr>
        <w:ind w:left="771" w:hanging="771"/>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41" w:hanging="941"/>
      </w:pPr>
      <w:rPr>
        <w:rFonts w:hint="default"/>
      </w:rPr>
    </w:lvl>
    <w:lvl w:ilvl="4">
      <w:start w:val="1"/>
      <w:numFmt w:val="decimal"/>
      <w:lvlText w:val="%1.%2.%3.%4.%5"/>
      <w:lvlJc w:val="left"/>
      <w:pPr>
        <w:ind w:left="1111" w:hanging="431"/>
      </w:pPr>
      <w:rPr>
        <w:rFonts w:cs="Times New Roman" w:hint="default"/>
      </w:rPr>
    </w:lvl>
    <w:lvl w:ilvl="5">
      <w:start w:val="1"/>
      <w:numFmt w:val="decimal"/>
      <w:lvlText w:val="%1.%2.%3.%4.%5.%6"/>
      <w:lvlJc w:val="left"/>
      <w:pPr>
        <w:ind w:left="1281" w:hanging="431"/>
      </w:pPr>
      <w:rPr>
        <w:rFonts w:cs="Times New Roman" w:hint="default"/>
      </w:rPr>
    </w:lvl>
    <w:lvl w:ilvl="6">
      <w:start w:val="1"/>
      <w:numFmt w:val="decimal"/>
      <w:lvlText w:val="%1.%2.%3.%4.%5.%6.%7"/>
      <w:lvlJc w:val="left"/>
      <w:pPr>
        <w:ind w:left="1451" w:hanging="431"/>
      </w:pPr>
      <w:rPr>
        <w:rFonts w:cs="Times New Roman" w:hint="default"/>
      </w:rPr>
    </w:lvl>
    <w:lvl w:ilvl="7">
      <w:start w:val="1"/>
      <w:numFmt w:val="decimal"/>
      <w:lvlText w:val="%1.%2.%3.%4.%5.%6.%7.%8"/>
      <w:lvlJc w:val="left"/>
      <w:pPr>
        <w:ind w:left="1621" w:hanging="431"/>
      </w:pPr>
      <w:rPr>
        <w:rFonts w:cs="Times New Roman" w:hint="default"/>
      </w:rPr>
    </w:lvl>
    <w:lvl w:ilvl="8">
      <w:start w:val="1"/>
      <w:numFmt w:val="decimal"/>
      <w:lvlText w:val="%1.%2.%3.%4.%5.%6.%7.%8.%9"/>
      <w:lvlJc w:val="left"/>
      <w:pPr>
        <w:ind w:left="1791" w:hanging="431"/>
      </w:pPr>
      <w:rPr>
        <w:rFonts w:cs="Times New Roman" w:hint="default"/>
      </w:rPr>
    </w:lvl>
  </w:abstractNum>
  <w:abstractNum w:abstractNumId="4" w15:restartNumberingAfterBreak="0">
    <w:nsid w:val="12F74271"/>
    <w:multiLevelType w:val="hybridMultilevel"/>
    <w:tmpl w:val="5D6C5EDC"/>
    <w:lvl w:ilvl="0" w:tplc="0807000B">
      <w:start w:val="1"/>
      <w:numFmt w:val="bullet"/>
      <w:lvlText w:val=""/>
      <w:lvlJc w:val="left"/>
      <w:pPr>
        <w:ind w:left="1004" w:hanging="360"/>
      </w:pPr>
      <w:rPr>
        <w:rFonts w:ascii="Wingdings" w:hAnsi="Wingdings"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5" w15:restartNumberingAfterBreak="0">
    <w:nsid w:val="186B7AEA"/>
    <w:multiLevelType w:val="multilevel"/>
    <w:tmpl w:val="E3F267BC"/>
    <w:lvl w:ilvl="0">
      <w:start w:val="1"/>
      <w:numFmt w:val="decimal"/>
      <w:lvlText w:val="%1."/>
      <w:lvlJc w:val="left"/>
      <w:pPr>
        <w:ind w:left="431" w:hanging="431"/>
      </w:pPr>
      <w:rPr>
        <w:rFonts w:hint="default"/>
      </w:rPr>
    </w:lvl>
    <w:lvl w:ilvl="1">
      <w:start w:val="1"/>
      <w:numFmt w:val="decimal"/>
      <w:lvlText w:val="%1.%2."/>
      <w:lvlJc w:val="left"/>
      <w:pPr>
        <w:ind w:left="601" w:hanging="601"/>
      </w:pPr>
      <w:rPr>
        <w:rFonts w:hint="default"/>
      </w:rPr>
    </w:lvl>
    <w:lvl w:ilvl="2">
      <w:start w:val="1"/>
      <w:numFmt w:val="decimal"/>
      <w:lvlText w:val="%1.%2.%3."/>
      <w:lvlJc w:val="left"/>
      <w:pPr>
        <w:ind w:left="771" w:hanging="771"/>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41" w:hanging="941"/>
      </w:pPr>
      <w:rPr>
        <w:rFonts w:hint="default"/>
      </w:rPr>
    </w:lvl>
    <w:lvl w:ilvl="4">
      <w:start w:val="1"/>
      <w:numFmt w:val="decimal"/>
      <w:lvlText w:val="%1.%2.%3.%4.%5"/>
      <w:lvlJc w:val="left"/>
      <w:pPr>
        <w:ind w:left="1111" w:hanging="431"/>
      </w:pPr>
      <w:rPr>
        <w:rFonts w:cs="Times New Roman" w:hint="default"/>
      </w:rPr>
    </w:lvl>
    <w:lvl w:ilvl="5">
      <w:start w:val="1"/>
      <w:numFmt w:val="decimal"/>
      <w:lvlText w:val="%1.%2.%3.%4.%5.%6"/>
      <w:lvlJc w:val="left"/>
      <w:pPr>
        <w:ind w:left="1281" w:hanging="431"/>
      </w:pPr>
      <w:rPr>
        <w:rFonts w:cs="Times New Roman" w:hint="default"/>
      </w:rPr>
    </w:lvl>
    <w:lvl w:ilvl="6">
      <w:start w:val="1"/>
      <w:numFmt w:val="decimal"/>
      <w:lvlText w:val="%1.%2.%3.%4.%5.%6.%7"/>
      <w:lvlJc w:val="left"/>
      <w:pPr>
        <w:ind w:left="1451" w:hanging="431"/>
      </w:pPr>
      <w:rPr>
        <w:rFonts w:cs="Times New Roman" w:hint="default"/>
      </w:rPr>
    </w:lvl>
    <w:lvl w:ilvl="7">
      <w:start w:val="1"/>
      <w:numFmt w:val="decimal"/>
      <w:lvlText w:val="%1.%2.%3.%4.%5.%6.%7.%8"/>
      <w:lvlJc w:val="left"/>
      <w:pPr>
        <w:ind w:left="1621" w:hanging="431"/>
      </w:pPr>
      <w:rPr>
        <w:rFonts w:cs="Times New Roman" w:hint="default"/>
      </w:rPr>
    </w:lvl>
    <w:lvl w:ilvl="8">
      <w:start w:val="1"/>
      <w:numFmt w:val="decimal"/>
      <w:lvlText w:val="%1.%2.%3.%4.%5.%6.%7.%8.%9"/>
      <w:lvlJc w:val="left"/>
      <w:pPr>
        <w:ind w:left="1791" w:hanging="431"/>
      </w:pPr>
      <w:rPr>
        <w:rFonts w:cs="Times New Roman" w:hint="default"/>
      </w:rPr>
    </w:lvl>
  </w:abstractNum>
  <w:abstractNum w:abstractNumId="6" w15:restartNumberingAfterBreak="0">
    <w:nsid w:val="1B89110D"/>
    <w:multiLevelType w:val="hybridMultilevel"/>
    <w:tmpl w:val="4C56D32C"/>
    <w:lvl w:ilvl="0" w:tplc="0809000F">
      <w:start w:val="1"/>
      <w:numFmt w:val="decimal"/>
      <w:lvlText w:val="%1."/>
      <w:lvlJc w:val="left"/>
      <w:pPr>
        <w:ind w:left="720" w:hanging="360"/>
      </w:pPr>
      <w:rPr>
        <w:rFonts w:hint="default"/>
      </w:rPr>
    </w:lvl>
    <w:lvl w:ilvl="1" w:tplc="D99AA56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3331D9"/>
    <w:multiLevelType w:val="hybridMultilevel"/>
    <w:tmpl w:val="2554523A"/>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5207EA6"/>
    <w:multiLevelType w:val="hybridMultilevel"/>
    <w:tmpl w:val="526EB61E"/>
    <w:lvl w:ilvl="0" w:tplc="08070001">
      <w:start w:val="1"/>
      <w:numFmt w:val="bullet"/>
      <w:pStyle w:val="smalltabletex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start w:val="1"/>
      <w:numFmt w:val="bullet"/>
      <w:lvlText w:val=""/>
      <w:lvlJc w:val="left"/>
      <w:pPr>
        <w:tabs>
          <w:tab w:val="num" w:pos="2160"/>
        </w:tabs>
        <w:ind w:left="2160"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2C0242"/>
    <w:multiLevelType w:val="hybridMultilevel"/>
    <w:tmpl w:val="6F1ABDA8"/>
    <w:lvl w:ilvl="0" w:tplc="62525D1A">
      <w:start w:val="1"/>
      <w:numFmt w:val="bullet"/>
      <w:pStyle w:val="CES3"/>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AF1364"/>
    <w:multiLevelType w:val="hybridMultilevel"/>
    <w:tmpl w:val="3790105E"/>
    <w:lvl w:ilvl="0" w:tplc="0807000F">
      <w:start w:val="1"/>
      <w:numFmt w:val="decimal"/>
      <w:lvlText w:val="%1."/>
      <w:lvlJc w:val="left"/>
      <w:pPr>
        <w:ind w:left="720" w:hanging="360"/>
      </w:pPr>
      <w:rPr>
        <w:rFonts w:hint="default"/>
      </w:rPr>
    </w:lvl>
    <w:lvl w:ilvl="1" w:tplc="56403A12">
      <w:start w:val="1"/>
      <w:numFmt w:val="lowerLetter"/>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19E3C90"/>
    <w:multiLevelType w:val="hybridMultilevel"/>
    <w:tmpl w:val="7D7EF18A"/>
    <w:lvl w:ilvl="0" w:tplc="419EBCD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A3792"/>
    <w:multiLevelType w:val="hybridMultilevel"/>
    <w:tmpl w:val="DEA6321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AB03313"/>
    <w:multiLevelType w:val="hybridMultilevel"/>
    <w:tmpl w:val="5FD04AD0"/>
    <w:lvl w:ilvl="0" w:tplc="A82AD93C">
      <w:start w:val="2"/>
      <w:numFmt w:val="bullet"/>
      <w:lvlText w:val="•"/>
      <w:lvlJc w:val="left"/>
      <w:pPr>
        <w:ind w:left="720" w:hanging="360"/>
      </w:pPr>
      <w:rPr>
        <w:rFonts w:ascii="Helvetica" w:eastAsia="Calibri" w:hAnsi="Helvetica" w:cs="Helvetic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D4C459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44700B"/>
    <w:multiLevelType w:val="hybridMultilevel"/>
    <w:tmpl w:val="674A0076"/>
    <w:lvl w:ilvl="0" w:tplc="EEA4B966">
      <w:start w:val="1"/>
      <w:numFmt w:val="bullet"/>
      <w:pStyle w:val="ListParagraph"/>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47F7C04"/>
    <w:multiLevelType w:val="hybridMultilevel"/>
    <w:tmpl w:val="B13E295E"/>
    <w:lvl w:ilvl="0" w:tplc="C4F8E8C6">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743BB2"/>
    <w:multiLevelType w:val="hybridMultilevel"/>
    <w:tmpl w:val="C102EE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9353D03"/>
    <w:multiLevelType w:val="hybridMultilevel"/>
    <w:tmpl w:val="3FCC060A"/>
    <w:lvl w:ilvl="0" w:tplc="10B68058">
      <w:start w:val="1"/>
      <w:numFmt w:val="decimal"/>
      <w:lvlText w:val="%1."/>
      <w:lvlJc w:val="left"/>
      <w:pPr>
        <w:ind w:left="720" w:hanging="360"/>
      </w:pPr>
      <w:rPr>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2431657"/>
    <w:multiLevelType w:val="multilevel"/>
    <w:tmpl w:val="674A0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72140A"/>
    <w:multiLevelType w:val="multilevel"/>
    <w:tmpl w:val="674A0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3D0C47"/>
    <w:multiLevelType w:val="hybridMultilevel"/>
    <w:tmpl w:val="EFF056CE"/>
    <w:lvl w:ilvl="0" w:tplc="0807000F">
      <w:start w:val="1"/>
      <w:numFmt w:val="decimal"/>
      <w:lvlText w:val="%1."/>
      <w:lvlJc w:val="left"/>
      <w:pPr>
        <w:ind w:left="720" w:hanging="360"/>
      </w:pPr>
      <w:rPr>
        <w:rFonts w:hint="default"/>
      </w:rPr>
    </w:lvl>
    <w:lvl w:ilvl="1" w:tplc="887A321C">
      <w:start w:val="1"/>
      <w:numFmt w:val="lowerLetter"/>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A664E8C"/>
    <w:multiLevelType w:val="hybridMultilevel"/>
    <w:tmpl w:val="4DB8FFA4"/>
    <w:lvl w:ilvl="0" w:tplc="C45EF402">
      <w:start w:val="1"/>
      <w:numFmt w:val="decimal"/>
      <w:pStyle w:val="List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9F6171"/>
    <w:multiLevelType w:val="hybridMultilevel"/>
    <w:tmpl w:val="6A1C45D4"/>
    <w:lvl w:ilvl="0" w:tplc="86747874">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633503"/>
    <w:multiLevelType w:val="multilevel"/>
    <w:tmpl w:val="CB784B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9646DDF"/>
    <w:multiLevelType w:val="multilevel"/>
    <w:tmpl w:val="E3F267BC"/>
    <w:lvl w:ilvl="0">
      <w:start w:val="1"/>
      <w:numFmt w:val="decimal"/>
      <w:lvlText w:val="%1."/>
      <w:lvlJc w:val="left"/>
      <w:pPr>
        <w:ind w:left="431" w:hanging="431"/>
      </w:pPr>
      <w:rPr>
        <w:rFonts w:hint="default"/>
      </w:rPr>
    </w:lvl>
    <w:lvl w:ilvl="1">
      <w:start w:val="1"/>
      <w:numFmt w:val="decimal"/>
      <w:lvlText w:val="%1.%2."/>
      <w:lvlJc w:val="left"/>
      <w:pPr>
        <w:ind w:left="601" w:hanging="601"/>
      </w:pPr>
      <w:rPr>
        <w:rFonts w:hint="default"/>
      </w:rPr>
    </w:lvl>
    <w:lvl w:ilvl="2">
      <w:start w:val="1"/>
      <w:numFmt w:val="decimal"/>
      <w:lvlText w:val="%1.%2.%3."/>
      <w:lvlJc w:val="left"/>
      <w:pPr>
        <w:ind w:left="771" w:hanging="771"/>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41" w:hanging="941"/>
      </w:pPr>
      <w:rPr>
        <w:rFonts w:hint="default"/>
      </w:rPr>
    </w:lvl>
    <w:lvl w:ilvl="4">
      <w:start w:val="1"/>
      <w:numFmt w:val="decimal"/>
      <w:lvlText w:val="%1.%2.%3.%4.%5"/>
      <w:lvlJc w:val="left"/>
      <w:pPr>
        <w:ind w:left="1111" w:hanging="431"/>
      </w:pPr>
      <w:rPr>
        <w:rFonts w:cs="Times New Roman" w:hint="default"/>
      </w:rPr>
    </w:lvl>
    <w:lvl w:ilvl="5">
      <w:start w:val="1"/>
      <w:numFmt w:val="decimal"/>
      <w:lvlText w:val="%1.%2.%3.%4.%5.%6"/>
      <w:lvlJc w:val="left"/>
      <w:pPr>
        <w:ind w:left="1281" w:hanging="431"/>
      </w:pPr>
      <w:rPr>
        <w:rFonts w:cs="Times New Roman" w:hint="default"/>
      </w:rPr>
    </w:lvl>
    <w:lvl w:ilvl="6">
      <w:start w:val="1"/>
      <w:numFmt w:val="decimal"/>
      <w:lvlText w:val="%1.%2.%3.%4.%5.%6.%7"/>
      <w:lvlJc w:val="left"/>
      <w:pPr>
        <w:ind w:left="1451" w:hanging="431"/>
      </w:pPr>
      <w:rPr>
        <w:rFonts w:cs="Times New Roman" w:hint="default"/>
      </w:rPr>
    </w:lvl>
    <w:lvl w:ilvl="7">
      <w:start w:val="1"/>
      <w:numFmt w:val="decimal"/>
      <w:lvlText w:val="%1.%2.%3.%4.%5.%6.%7.%8"/>
      <w:lvlJc w:val="left"/>
      <w:pPr>
        <w:ind w:left="1621" w:hanging="431"/>
      </w:pPr>
      <w:rPr>
        <w:rFonts w:cs="Times New Roman" w:hint="default"/>
      </w:rPr>
    </w:lvl>
    <w:lvl w:ilvl="8">
      <w:start w:val="1"/>
      <w:numFmt w:val="decimal"/>
      <w:lvlText w:val="%1.%2.%3.%4.%5.%6.%7.%8.%9"/>
      <w:lvlJc w:val="left"/>
      <w:pPr>
        <w:ind w:left="1791" w:hanging="431"/>
      </w:pPr>
      <w:rPr>
        <w:rFonts w:cs="Times New Roman" w:hint="default"/>
      </w:rPr>
    </w:lvl>
  </w:abstractNum>
  <w:abstractNum w:abstractNumId="26" w15:restartNumberingAfterBreak="0">
    <w:nsid w:val="6A592343"/>
    <w:multiLevelType w:val="hybridMultilevel"/>
    <w:tmpl w:val="D31EC528"/>
    <w:lvl w:ilvl="0" w:tplc="8FBCB73A">
      <w:start w:val="1"/>
      <w:numFmt w:val="bullet"/>
      <w:pStyle w:val="Bulletlist2"/>
      <w:lvlText w:val="o"/>
      <w:lvlJc w:val="left"/>
      <w:pPr>
        <w:tabs>
          <w:tab w:val="num" w:pos="1077"/>
        </w:tabs>
        <w:ind w:left="1077" w:hanging="357"/>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C23B05"/>
    <w:multiLevelType w:val="multilevel"/>
    <w:tmpl w:val="2D0A1E00"/>
    <w:lvl w:ilvl="0">
      <w:start w:val="1"/>
      <w:numFmt w:val="decimal"/>
      <w:lvlText w:val="%1."/>
      <w:lvlJc w:val="left"/>
      <w:pPr>
        <w:ind w:left="1212" w:hanging="360"/>
      </w:pPr>
      <w:rPr>
        <w:rFonts w:hint="default"/>
        <w:sz w:val="22"/>
        <w:lang w:val="en-GB"/>
      </w:rPr>
    </w:lvl>
    <w:lvl w:ilvl="1">
      <w:start w:val="2"/>
      <w:numFmt w:val="decimal"/>
      <w:isLgl/>
      <w:lvlText w:val="%1.%2."/>
      <w:lvlJc w:val="left"/>
      <w:pPr>
        <w:ind w:left="1572"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2652" w:hanging="1800"/>
      </w:pPr>
      <w:rPr>
        <w:rFonts w:hint="default"/>
      </w:rPr>
    </w:lvl>
  </w:abstractNum>
  <w:abstractNum w:abstractNumId="28" w15:restartNumberingAfterBreak="0">
    <w:nsid w:val="7381791A"/>
    <w:multiLevelType w:val="multilevel"/>
    <w:tmpl w:val="E3F267BC"/>
    <w:lvl w:ilvl="0">
      <w:start w:val="1"/>
      <w:numFmt w:val="decimal"/>
      <w:lvlText w:val="%1."/>
      <w:lvlJc w:val="left"/>
      <w:pPr>
        <w:ind w:left="431" w:hanging="431"/>
      </w:pPr>
      <w:rPr>
        <w:rFonts w:hint="default"/>
      </w:rPr>
    </w:lvl>
    <w:lvl w:ilvl="1">
      <w:start w:val="1"/>
      <w:numFmt w:val="decimal"/>
      <w:lvlText w:val="%1.%2."/>
      <w:lvlJc w:val="left"/>
      <w:pPr>
        <w:ind w:left="601" w:hanging="601"/>
      </w:pPr>
      <w:rPr>
        <w:rFonts w:hint="default"/>
      </w:rPr>
    </w:lvl>
    <w:lvl w:ilvl="2">
      <w:start w:val="1"/>
      <w:numFmt w:val="decimal"/>
      <w:lvlText w:val="%1.%2.%3."/>
      <w:lvlJc w:val="left"/>
      <w:pPr>
        <w:ind w:left="771" w:hanging="771"/>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941" w:hanging="941"/>
      </w:pPr>
      <w:rPr>
        <w:rFonts w:hint="default"/>
      </w:rPr>
    </w:lvl>
    <w:lvl w:ilvl="4">
      <w:start w:val="1"/>
      <w:numFmt w:val="decimal"/>
      <w:lvlText w:val="%1.%2.%3.%4.%5"/>
      <w:lvlJc w:val="left"/>
      <w:pPr>
        <w:ind w:left="1111" w:hanging="431"/>
      </w:pPr>
      <w:rPr>
        <w:rFonts w:cs="Times New Roman" w:hint="default"/>
      </w:rPr>
    </w:lvl>
    <w:lvl w:ilvl="5">
      <w:start w:val="1"/>
      <w:numFmt w:val="decimal"/>
      <w:pStyle w:val="Heading6"/>
      <w:lvlText w:val="%1.%2.%3.%4.%5.%6"/>
      <w:lvlJc w:val="left"/>
      <w:pPr>
        <w:ind w:left="1281" w:hanging="431"/>
      </w:pPr>
      <w:rPr>
        <w:rFonts w:cs="Times New Roman" w:hint="default"/>
      </w:rPr>
    </w:lvl>
    <w:lvl w:ilvl="6">
      <w:start w:val="1"/>
      <w:numFmt w:val="decimal"/>
      <w:pStyle w:val="Heading7"/>
      <w:lvlText w:val="%1.%2.%3.%4.%5.%6.%7"/>
      <w:lvlJc w:val="left"/>
      <w:pPr>
        <w:ind w:left="1451" w:hanging="431"/>
      </w:pPr>
      <w:rPr>
        <w:rFonts w:cs="Times New Roman" w:hint="default"/>
      </w:rPr>
    </w:lvl>
    <w:lvl w:ilvl="7">
      <w:start w:val="1"/>
      <w:numFmt w:val="decimal"/>
      <w:pStyle w:val="Heading8"/>
      <w:lvlText w:val="%1.%2.%3.%4.%5.%6.%7.%8"/>
      <w:lvlJc w:val="left"/>
      <w:pPr>
        <w:ind w:left="1621" w:hanging="431"/>
      </w:pPr>
      <w:rPr>
        <w:rFonts w:cs="Times New Roman" w:hint="default"/>
      </w:rPr>
    </w:lvl>
    <w:lvl w:ilvl="8">
      <w:start w:val="1"/>
      <w:numFmt w:val="decimal"/>
      <w:pStyle w:val="Heading9"/>
      <w:lvlText w:val="%1.%2.%3.%4.%5.%6.%7.%8.%9"/>
      <w:lvlJc w:val="left"/>
      <w:pPr>
        <w:ind w:left="1791" w:hanging="431"/>
      </w:pPr>
      <w:rPr>
        <w:rFonts w:cs="Times New Roman" w:hint="default"/>
      </w:rPr>
    </w:lvl>
  </w:abstractNum>
  <w:abstractNum w:abstractNumId="29" w15:restartNumberingAfterBreak="0">
    <w:nsid w:val="790B6C7D"/>
    <w:multiLevelType w:val="hybridMultilevel"/>
    <w:tmpl w:val="8D16F0AC"/>
    <w:lvl w:ilvl="0" w:tplc="DF30B136">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F74808"/>
    <w:multiLevelType w:val="hybridMultilevel"/>
    <w:tmpl w:val="7178A86A"/>
    <w:lvl w:ilvl="0" w:tplc="574A3632">
      <w:start w:val="1"/>
      <w:numFmt w:val="bullet"/>
      <w:pStyle w:val="tableau"/>
      <w:lvlText w:val=""/>
      <w:lvlJc w:val="left"/>
      <w:pPr>
        <w:tabs>
          <w:tab w:val="num" w:pos="360"/>
        </w:tabs>
        <w:ind w:left="360" w:hanging="360"/>
      </w:pPr>
      <w:rPr>
        <w:rFonts w:ascii="Symbol" w:hAnsi="Symbol" w:hint="default"/>
      </w:rPr>
    </w:lvl>
    <w:lvl w:ilvl="1" w:tplc="93AA731C">
      <w:start w:val="1"/>
      <w:numFmt w:val="bullet"/>
      <w:lvlText w:val="o"/>
      <w:lvlJc w:val="left"/>
      <w:pPr>
        <w:tabs>
          <w:tab w:val="num" w:pos="1440"/>
        </w:tabs>
        <w:ind w:left="1440" w:hanging="360"/>
      </w:pPr>
      <w:rPr>
        <w:rFonts w:ascii="Courier New" w:hAnsi="Courier New" w:hint="default"/>
      </w:rPr>
    </w:lvl>
    <w:lvl w:ilvl="2" w:tplc="70ECAA1E">
      <w:start w:val="1"/>
      <w:numFmt w:val="bullet"/>
      <w:lvlText w:val=""/>
      <w:lvlJc w:val="left"/>
      <w:pPr>
        <w:tabs>
          <w:tab w:val="num" w:pos="2160"/>
        </w:tabs>
        <w:ind w:left="2160" w:hanging="360"/>
      </w:pPr>
      <w:rPr>
        <w:rFonts w:ascii="Wingdings" w:hAnsi="Wingdings" w:hint="default"/>
      </w:rPr>
    </w:lvl>
    <w:lvl w:ilvl="3" w:tplc="CF16208A" w:tentative="1">
      <w:start w:val="1"/>
      <w:numFmt w:val="bullet"/>
      <w:lvlText w:val=""/>
      <w:lvlJc w:val="left"/>
      <w:pPr>
        <w:tabs>
          <w:tab w:val="num" w:pos="2880"/>
        </w:tabs>
        <w:ind w:left="2880" w:hanging="360"/>
      </w:pPr>
      <w:rPr>
        <w:rFonts w:ascii="Symbol" w:hAnsi="Symbol" w:hint="default"/>
      </w:rPr>
    </w:lvl>
    <w:lvl w:ilvl="4" w:tplc="BBBEEAE0" w:tentative="1">
      <w:start w:val="1"/>
      <w:numFmt w:val="bullet"/>
      <w:lvlText w:val="o"/>
      <w:lvlJc w:val="left"/>
      <w:pPr>
        <w:tabs>
          <w:tab w:val="num" w:pos="3600"/>
        </w:tabs>
        <w:ind w:left="3600" w:hanging="360"/>
      </w:pPr>
      <w:rPr>
        <w:rFonts w:ascii="Courier New" w:hAnsi="Courier New" w:hint="default"/>
      </w:rPr>
    </w:lvl>
    <w:lvl w:ilvl="5" w:tplc="418039FA" w:tentative="1">
      <w:start w:val="1"/>
      <w:numFmt w:val="bullet"/>
      <w:lvlText w:val=""/>
      <w:lvlJc w:val="left"/>
      <w:pPr>
        <w:tabs>
          <w:tab w:val="num" w:pos="4320"/>
        </w:tabs>
        <w:ind w:left="4320" w:hanging="360"/>
      </w:pPr>
      <w:rPr>
        <w:rFonts w:ascii="Wingdings" w:hAnsi="Wingdings" w:hint="default"/>
      </w:rPr>
    </w:lvl>
    <w:lvl w:ilvl="6" w:tplc="8898D55E" w:tentative="1">
      <w:start w:val="1"/>
      <w:numFmt w:val="bullet"/>
      <w:lvlText w:val=""/>
      <w:lvlJc w:val="left"/>
      <w:pPr>
        <w:tabs>
          <w:tab w:val="num" w:pos="5040"/>
        </w:tabs>
        <w:ind w:left="5040" w:hanging="360"/>
      </w:pPr>
      <w:rPr>
        <w:rFonts w:ascii="Symbol" w:hAnsi="Symbol" w:hint="default"/>
      </w:rPr>
    </w:lvl>
    <w:lvl w:ilvl="7" w:tplc="236C677C" w:tentative="1">
      <w:start w:val="1"/>
      <w:numFmt w:val="bullet"/>
      <w:lvlText w:val="o"/>
      <w:lvlJc w:val="left"/>
      <w:pPr>
        <w:tabs>
          <w:tab w:val="num" w:pos="5760"/>
        </w:tabs>
        <w:ind w:left="5760" w:hanging="360"/>
      </w:pPr>
      <w:rPr>
        <w:rFonts w:ascii="Courier New" w:hAnsi="Courier New" w:hint="default"/>
      </w:rPr>
    </w:lvl>
    <w:lvl w:ilvl="8" w:tplc="A0F2DC18"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30"/>
  </w:num>
  <w:num w:numId="4">
    <w:abstractNumId w:val="1"/>
  </w:num>
  <w:num w:numId="5">
    <w:abstractNumId w:val="28"/>
  </w:num>
  <w:num w:numId="6">
    <w:abstractNumId w:val="6"/>
  </w:num>
  <w:num w:numId="7">
    <w:abstractNumId w:val="15"/>
  </w:num>
  <w:num w:numId="8">
    <w:abstractNumId w:val="4"/>
  </w:num>
  <w:num w:numId="9">
    <w:abstractNumId w:val="12"/>
  </w:num>
  <w:num w:numId="10">
    <w:abstractNumId w:val="18"/>
  </w:num>
  <w:num w:numId="11">
    <w:abstractNumId w:val="10"/>
  </w:num>
  <w:num w:numId="12">
    <w:abstractNumId w:val="21"/>
  </w:num>
  <w:num w:numId="13">
    <w:abstractNumId w:val="7"/>
  </w:num>
  <w:num w:numId="14">
    <w:abstractNumId w:val="17"/>
  </w:num>
  <w:num w:numId="15">
    <w:abstractNumId w:val="23"/>
  </w:num>
  <w:num w:numId="16">
    <w:abstractNumId w:val="27"/>
  </w:num>
  <w:num w:numId="17">
    <w:abstractNumId w:val="2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6"/>
  </w:num>
  <w:num w:numId="28">
    <w:abstractNumId w:val="13"/>
  </w:num>
  <w:num w:numId="29">
    <w:abstractNumId w:val="14"/>
  </w:num>
  <w:num w:numId="30">
    <w:abstractNumId w:val="0"/>
  </w:num>
  <w:num w:numId="31">
    <w:abstractNumId w:val="5"/>
  </w:num>
  <w:num w:numId="32">
    <w:abstractNumId w:val="3"/>
  </w:num>
  <w:num w:numId="33">
    <w:abstractNumId w:val="29"/>
  </w:num>
  <w:num w:numId="34">
    <w:abstractNumId w:val="20"/>
  </w:num>
  <w:num w:numId="35">
    <w:abstractNumId w:val="19"/>
  </w:num>
  <w:num w:numId="36">
    <w:abstractNumId w:val="25"/>
  </w:num>
  <w:num w:numId="37">
    <w:abstractNumId w:val="2"/>
  </w:num>
  <w:num w:numId="38">
    <w:abstractNumId w:val="26"/>
  </w:num>
  <w:num w:numId="39">
    <w:abstractNumId w:val="22"/>
  </w:num>
  <w:num w:numId="40">
    <w:abstractNumId w:val="22"/>
    <w:lvlOverride w:ilvl="0">
      <w:startOverride w:val="1"/>
    </w:lvlOverride>
  </w:num>
  <w:num w:numId="41">
    <w:abstractNumId w:val="22"/>
    <w:lvlOverride w:ilvl="0">
      <w:startOverride w:val="1"/>
    </w:lvlOverride>
  </w:num>
  <w:num w:numId="42">
    <w:abstractNumId w:val="22"/>
    <w:lvlOverride w:ilvl="0">
      <w:startOverride w:val="1"/>
    </w:lvlOverride>
  </w:num>
  <w:num w:numId="43">
    <w:abstractNumId w:val="22"/>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de-CH"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0"/>
  <w:activeWritingStyle w:appName="MSWord" w:lang="de-DE" w:vendorID="64" w:dllVersion="6" w:nlCheck="1" w:checkStyle="0"/>
  <w:activeWritingStyle w:appName="MSWord" w:lang="fr-FR" w:vendorID="64" w:dllVersion="6"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0&lt;/ScanUnformatted&gt;&lt;ScanChanges&gt;0&lt;/ScanChanges&gt;&lt;Suspended&gt;0&lt;/Suspended&gt;&lt;/ENInstantFormat&gt;"/>
    <w:docVar w:name="EN.Layout" w:val="&lt;ENLayout&gt;&lt;Style&gt;Numbered Copy&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z9vwz9fovx5v1eze2nvrpaaesr9955f29v2&quot;&gt;Step-by-step guide&lt;record-ids&gt;&lt;item&gt;2&lt;/item&gt;&lt;item&gt;3&lt;/item&gt;&lt;item&gt;4&lt;/item&gt;&lt;item&gt;5&lt;/item&gt;&lt;item&gt;19&lt;/item&gt;&lt;item&gt;22&lt;/item&gt;&lt;item&gt;23&lt;/item&gt;&lt;item&gt;24&lt;/item&gt;&lt;item&gt;25&lt;/item&gt;&lt;item&gt;26&lt;/item&gt;&lt;/record-ids&gt;&lt;/item&gt;&lt;/Libraries&gt;"/>
  </w:docVars>
  <w:rsids>
    <w:rsidRoot w:val="00913572"/>
    <w:rsid w:val="00000462"/>
    <w:rsid w:val="00000745"/>
    <w:rsid w:val="00000CB9"/>
    <w:rsid w:val="00001C73"/>
    <w:rsid w:val="000021F0"/>
    <w:rsid w:val="00002B6B"/>
    <w:rsid w:val="00002D31"/>
    <w:rsid w:val="00003491"/>
    <w:rsid w:val="00003F32"/>
    <w:rsid w:val="00003F74"/>
    <w:rsid w:val="00004194"/>
    <w:rsid w:val="000046E0"/>
    <w:rsid w:val="00005B93"/>
    <w:rsid w:val="00006034"/>
    <w:rsid w:val="000069CF"/>
    <w:rsid w:val="00006C29"/>
    <w:rsid w:val="00006D8C"/>
    <w:rsid w:val="00006DAD"/>
    <w:rsid w:val="00007496"/>
    <w:rsid w:val="000075CD"/>
    <w:rsid w:val="0000764F"/>
    <w:rsid w:val="000078BB"/>
    <w:rsid w:val="00007E1F"/>
    <w:rsid w:val="00010AB4"/>
    <w:rsid w:val="00010B61"/>
    <w:rsid w:val="00011260"/>
    <w:rsid w:val="00011400"/>
    <w:rsid w:val="0001157E"/>
    <w:rsid w:val="00011669"/>
    <w:rsid w:val="00011E4F"/>
    <w:rsid w:val="00012656"/>
    <w:rsid w:val="00013B80"/>
    <w:rsid w:val="0001403F"/>
    <w:rsid w:val="00014137"/>
    <w:rsid w:val="000144F9"/>
    <w:rsid w:val="0001463C"/>
    <w:rsid w:val="0001469D"/>
    <w:rsid w:val="00014941"/>
    <w:rsid w:val="000154A6"/>
    <w:rsid w:val="000163FD"/>
    <w:rsid w:val="00016A84"/>
    <w:rsid w:val="0001712C"/>
    <w:rsid w:val="00017B93"/>
    <w:rsid w:val="00020194"/>
    <w:rsid w:val="00020926"/>
    <w:rsid w:val="000216FA"/>
    <w:rsid w:val="00021E12"/>
    <w:rsid w:val="00022509"/>
    <w:rsid w:val="000231CE"/>
    <w:rsid w:val="00023230"/>
    <w:rsid w:val="000233E1"/>
    <w:rsid w:val="0002381E"/>
    <w:rsid w:val="0002472D"/>
    <w:rsid w:val="0002493E"/>
    <w:rsid w:val="0002519A"/>
    <w:rsid w:val="000252C1"/>
    <w:rsid w:val="000256A1"/>
    <w:rsid w:val="0002666D"/>
    <w:rsid w:val="00026842"/>
    <w:rsid w:val="00027653"/>
    <w:rsid w:val="00030359"/>
    <w:rsid w:val="0003140E"/>
    <w:rsid w:val="00031D8B"/>
    <w:rsid w:val="000332A5"/>
    <w:rsid w:val="000344F3"/>
    <w:rsid w:val="000346E4"/>
    <w:rsid w:val="000347D9"/>
    <w:rsid w:val="00035A2D"/>
    <w:rsid w:val="00035A4A"/>
    <w:rsid w:val="00035AEF"/>
    <w:rsid w:val="00035D6D"/>
    <w:rsid w:val="00036E81"/>
    <w:rsid w:val="000373FB"/>
    <w:rsid w:val="000402FA"/>
    <w:rsid w:val="00040D49"/>
    <w:rsid w:val="00041049"/>
    <w:rsid w:val="00041541"/>
    <w:rsid w:val="00041834"/>
    <w:rsid w:val="00041B1D"/>
    <w:rsid w:val="000428A2"/>
    <w:rsid w:val="000430CD"/>
    <w:rsid w:val="00043CF2"/>
    <w:rsid w:val="00044794"/>
    <w:rsid w:val="00044EBC"/>
    <w:rsid w:val="00046637"/>
    <w:rsid w:val="00046729"/>
    <w:rsid w:val="000500F3"/>
    <w:rsid w:val="00050ADD"/>
    <w:rsid w:val="000514A5"/>
    <w:rsid w:val="00051C1A"/>
    <w:rsid w:val="000522BD"/>
    <w:rsid w:val="00052378"/>
    <w:rsid w:val="000525B6"/>
    <w:rsid w:val="00052894"/>
    <w:rsid w:val="000529AD"/>
    <w:rsid w:val="00052CA2"/>
    <w:rsid w:val="00052F58"/>
    <w:rsid w:val="000533F0"/>
    <w:rsid w:val="00054876"/>
    <w:rsid w:val="00056F00"/>
    <w:rsid w:val="00057675"/>
    <w:rsid w:val="000603DE"/>
    <w:rsid w:val="00060754"/>
    <w:rsid w:val="00060D60"/>
    <w:rsid w:val="00061BB1"/>
    <w:rsid w:val="0006263E"/>
    <w:rsid w:val="000626B0"/>
    <w:rsid w:val="000626E8"/>
    <w:rsid w:val="00063D95"/>
    <w:rsid w:val="00063E06"/>
    <w:rsid w:val="0006475C"/>
    <w:rsid w:val="00065853"/>
    <w:rsid w:val="00065A89"/>
    <w:rsid w:val="00065C56"/>
    <w:rsid w:val="00065CB1"/>
    <w:rsid w:val="00065CEB"/>
    <w:rsid w:val="00066442"/>
    <w:rsid w:val="00066E36"/>
    <w:rsid w:val="000672B1"/>
    <w:rsid w:val="00071288"/>
    <w:rsid w:val="00071932"/>
    <w:rsid w:val="0007211C"/>
    <w:rsid w:val="000721F9"/>
    <w:rsid w:val="000724E4"/>
    <w:rsid w:val="000726C7"/>
    <w:rsid w:val="000726CE"/>
    <w:rsid w:val="00072C51"/>
    <w:rsid w:val="000733C1"/>
    <w:rsid w:val="0007372D"/>
    <w:rsid w:val="00073873"/>
    <w:rsid w:val="00073B2F"/>
    <w:rsid w:val="00074422"/>
    <w:rsid w:val="00074C17"/>
    <w:rsid w:val="000752CC"/>
    <w:rsid w:val="000757A8"/>
    <w:rsid w:val="00075D93"/>
    <w:rsid w:val="0007618A"/>
    <w:rsid w:val="0007672E"/>
    <w:rsid w:val="00076824"/>
    <w:rsid w:val="00077D5B"/>
    <w:rsid w:val="000812C9"/>
    <w:rsid w:val="00081BAE"/>
    <w:rsid w:val="0008230C"/>
    <w:rsid w:val="00082347"/>
    <w:rsid w:val="000823B1"/>
    <w:rsid w:val="00082C1E"/>
    <w:rsid w:val="00082CEF"/>
    <w:rsid w:val="00083264"/>
    <w:rsid w:val="0008349D"/>
    <w:rsid w:val="00083A99"/>
    <w:rsid w:val="00083D44"/>
    <w:rsid w:val="00083EA8"/>
    <w:rsid w:val="000844AF"/>
    <w:rsid w:val="00084771"/>
    <w:rsid w:val="000852CC"/>
    <w:rsid w:val="0008531C"/>
    <w:rsid w:val="00085565"/>
    <w:rsid w:val="000857F8"/>
    <w:rsid w:val="000858DB"/>
    <w:rsid w:val="00086118"/>
    <w:rsid w:val="00086155"/>
    <w:rsid w:val="0008618C"/>
    <w:rsid w:val="00086F66"/>
    <w:rsid w:val="00087B7B"/>
    <w:rsid w:val="00087DCB"/>
    <w:rsid w:val="00091506"/>
    <w:rsid w:val="00091C41"/>
    <w:rsid w:val="000921F2"/>
    <w:rsid w:val="000929E8"/>
    <w:rsid w:val="00092EDA"/>
    <w:rsid w:val="0009305B"/>
    <w:rsid w:val="0009376B"/>
    <w:rsid w:val="00093A00"/>
    <w:rsid w:val="00093D46"/>
    <w:rsid w:val="000964BA"/>
    <w:rsid w:val="00096B72"/>
    <w:rsid w:val="00096F8C"/>
    <w:rsid w:val="00097E72"/>
    <w:rsid w:val="00097FFE"/>
    <w:rsid w:val="000A00B4"/>
    <w:rsid w:val="000A0483"/>
    <w:rsid w:val="000A0A13"/>
    <w:rsid w:val="000A0E16"/>
    <w:rsid w:val="000A16F2"/>
    <w:rsid w:val="000A1B55"/>
    <w:rsid w:val="000A1E03"/>
    <w:rsid w:val="000A2887"/>
    <w:rsid w:val="000A3294"/>
    <w:rsid w:val="000A39E4"/>
    <w:rsid w:val="000A3ACA"/>
    <w:rsid w:val="000A5088"/>
    <w:rsid w:val="000A5996"/>
    <w:rsid w:val="000A62F3"/>
    <w:rsid w:val="000A6312"/>
    <w:rsid w:val="000A6DCC"/>
    <w:rsid w:val="000A7FF2"/>
    <w:rsid w:val="000B04F2"/>
    <w:rsid w:val="000B054B"/>
    <w:rsid w:val="000B0996"/>
    <w:rsid w:val="000B0EE0"/>
    <w:rsid w:val="000B0FFD"/>
    <w:rsid w:val="000B1049"/>
    <w:rsid w:val="000B1A33"/>
    <w:rsid w:val="000B282C"/>
    <w:rsid w:val="000B2DA9"/>
    <w:rsid w:val="000B2DB0"/>
    <w:rsid w:val="000B3518"/>
    <w:rsid w:val="000B3925"/>
    <w:rsid w:val="000B3A95"/>
    <w:rsid w:val="000B3D1B"/>
    <w:rsid w:val="000B3F53"/>
    <w:rsid w:val="000B4195"/>
    <w:rsid w:val="000B5639"/>
    <w:rsid w:val="000B56A3"/>
    <w:rsid w:val="000B714F"/>
    <w:rsid w:val="000B73A9"/>
    <w:rsid w:val="000C0127"/>
    <w:rsid w:val="000C036B"/>
    <w:rsid w:val="000C03F1"/>
    <w:rsid w:val="000C04BE"/>
    <w:rsid w:val="000C05F1"/>
    <w:rsid w:val="000C08B7"/>
    <w:rsid w:val="000C0B42"/>
    <w:rsid w:val="000C18AF"/>
    <w:rsid w:val="000C1B29"/>
    <w:rsid w:val="000C2D59"/>
    <w:rsid w:val="000C38B7"/>
    <w:rsid w:val="000C39E2"/>
    <w:rsid w:val="000C3BDC"/>
    <w:rsid w:val="000C4339"/>
    <w:rsid w:val="000C4726"/>
    <w:rsid w:val="000C47A3"/>
    <w:rsid w:val="000C569C"/>
    <w:rsid w:val="000C5862"/>
    <w:rsid w:val="000C59C7"/>
    <w:rsid w:val="000C5E67"/>
    <w:rsid w:val="000C676D"/>
    <w:rsid w:val="000C693D"/>
    <w:rsid w:val="000D0590"/>
    <w:rsid w:val="000D07ED"/>
    <w:rsid w:val="000D0C5D"/>
    <w:rsid w:val="000D0E0B"/>
    <w:rsid w:val="000D1B3B"/>
    <w:rsid w:val="000D2E4D"/>
    <w:rsid w:val="000D317B"/>
    <w:rsid w:val="000D32B6"/>
    <w:rsid w:val="000D3F3A"/>
    <w:rsid w:val="000D440D"/>
    <w:rsid w:val="000D4F40"/>
    <w:rsid w:val="000D5CFC"/>
    <w:rsid w:val="000D5DE0"/>
    <w:rsid w:val="000D6920"/>
    <w:rsid w:val="000D6B15"/>
    <w:rsid w:val="000D7693"/>
    <w:rsid w:val="000E0178"/>
    <w:rsid w:val="000E0669"/>
    <w:rsid w:val="000E084B"/>
    <w:rsid w:val="000E0887"/>
    <w:rsid w:val="000E0EDB"/>
    <w:rsid w:val="000E130C"/>
    <w:rsid w:val="000E15A0"/>
    <w:rsid w:val="000E231D"/>
    <w:rsid w:val="000E2663"/>
    <w:rsid w:val="000E295E"/>
    <w:rsid w:val="000E3EE5"/>
    <w:rsid w:val="000E3F58"/>
    <w:rsid w:val="000E3FC8"/>
    <w:rsid w:val="000E412E"/>
    <w:rsid w:val="000E4E1B"/>
    <w:rsid w:val="000E5492"/>
    <w:rsid w:val="000E5958"/>
    <w:rsid w:val="000E5F3B"/>
    <w:rsid w:val="000E618E"/>
    <w:rsid w:val="000E747F"/>
    <w:rsid w:val="000F0B4C"/>
    <w:rsid w:val="000F0C94"/>
    <w:rsid w:val="000F10DE"/>
    <w:rsid w:val="000F1441"/>
    <w:rsid w:val="000F1E58"/>
    <w:rsid w:val="000F2FBB"/>
    <w:rsid w:val="000F37AC"/>
    <w:rsid w:val="000F3AD6"/>
    <w:rsid w:val="000F3B5D"/>
    <w:rsid w:val="000F54C8"/>
    <w:rsid w:val="000F560B"/>
    <w:rsid w:val="000F5E6D"/>
    <w:rsid w:val="000F616B"/>
    <w:rsid w:val="000F668B"/>
    <w:rsid w:val="000F6F3F"/>
    <w:rsid w:val="000F795E"/>
    <w:rsid w:val="000F7CFC"/>
    <w:rsid w:val="0010036D"/>
    <w:rsid w:val="00101306"/>
    <w:rsid w:val="00101728"/>
    <w:rsid w:val="001019A0"/>
    <w:rsid w:val="00103009"/>
    <w:rsid w:val="0010303D"/>
    <w:rsid w:val="00103CCD"/>
    <w:rsid w:val="0010407E"/>
    <w:rsid w:val="001053B1"/>
    <w:rsid w:val="001055E1"/>
    <w:rsid w:val="00105E70"/>
    <w:rsid w:val="001065CD"/>
    <w:rsid w:val="0010675A"/>
    <w:rsid w:val="00106C98"/>
    <w:rsid w:val="001105AC"/>
    <w:rsid w:val="001112AE"/>
    <w:rsid w:val="001122EF"/>
    <w:rsid w:val="001132E1"/>
    <w:rsid w:val="00113AB5"/>
    <w:rsid w:val="00117511"/>
    <w:rsid w:val="0011757C"/>
    <w:rsid w:val="00117D4E"/>
    <w:rsid w:val="001200BE"/>
    <w:rsid w:val="001214C3"/>
    <w:rsid w:val="001223D9"/>
    <w:rsid w:val="00123334"/>
    <w:rsid w:val="001237B1"/>
    <w:rsid w:val="00123E08"/>
    <w:rsid w:val="00123FD5"/>
    <w:rsid w:val="001257BD"/>
    <w:rsid w:val="001257F1"/>
    <w:rsid w:val="00126005"/>
    <w:rsid w:val="00126A56"/>
    <w:rsid w:val="00127FF4"/>
    <w:rsid w:val="001320C5"/>
    <w:rsid w:val="00133099"/>
    <w:rsid w:val="0013319D"/>
    <w:rsid w:val="001345AA"/>
    <w:rsid w:val="0013543A"/>
    <w:rsid w:val="00135E2C"/>
    <w:rsid w:val="0013655D"/>
    <w:rsid w:val="0013697B"/>
    <w:rsid w:val="00136BDD"/>
    <w:rsid w:val="001407DD"/>
    <w:rsid w:val="00140B8F"/>
    <w:rsid w:val="00140D28"/>
    <w:rsid w:val="00141431"/>
    <w:rsid w:val="00141770"/>
    <w:rsid w:val="001419EF"/>
    <w:rsid w:val="00143226"/>
    <w:rsid w:val="00143443"/>
    <w:rsid w:val="001434DC"/>
    <w:rsid w:val="001439E4"/>
    <w:rsid w:val="0014473A"/>
    <w:rsid w:val="00144AFD"/>
    <w:rsid w:val="001450BB"/>
    <w:rsid w:val="0014670B"/>
    <w:rsid w:val="001469FA"/>
    <w:rsid w:val="00146E65"/>
    <w:rsid w:val="00147295"/>
    <w:rsid w:val="00151084"/>
    <w:rsid w:val="00152178"/>
    <w:rsid w:val="00152198"/>
    <w:rsid w:val="00152ACF"/>
    <w:rsid w:val="001539E3"/>
    <w:rsid w:val="00153D38"/>
    <w:rsid w:val="00155252"/>
    <w:rsid w:val="001553FC"/>
    <w:rsid w:val="0015565A"/>
    <w:rsid w:val="00155B47"/>
    <w:rsid w:val="0015605D"/>
    <w:rsid w:val="001567A1"/>
    <w:rsid w:val="001578AB"/>
    <w:rsid w:val="0016029E"/>
    <w:rsid w:val="0016062C"/>
    <w:rsid w:val="00160972"/>
    <w:rsid w:val="00160D82"/>
    <w:rsid w:val="00161004"/>
    <w:rsid w:val="001614A5"/>
    <w:rsid w:val="00161B82"/>
    <w:rsid w:val="00161C27"/>
    <w:rsid w:val="00163033"/>
    <w:rsid w:val="0016328F"/>
    <w:rsid w:val="0016362B"/>
    <w:rsid w:val="00163C52"/>
    <w:rsid w:val="00163EC9"/>
    <w:rsid w:val="00163F84"/>
    <w:rsid w:val="00165D2C"/>
    <w:rsid w:val="00165EAE"/>
    <w:rsid w:val="00166287"/>
    <w:rsid w:val="001664D2"/>
    <w:rsid w:val="0016655D"/>
    <w:rsid w:val="0016668E"/>
    <w:rsid w:val="00166AAA"/>
    <w:rsid w:val="00167019"/>
    <w:rsid w:val="00167726"/>
    <w:rsid w:val="00167B98"/>
    <w:rsid w:val="0017103B"/>
    <w:rsid w:val="0017195B"/>
    <w:rsid w:val="00171BEE"/>
    <w:rsid w:val="0017213F"/>
    <w:rsid w:val="00172199"/>
    <w:rsid w:val="001726AD"/>
    <w:rsid w:val="0017290D"/>
    <w:rsid w:val="00172D0E"/>
    <w:rsid w:val="00172DD3"/>
    <w:rsid w:val="00172EED"/>
    <w:rsid w:val="00173558"/>
    <w:rsid w:val="001743F9"/>
    <w:rsid w:val="0017471F"/>
    <w:rsid w:val="0017547E"/>
    <w:rsid w:val="00175B25"/>
    <w:rsid w:val="001760B5"/>
    <w:rsid w:val="0017612F"/>
    <w:rsid w:val="0017699C"/>
    <w:rsid w:val="00180051"/>
    <w:rsid w:val="00180764"/>
    <w:rsid w:val="00180AA3"/>
    <w:rsid w:val="00180ACF"/>
    <w:rsid w:val="00180B33"/>
    <w:rsid w:val="00180C25"/>
    <w:rsid w:val="00180E9C"/>
    <w:rsid w:val="00181140"/>
    <w:rsid w:val="001811E1"/>
    <w:rsid w:val="001818FB"/>
    <w:rsid w:val="00182492"/>
    <w:rsid w:val="0018345C"/>
    <w:rsid w:val="00183641"/>
    <w:rsid w:val="001837A8"/>
    <w:rsid w:val="0018385F"/>
    <w:rsid w:val="00183A59"/>
    <w:rsid w:val="00183AA7"/>
    <w:rsid w:val="00183C2C"/>
    <w:rsid w:val="001858CB"/>
    <w:rsid w:val="00186190"/>
    <w:rsid w:val="00186627"/>
    <w:rsid w:val="0018678F"/>
    <w:rsid w:val="0018679C"/>
    <w:rsid w:val="00190B89"/>
    <w:rsid w:val="00191CD4"/>
    <w:rsid w:val="00191FDC"/>
    <w:rsid w:val="00193023"/>
    <w:rsid w:val="001933B6"/>
    <w:rsid w:val="00193DA7"/>
    <w:rsid w:val="00194189"/>
    <w:rsid w:val="00194322"/>
    <w:rsid w:val="0019510F"/>
    <w:rsid w:val="0019525F"/>
    <w:rsid w:val="00195286"/>
    <w:rsid w:val="00195921"/>
    <w:rsid w:val="00195B23"/>
    <w:rsid w:val="00196F92"/>
    <w:rsid w:val="00197982"/>
    <w:rsid w:val="00197C88"/>
    <w:rsid w:val="001A0DF3"/>
    <w:rsid w:val="001A1222"/>
    <w:rsid w:val="001A12AD"/>
    <w:rsid w:val="001A148B"/>
    <w:rsid w:val="001A1647"/>
    <w:rsid w:val="001A17C5"/>
    <w:rsid w:val="001A1DA7"/>
    <w:rsid w:val="001A236F"/>
    <w:rsid w:val="001A238F"/>
    <w:rsid w:val="001A2679"/>
    <w:rsid w:val="001A2C5A"/>
    <w:rsid w:val="001A2DC0"/>
    <w:rsid w:val="001A3F94"/>
    <w:rsid w:val="001A4C06"/>
    <w:rsid w:val="001A4F28"/>
    <w:rsid w:val="001A527B"/>
    <w:rsid w:val="001A57E7"/>
    <w:rsid w:val="001A597D"/>
    <w:rsid w:val="001A5B0D"/>
    <w:rsid w:val="001A5E73"/>
    <w:rsid w:val="001A5EAC"/>
    <w:rsid w:val="001A5EEF"/>
    <w:rsid w:val="001A61F4"/>
    <w:rsid w:val="001A6AF0"/>
    <w:rsid w:val="001A6C8C"/>
    <w:rsid w:val="001A7459"/>
    <w:rsid w:val="001A7565"/>
    <w:rsid w:val="001A77D4"/>
    <w:rsid w:val="001A7C83"/>
    <w:rsid w:val="001A7EB8"/>
    <w:rsid w:val="001B0212"/>
    <w:rsid w:val="001B03CC"/>
    <w:rsid w:val="001B0484"/>
    <w:rsid w:val="001B04E5"/>
    <w:rsid w:val="001B0777"/>
    <w:rsid w:val="001B1E7B"/>
    <w:rsid w:val="001B26F8"/>
    <w:rsid w:val="001B38EA"/>
    <w:rsid w:val="001B4513"/>
    <w:rsid w:val="001B49C0"/>
    <w:rsid w:val="001B4F26"/>
    <w:rsid w:val="001B5330"/>
    <w:rsid w:val="001B5681"/>
    <w:rsid w:val="001B5BFC"/>
    <w:rsid w:val="001B65F2"/>
    <w:rsid w:val="001B67B7"/>
    <w:rsid w:val="001B6A31"/>
    <w:rsid w:val="001C036D"/>
    <w:rsid w:val="001C0475"/>
    <w:rsid w:val="001C0BD4"/>
    <w:rsid w:val="001C0C70"/>
    <w:rsid w:val="001C0EC3"/>
    <w:rsid w:val="001C1984"/>
    <w:rsid w:val="001C1F8E"/>
    <w:rsid w:val="001C1FC8"/>
    <w:rsid w:val="001C25A5"/>
    <w:rsid w:val="001C3454"/>
    <w:rsid w:val="001C3601"/>
    <w:rsid w:val="001C3F1D"/>
    <w:rsid w:val="001C421B"/>
    <w:rsid w:val="001C4E5D"/>
    <w:rsid w:val="001C5480"/>
    <w:rsid w:val="001C5503"/>
    <w:rsid w:val="001C5533"/>
    <w:rsid w:val="001C5B6F"/>
    <w:rsid w:val="001C6696"/>
    <w:rsid w:val="001C6B9B"/>
    <w:rsid w:val="001C71B8"/>
    <w:rsid w:val="001C723E"/>
    <w:rsid w:val="001C72E4"/>
    <w:rsid w:val="001C79BF"/>
    <w:rsid w:val="001C7FFB"/>
    <w:rsid w:val="001D0468"/>
    <w:rsid w:val="001D084F"/>
    <w:rsid w:val="001D1ADC"/>
    <w:rsid w:val="001D1CEA"/>
    <w:rsid w:val="001D2639"/>
    <w:rsid w:val="001D2A85"/>
    <w:rsid w:val="001D3835"/>
    <w:rsid w:val="001D3D94"/>
    <w:rsid w:val="001D4163"/>
    <w:rsid w:val="001D466C"/>
    <w:rsid w:val="001D4B0B"/>
    <w:rsid w:val="001D5585"/>
    <w:rsid w:val="001D5ACC"/>
    <w:rsid w:val="001D61D7"/>
    <w:rsid w:val="001D6470"/>
    <w:rsid w:val="001D7CAC"/>
    <w:rsid w:val="001E0409"/>
    <w:rsid w:val="001E1535"/>
    <w:rsid w:val="001E17BD"/>
    <w:rsid w:val="001E1F6A"/>
    <w:rsid w:val="001E23B6"/>
    <w:rsid w:val="001E27FC"/>
    <w:rsid w:val="001E2C16"/>
    <w:rsid w:val="001E3C83"/>
    <w:rsid w:val="001E3D83"/>
    <w:rsid w:val="001E4075"/>
    <w:rsid w:val="001E477D"/>
    <w:rsid w:val="001E5240"/>
    <w:rsid w:val="001E5DD6"/>
    <w:rsid w:val="001E6B1A"/>
    <w:rsid w:val="001E6E52"/>
    <w:rsid w:val="001E6EAC"/>
    <w:rsid w:val="001E7063"/>
    <w:rsid w:val="001E72E1"/>
    <w:rsid w:val="001E7560"/>
    <w:rsid w:val="001F01FE"/>
    <w:rsid w:val="001F0CAD"/>
    <w:rsid w:val="001F1775"/>
    <w:rsid w:val="001F2094"/>
    <w:rsid w:val="001F26F0"/>
    <w:rsid w:val="001F2E51"/>
    <w:rsid w:val="001F447E"/>
    <w:rsid w:val="001F4828"/>
    <w:rsid w:val="001F4C68"/>
    <w:rsid w:val="001F554C"/>
    <w:rsid w:val="001F5F36"/>
    <w:rsid w:val="001F6BCB"/>
    <w:rsid w:val="001F7323"/>
    <w:rsid w:val="001F7546"/>
    <w:rsid w:val="001F7987"/>
    <w:rsid w:val="00200630"/>
    <w:rsid w:val="00200844"/>
    <w:rsid w:val="0020124C"/>
    <w:rsid w:val="002019E8"/>
    <w:rsid w:val="00202536"/>
    <w:rsid w:val="00202E6F"/>
    <w:rsid w:val="00204096"/>
    <w:rsid w:val="002043BB"/>
    <w:rsid w:val="00204826"/>
    <w:rsid w:val="0020495F"/>
    <w:rsid w:val="0020513E"/>
    <w:rsid w:val="002058B3"/>
    <w:rsid w:val="00205DBD"/>
    <w:rsid w:val="00205E62"/>
    <w:rsid w:val="00205EB9"/>
    <w:rsid w:val="00206F54"/>
    <w:rsid w:val="002104A0"/>
    <w:rsid w:val="00210BF3"/>
    <w:rsid w:val="00210EF9"/>
    <w:rsid w:val="00210F53"/>
    <w:rsid w:val="0021123B"/>
    <w:rsid w:val="00211949"/>
    <w:rsid w:val="00212990"/>
    <w:rsid w:val="002149B7"/>
    <w:rsid w:val="00214B5D"/>
    <w:rsid w:val="00214BEB"/>
    <w:rsid w:val="0021690D"/>
    <w:rsid w:val="00216E87"/>
    <w:rsid w:val="0021703A"/>
    <w:rsid w:val="002175D0"/>
    <w:rsid w:val="00217963"/>
    <w:rsid w:val="00220324"/>
    <w:rsid w:val="002209D7"/>
    <w:rsid w:val="00220D12"/>
    <w:rsid w:val="00220D80"/>
    <w:rsid w:val="00221A85"/>
    <w:rsid w:val="002221AE"/>
    <w:rsid w:val="00222AA6"/>
    <w:rsid w:val="00223891"/>
    <w:rsid w:val="0022428F"/>
    <w:rsid w:val="00224337"/>
    <w:rsid w:val="00224598"/>
    <w:rsid w:val="00224E50"/>
    <w:rsid w:val="002252C8"/>
    <w:rsid w:val="0022556E"/>
    <w:rsid w:val="00225B00"/>
    <w:rsid w:val="00225B6F"/>
    <w:rsid w:val="00225C98"/>
    <w:rsid w:val="00225FB5"/>
    <w:rsid w:val="00226192"/>
    <w:rsid w:val="0022665B"/>
    <w:rsid w:val="00226985"/>
    <w:rsid w:val="0023048F"/>
    <w:rsid w:val="00230657"/>
    <w:rsid w:val="00230B6D"/>
    <w:rsid w:val="00230FD3"/>
    <w:rsid w:val="00231E86"/>
    <w:rsid w:val="00232DA9"/>
    <w:rsid w:val="00232F24"/>
    <w:rsid w:val="002336AE"/>
    <w:rsid w:val="002339DB"/>
    <w:rsid w:val="00233D9A"/>
    <w:rsid w:val="00234328"/>
    <w:rsid w:val="0023516E"/>
    <w:rsid w:val="00235197"/>
    <w:rsid w:val="002359A6"/>
    <w:rsid w:val="00235E1E"/>
    <w:rsid w:val="00235E6D"/>
    <w:rsid w:val="002363C2"/>
    <w:rsid w:val="002364F5"/>
    <w:rsid w:val="0023656E"/>
    <w:rsid w:val="00236A47"/>
    <w:rsid w:val="00237414"/>
    <w:rsid w:val="00240134"/>
    <w:rsid w:val="002407B4"/>
    <w:rsid w:val="0024115F"/>
    <w:rsid w:val="00241C03"/>
    <w:rsid w:val="002426FC"/>
    <w:rsid w:val="00242ADD"/>
    <w:rsid w:val="00242FF4"/>
    <w:rsid w:val="0024341C"/>
    <w:rsid w:val="00243A21"/>
    <w:rsid w:val="0024440B"/>
    <w:rsid w:val="0024525A"/>
    <w:rsid w:val="0024547F"/>
    <w:rsid w:val="002457A0"/>
    <w:rsid w:val="002457F4"/>
    <w:rsid w:val="00246C6B"/>
    <w:rsid w:val="00247F14"/>
    <w:rsid w:val="00247F4A"/>
    <w:rsid w:val="00250556"/>
    <w:rsid w:val="00250C10"/>
    <w:rsid w:val="00250EF4"/>
    <w:rsid w:val="00251DF7"/>
    <w:rsid w:val="00251F7E"/>
    <w:rsid w:val="00252146"/>
    <w:rsid w:val="0025216B"/>
    <w:rsid w:val="002525FA"/>
    <w:rsid w:val="002531B6"/>
    <w:rsid w:val="002540BA"/>
    <w:rsid w:val="00254383"/>
    <w:rsid w:val="00254808"/>
    <w:rsid w:val="00254EC5"/>
    <w:rsid w:val="0025566F"/>
    <w:rsid w:val="0025599D"/>
    <w:rsid w:val="00255AE7"/>
    <w:rsid w:val="00255D93"/>
    <w:rsid w:val="00255EC3"/>
    <w:rsid w:val="00255F8D"/>
    <w:rsid w:val="002561C9"/>
    <w:rsid w:val="002565C4"/>
    <w:rsid w:val="00260E62"/>
    <w:rsid w:val="002613EE"/>
    <w:rsid w:val="002614F4"/>
    <w:rsid w:val="0026162A"/>
    <w:rsid w:val="00261677"/>
    <w:rsid w:val="00261916"/>
    <w:rsid w:val="00261D79"/>
    <w:rsid w:val="00261E0A"/>
    <w:rsid w:val="0026255A"/>
    <w:rsid w:val="0026320A"/>
    <w:rsid w:val="0026353D"/>
    <w:rsid w:val="00263967"/>
    <w:rsid w:val="00263E5C"/>
    <w:rsid w:val="00264429"/>
    <w:rsid w:val="00265308"/>
    <w:rsid w:val="00266AF7"/>
    <w:rsid w:val="00266B6C"/>
    <w:rsid w:val="002671F0"/>
    <w:rsid w:val="00267DA2"/>
    <w:rsid w:val="00270A1A"/>
    <w:rsid w:val="00270BEC"/>
    <w:rsid w:val="00271499"/>
    <w:rsid w:val="002714E6"/>
    <w:rsid w:val="002727CD"/>
    <w:rsid w:val="0027353C"/>
    <w:rsid w:val="00273776"/>
    <w:rsid w:val="0027395A"/>
    <w:rsid w:val="00275210"/>
    <w:rsid w:val="002754D2"/>
    <w:rsid w:val="00275EAB"/>
    <w:rsid w:val="0027649F"/>
    <w:rsid w:val="00276768"/>
    <w:rsid w:val="0027773D"/>
    <w:rsid w:val="00277FA3"/>
    <w:rsid w:val="00277FAA"/>
    <w:rsid w:val="002805F5"/>
    <w:rsid w:val="002810C1"/>
    <w:rsid w:val="0028156F"/>
    <w:rsid w:val="002816D6"/>
    <w:rsid w:val="00282A53"/>
    <w:rsid w:val="00282ED0"/>
    <w:rsid w:val="002834FE"/>
    <w:rsid w:val="00283EAF"/>
    <w:rsid w:val="002848D3"/>
    <w:rsid w:val="00284CA0"/>
    <w:rsid w:val="00284E36"/>
    <w:rsid w:val="0028514D"/>
    <w:rsid w:val="002868FF"/>
    <w:rsid w:val="00286986"/>
    <w:rsid w:val="00286BE7"/>
    <w:rsid w:val="00287957"/>
    <w:rsid w:val="00290187"/>
    <w:rsid w:val="002901E7"/>
    <w:rsid w:val="00290321"/>
    <w:rsid w:val="002908A9"/>
    <w:rsid w:val="00290968"/>
    <w:rsid w:val="002918D5"/>
    <w:rsid w:val="00291AF5"/>
    <w:rsid w:val="0029208A"/>
    <w:rsid w:val="002921DB"/>
    <w:rsid w:val="002927C3"/>
    <w:rsid w:val="00292C6A"/>
    <w:rsid w:val="00293333"/>
    <w:rsid w:val="00293ABF"/>
    <w:rsid w:val="00294A62"/>
    <w:rsid w:val="0029509A"/>
    <w:rsid w:val="002953CC"/>
    <w:rsid w:val="00295B75"/>
    <w:rsid w:val="00295D13"/>
    <w:rsid w:val="00295F23"/>
    <w:rsid w:val="00296681"/>
    <w:rsid w:val="002966A2"/>
    <w:rsid w:val="00297B84"/>
    <w:rsid w:val="002A0182"/>
    <w:rsid w:val="002A042D"/>
    <w:rsid w:val="002A098E"/>
    <w:rsid w:val="002A0CCC"/>
    <w:rsid w:val="002A1E96"/>
    <w:rsid w:val="002A263F"/>
    <w:rsid w:val="002A2A59"/>
    <w:rsid w:val="002A364A"/>
    <w:rsid w:val="002A4A87"/>
    <w:rsid w:val="002A62BD"/>
    <w:rsid w:val="002A6AA8"/>
    <w:rsid w:val="002A6F43"/>
    <w:rsid w:val="002A71FD"/>
    <w:rsid w:val="002A7359"/>
    <w:rsid w:val="002A7834"/>
    <w:rsid w:val="002A7F77"/>
    <w:rsid w:val="002B03A4"/>
    <w:rsid w:val="002B080E"/>
    <w:rsid w:val="002B086F"/>
    <w:rsid w:val="002B0915"/>
    <w:rsid w:val="002B0B64"/>
    <w:rsid w:val="002B0C52"/>
    <w:rsid w:val="002B17A1"/>
    <w:rsid w:val="002B1DA0"/>
    <w:rsid w:val="002B1EE6"/>
    <w:rsid w:val="002B2325"/>
    <w:rsid w:val="002B306D"/>
    <w:rsid w:val="002B3DC1"/>
    <w:rsid w:val="002B58DD"/>
    <w:rsid w:val="002B649C"/>
    <w:rsid w:val="002B6BCD"/>
    <w:rsid w:val="002C10D7"/>
    <w:rsid w:val="002C161E"/>
    <w:rsid w:val="002C208A"/>
    <w:rsid w:val="002C2F02"/>
    <w:rsid w:val="002C3FA0"/>
    <w:rsid w:val="002C47B3"/>
    <w:rsid w:val="002C4811"/>
    <w:rsid w:val="002C4E5D"/>
    <w:rsid w:val="002C505B"/>
    <w:rsid w:val="002C5905"/>
    <w:rsid w:val="002C5C9F"/>
    <w:rsid w:val="002C62CE"/>
    <w:rsid w:val="002C64ED"/>
    <w:rsid w:val="002C6D9D"/>
    <w:rsid w:val="002C6EAC"/>
    <w:rsid w:val="002C7B12"/>
    <w:rsid w:val="002D0ECA"/>
    <w:rsid w:val="002D2216"/>
    <w:rsid w:val="002D34E9"/>
    <w:rsid w:val="002D350C"/>
    <w:rsid w:val="002D3570"/>
    <w:rsid w:val="002D3EB1"/>
    <w:rsid w:val="002D4D69"/>
    <w:rsid w:val="002D5FD6"/>
    <w:rsid w:val="002D68F9"/>
    <w:rsid w:val="002D6DB2"/>
    <w:rsid w:val="002E0EB4"/>
    <w:rsid w:val="002E117D"/>
    <w:rsid w:val="002E163A"/>
    <w:rsid w:val="002E1E1E"/>
    <w:rsid w:val="002E249F"/>
    <w:rsid w:val="002E2CB3"/>
    <w:rsid w:val="002E2CC2"/>
    <w:rsid w:val="002E2CEA"/>
    <w:rsid w:val="002E3271"/>
    <w:rsid w:val="002E3F9E"/>
    <w:rsid w:val="002E3FB6"/>
    <w:rsid w:val="002E44F9"/>
    <w:rsid w:val="002E4F22"/>
    <w:rsid w:val="002E50BF"/>
    <w:rsid w:val="002E6085"/>
    <w:rsid w:val="002E6E88"/>
    <w:rsid w:val="002F071E"/>
    <w:rsid w:val="002F0A5C"/>
    <w:rsid w:val="002F0FD2"/>
    <w:rsid w:val="002F14DB"/>
    <w:rsid w:val="002F1782"/>
    <w:rsid w:val="002F1C1F"/>
    <w:rsid w:val="002F2604"/>
    <w:rsid w:val="002F2DF5"/>
    <w:rsid w:val="002F2ED9"/>
    <w:rsid w:val="002F334F"/>
    <w:rsid w:val="002F399C"/>
    <w:rsid w:val="002F419F"/>
    <w:rsid w:val="002F4228"/>
    <w:rsid w:val="002F4516"/>
    <w:rsid w:val="002F4A21"/>
    <w:rsid w:val="002F4A33"/>
    <w:rsid w:val="002F4CF8"/>
    <w:rsid w:val="002F5794"/>
    <w:rsid w:val="002F6687"/>
    <w:rsid w:val="00300FEB"/>
    <w:rsid w:val="00301BEE"/>
    <w:rsid w:val="00301CF1"/>
    <w:rsid w:val="00303297"/>
    <w:rsid w:val="00303F2C"/>
    <w:rsid w:val="003040BA"/>
    <w:rsid w:val="003042EA"/>
    <w:rsid w:val="0030536C"/>
    <w:rsid w:val="00305509"/>
    <w:rsid w:val="00305C1D"/>
    <w:rsid w:val="00306856"/>
    <w:rsid w:val="00306AE6"/>
    <w:rsid w:val="003074EE"/>
    <w:rsid w:val="00307FF2"/>
    <w:rsid w:val="003112D7"/>
    <w:rsid w:val="00311E72"/>
    <w:rsid w:val="00312103"/>
    <w:rsid w:val="003125B3"/>
    <w:rsid w:val="00312AF3"/>
    <w:rsid w:val="00313C96"/>
    <w:rsid w:val="00313D8C"/>
    <w:rsid w:val="003143B5"/>
    <w:rsid w:val="00314AC8"/>
    <w:rsid w:val="00314F4C"/>
    <w:rsid w:val="00315116"/>
    <w:rsid w:val="003155C4"/>
    <w:rsid w:val="003158F6"/>
    <w:rsid w:val="00315DDB"/>
    <w:rsid w:val="00316570"/>
    <w:rsid w:val="0031708F"/>
    <w:rsid w:val="0031710F"/>
    <w:rsid w:val="00317ACF"/>
    <w:rsid w:val="00317F75"/>
    <w:rsid w:val="00317FE6"/>
    <w:rsid w:val="003208CF"/>
    <w:rsid w:val="00320EDD"/>
    <w:rsid w:val="00321D50"/>
    <w:rsid w:val="00323A0C"/>
    <w:rsid w:val="003242CF"/>
    <w:rsid w:val="003249EA"/>
    <w:rsid w:val="00325EF7"/>
    <w:rsid w:val="00326F44"/>
    <w:rsid w:val="0032700C"/>
    <w:rsid w:val="00327409"/>
    <w:rsid w:val="003274A1"/>
    <w:rsid w:val="003278F0"/>
    <w:rsid w:val="00327C17"/>
    <w:rsid w:val="003307FA"/>
    <w:rsid w:val="00331700"/>
    <w:rsid w:val="00331B58"/>
    <w:rsid w:val="00331FE2"/>
    <w:rsid w:val="0033234C"/>
    <w:rsid w:val="003334B1"/>
    <w:rsid w:val="00333C11"/>
    <w:rsid w:val="00333C1C"/>
    <w:rsid w:val="00335968"/>
    <w:rsid w:val="00335E93"/>
    <w:rsid w:val="00336A47"/>
    <w:rsid w:val="00336DE1"/>
    <w:rsid w:val="003378BE"/>
    <w:rsid w:val="00337BFD"/>
    <w:rsid w:val="00337FBB"/>
    <w:rsid w:val="00340183"/>
    <w:rsid w:val="003406AC"/>
    <w:rsid w:val="00340B77"/>
    <w:rsid w:val="00341493"/>
    <w:rsid w:val="00341A61"/>
    <w:rsid w:val="0034276A"/>
    <w:rsid w:val="00342913"/>
    <w:rsid w:val="00342AE9"/>
    <w:rsid w:val="00343310"/>
    <w:rsid w:val="00343AB4"/>
    <w:rsid w:val="00343B2C"/>
    <w:rsid w:val="00343DFF"/>
    <w:rsid w:val="00344131"/>
    <w:rsid w:val="0034460B"/>
    <w:rsid w:val="00345CC1"/>
    <w:rsid w:val="00345D0A"/>
    <w:rsid w:val="00346D36"/>
    <w:rsid w:val="00347672"/>
    <w:rsid w:val="00347848"/>
    <w:rsid w:val="003479EF"/>
    <w:rsid w:val="00347B94"/>
    <w:rsid w:val="0035004D"/>
    <w:rsid w:val="0035034E"/>
    <w:rsid w:val="003510CD"/>
    <w:rsid w:val="0035125B"/>
    <w:rsid w:val="003512C5"/>
    <w:rsid w:val="00352CDA"/>
    <w:rsid w:val="0035314E"/>
    <w:rsid w:val="003533E1"/>
    <w:rsid w:val="003534E3"/>
    <w:rsid w:val="00353568"/>
    <w:rsid w:val="003536AC"/>
    <w:rsid w:val="003538AD"/>
    <w:rsid w:val="00353CAE"/>
    <w:rsid w:val="0035401F"/>
    <w:rsid w:val="003541BB"/>
    <w:rsid w:val="00355069"/>
    <w:rsid w:val="00355251"/>
    <w:rsid w:val="003562FC"/>
    <w:rsid w:val="00356872"/>
    <w:rsid w:val="00356DFE"/>
    <w:rsid w:val="00357378"/>
    <w:rsid w:val="0035737A"/>
    <w:rsid w:val="0035749E"/>
    <w:rsid w:val="00357FDB"/>
    <w:rsid w:val="0036019B"/>
    <w:rsid w:val="00360F3A"/>
    <w:rsid w:val="00361153"/>
    <w:rsid w:val="00361648"/>
    <w:rsid w:val="00361CFD"/>
    <w:rsid w:val="00361F8B"/>
    <w:rsid w:val="00362965"/>
    <w:rsid w:val="003634D2"/>
    <w:rsid w:val="003644D1"/>
    <w:rsid w:val="0036457F"/>
    <w:rsid w:val="00365324"/>
    <w:rsid w:val="00365452"/>
    <w:rsid w:val="0036578F"/>
    <w:rsid w:val="00365D02"/>
    <w:rsid w:val="00365D9B"/>
    <w:rsid w:val="003660CF"/>
    <w:rsid w:val="003706FF"/>
    <w:rsid w:val="00370CBC"/>
    <w:rsid w:val="00372176"/>
    <w:rsid w:val="003741BC"/>
    <w:rsid w:val="0037448D"/>
    <w:rsid w:val="003758C9"/>
    <w:rsid w:val="00376E0C"/>
    <w:rsid w:val="003771D8"/>
    <w:rsid w:val="003777FC"/>
    <w:rsid w:val="00377E26"/>
    <w:rsid w:val="00377FCC"/>
    <w:rsid w:val="003807C5"/>
    <w:rsid w:val="00381295"/>
    <w:rsid w:val="00381A33"/>
    <w:rsid w:val="00382612"/>
    <w:rsid w:val="00382D14"/>
    <w:rsid w:val="00382F7F"/>
    <w:rsid w:val="00382F8A"/>
    <w:rsid w:val="00384202"/>
    <w:rsid w:val="00384B0C"/>
    <w:rsid w:val="00384FF1"/>
    <w:rsid w:val="00385865"/>
    <w:rsid w:val="00385ADA"/>
    <w:rsid w:val="00385E80"/>
    <w:rsid w:val="003860C3"/>
    <w:rsid w:val="00386B82"/>
    <w:rsid w:val="00386BE3"/>
    <w:rsid w:val="0038714E"/>
    <w:rsid w:val="00387767"/>
    <w:rsid w:val="00390C1D"/>
    <w:rsid w:val="00390F50"/>
    <w:rsid w:val="00391063"/>
    <w:rsid w:val="0039255A"/>
    <w:rsid w:val="0039292E"/>
    <w:rsid w:val="003931B9"/>
    <w:rsid w:val="003938A7"/>
    <w:rsid w:val="00394202"/>
    <w:rsid w:val="003947AA"/>
    <w:rsid w:val="00396A98"/>
    <w:rsid w:val="00396AE2"/>
    <w:rsid w:val="00396E0B"/>
    <w:rsid w:val="003A014A"/>
    <w:rsid w:val="003A01E4"/>
    <w:rsid w:val="003A0420"/>
    <w:rsid w:val="003A0490"/>
    <w:rsid w:val="003A0F79"/>
    <w:rsid w:val="003A1C31"/>
    <w:rsid w:val="003A2E2B"/>
    <w:rsid w:val="003A2F37"/>
    <w:rsid w:val="003A39FF"/>
    <w:rsid w:val="003A3C73"/>
    <w:rsid w:val="003A4C12"/>
    <w:rsid w:val="003A4F65"/>
    <w:rsid w:val="003A5851"/>
    <w:rsid w:val="003A5B7A"/>
    <w:rsid w:val="003A6345"/>
    <w:rsid w:val="003A6724"/>
    <w:rsid w:val="003A6DC4"/>
    <w:rsid w:val="003A75C8"/>
    <w:rsid w:val="003A7682"/>
    <w:rsid w:val="003B0161"/>
    <w:rsid w:val="003B050E"/>
    <w:rsid w:val="003B05BB"/>
    <w:rsid w:val="003B072E"/>
    <w:rsid w:val="003B09B3"/>
    <w:rsid w:val="003B0A7C"/>
    <w:rsid w:val="003B16F4"/>
    <w:rsid w:val="003B1AB1"/>
    <w:rsid w:val="003B1F3F"/>
    <w:rsid w:val="003B3B55"/>
    <w:rsid w:val="003B3EE1"/>
    <w:rsid w:val="003B4402"/>
    <w:rsid w:val="003B4839"/>
    <w:rsid w:val="003B53EE"/>
    <w:rsid w:val="003B64E5"/>
    <w:rsid w:val="003B6A4C"/>
    <w:rsid w:val="003B6AE4"/>
    <w:rsid w:val="003B6F53"/>
    <w:rsid w:val="003C01FE"/>
    <w:rsid w:val="003C0905"/>
    <w:rsid w:val="003C1A1B"/>
    <w:rsid w:val="003C476C"/>
    <w:rsid w:val="003C6070"/>
    <w:rsid w:val="003C6418"/>
    <w:rsid w:val="003C6FA4"/>
    <w:rsid w:val="003C701F"/>
    <w:rsid w:val="003C75CA"/>
    <w:rsid w:val="003C797D"/>
    <w:rsid w:val="003C7E65"/>
    <w:rsid w:val="003D0B24"/>
    <w:rsid w:val="003D1343"/>
    <w:rsid w:val="003D1464"/>
    <w:rsid w:val="003D174D"/>
    <w:rsid w:val="003D176B"/>
    <w:rsid w:val="003D25F8"/>
    <w:rsid w:val="003D3211"/>
    <w:rsid w:val="003D3854"/>
    <w:rsid w:val="003D4756"/>
    <w:rsid w:val="003D4871"/>
    <w:rsid w:val="003D48F4"/>
    <w:rsid w:val="003D4EED"/>
    <w:rsid w:val="003D50B9"/>
    <w:rsid w:val="003D552F"/>
    <w:rsid w:val="003D5627"/>
    <w:rsid w:val="003D6869"/>
    <w:rsid w:val="003D7791"/>
    <w:rsid w:val="003D7B50"/>
    <w:rsid w:val="003E0246"/>
    <w:rsid w:val="003E158F"/>
    <w:rsid w:val="003E20B9"/>
    <w:rsid w:val="003E284D"/>
    <w:rsid w:val="003E4DC5"/>
    <w:rsid w:val="003E5287"/>
    <w:rsid w:val="003E5366"/>
    <w:rsid w:val="003E59EB"/>
    <w:rsid w:val="003E6187"/>
    <w:rsid w:val="003E6C51"/>
    <w:rsid w:val="003E7D5B"/>
    <w:rsid w:val="003F0258"/>
    <w:rsid w:val="003F08A3"/>
    <w:rsid w:val="003F115E"/>
    <w:rsid w:val="003F11B0"/>
    <w:rsid w:val="003F167E"/>
    <w:rsid w:val="003F1E91"/>
    <w:rsid w:val="003F20EC"/>
    <w:rsid w:val="003F300B"/>
    <w:rsid w:val="003F397A"/>
    <w:rsid w:val="003F3DA4"/>
    <w:rsid w:val="003F4166"/>
    <w:rsid w:val="003F4477"/>
    <w:rsid w:val="003F5041"/>
    <w:rsid w:val="003F56B7"/>
    <w:rsid w:val="003F5751"/>
    <w:rsid w:val="003F5E4A"/>
    <w:rsid w:val="003F5F07"/>
    <w:rsid w:val="003F62DA"/>
    <w:rsid w:val="003F649C"/>
    <w:rsid w:val="003F6E11"/>
    <w:rsid w:val="003F711E"/>
    <w:rsid w:val="003F7614"/>
    <w:rsid w:val="0040018B"/>
    <w:rsid w:val="00400425"/>
    <w:rsid w:val="004009CA"/>
    <w:rsid w:val="004016DD"/>
    <w:rsid w:val="004019EB"/>
    <w:rsid w:val="00401A6D"/>
    <w:rsid w:val="00401EF8"/>
    <w:rsid w:val="00401F24"/>
    <w:rsid w:val="00401F62"/>
    <w:rsid w:val="004020DE"/>
    <w:rsid w:val="00403CCF"/>
    <w:rsid w:val="004045AF"/>
    <w:rsid w:val="0040565D"/>
    <w:rsid w:val="00405673"/>
    <w:rsid w:val="00405743"/>
    <w:rsid w:val="004078B5"/>
    <w:rsid w:val="00407C1A"/>
    <w:rsid w:val="004100EC"/>
    <w:rsid w:val="004107A7"/>
    <w:rsid w:val="00410984"/>
    <w:rsid w:val="00410C19"/>
    <w:rsid w:val="0041127C"/>
    <w:rsid w:val="004112A1"/>
    <w:rsid w:val="00411EC9"/>
    <w:rsid w:val="00412399"/>
    <w:rsid w:val="00412D73"/>
    <w:rsid w:val="00412E57"/>
    <w:rsid w:val="00413748"/>
    <w:rsid w:val="00414187"/>
    <w:rsid w:val="00414C47"/>
    <w:rsid w:val="00416AAB"/>
    <w:rsid w:val="0041704A"/>
    <w:rsid w:val="004172C9"/>
    <w:rsid w:val="004200DA"/>
    <w:rsid w:val="00421408"/>
    <w:rsid w:val="00421BDF"/>
    <w:rsid w:val="00421C7B"/>
    <w:rsid w:val="00422149"/>
    <w:rsid w:val="00422470"/>
    <w:rsid w:val="0042275B"/>
    <w:rsid w:val="0042275C"/>
    <w:rsid w:val="00423646"/>
    <w:rsid w:val="004249AF"/>
    <w:rsid w:val="004254FF"/>
    <w:rsid w:val="00426D03"/>
    <w:rsid w:val="00426F4E"/>
    <w:rsid w:val="00426F8D"/>
    <w:rsid w:val="00427AEA"/>
    <w:rsid w:val="0043098F"/>
    <w:rsid w:val="00430A34"/>
    <w:rsid w:val="00430AC7"/>
    <w:rsid w:val="00430C09"/>
    <w:rsid w:val="004316F8"/>
    <w:rsid w:val="00431C17"/>
    <w:rsid w:val="004324EB"/>
    <w:rsid w:val="0043284C"/>
    <w:rsid w:val="00432BB4"/>
    <w:rsid w:val="00432FC5"/>
    <w:rsid w:val="004337CD"/>
    <w:rsid w:val="00433E77"/>
    <w:rsid w:val="00434378"/>
    <w:rsid w:val="004353D8"/>
    <w:rsid w:val="004355DD"/>
    <w:rsid w:val="00436010"/>
    <w:rsid w:val="004360C3"/>
    <w:rsid w:val="00436287"/>
    <w:rsid w:val="0043694E"/>
    <w:rsid w:val="00436DC8"/>
    <w:rsid w:val="00437DA2"/>
    <w:rsid w:val="004401A1"/>
    <w:rsid w:val="00440AB6"/>
    <w:rsid w:val="00440BAE"/>
    <w:rsid w:val="00440C9E"/>
    <w:rsid w:val="00441D70"/>
    <w:rsid w:val="00441DBD"/>
    <w:rsid w:val="0044252E"/>
    <w:rsid w:val="00442A0E"/>
    <w:rsid w:val="00442FAC"/>
    <w:rsid w:val="00443340"/>
    <w:rsid w:val="0044335B"/>
    <w:rsid w:val="0044343C"/>
    <w:rsid w:val="00443E10"/>
    <w:rsid w:val="004443C2"/>
    <w:rsid w:val="00444DBA"/>
    <w:rsid w:val="00444E85"/>
    <w:rsid w:val="00445BBC"/>
    <w:rsid w:val="00445DC3"/>
    <w:rsid w:val="004464C3"/>
    <w:rsid w:val="00447254"/>
    <w:rsid w:val="0044750A"/>
    <w:rsid w:val="004475A3"/>
    <w:rsid w:val="00450387"/>
    <w:rsid w:val="00451461"/>
    <w:rsid w:val="00451B5B"/>
    <w:rsid w:val="00451C53"/>
    <w:rsid w:val="00451F01"/>
    <w:rsid w:val="0045204C"/>
    <w:rsid w:val="00452B59"/>
    <w:rsid w:val="004537BF"/>
    <w:rsid w:val="00454F13"/>
    <w:rsid w:val="00455D05"/>
    <w:rsid w:val="00456256"/>
    <w:rsid w:val="00456A05"/>
    <w:rsid w:val="0045715A"/>
    <w:rsid w:val="00457346"/>
    <w:rsid w:val="004601BF"/>
    <w:rsid w:val="0046035D"/>
    <w:rsid w:val="004606DE"/>
    <w:rsid w:val="0046073F"/>
    <w:rsid w:val="00460795"/>
    <w:rsid w:val="0046097B"/>
    <w:rsid w:val="00461006"/>
    <w:rsid w:val="00461604"/>
    <w:rsid w:val="00461EC2"/>
    <w:rsid w:val="0046241F"/>
    <w:rsid w:val="004630A8"/>
    <w:rsid w:val="00463900"/>
    <w:rsid w:val="0046417C"/>
    <w:rsid w:val="0046426E"/>
    <w:rsid w:val="00464680"/>
    <w:rsid w:val="00464ABF"/>
    <w:rsid w:val="0046532A"/>
    <w:rsid w:val="00465757"/>
    <w:rsid w:val="00466458"/>
    <w:rsid w:val="004670D1"/>
    <w:rsid w:val="00467B05"/>
    <w:rsid w:val="00467D94"/>
    <w:rsid w:val="0047309E"/>
    <w:rsid w:val="0047323A"/>
    <w:rsid w:val="004732D6"/>
    <w:rsid w:val="00473DBD"/>
    <w:rsid w:val="00473E30"/>
    <w:rsid w:val="0047417C"/>
    <w:rsid w:val="00474E53"/>
    <w:rsid w:val="0047593D"/>
    <w:rsid w:val="004773C8"/>
    <w:rsid w:val="00480247"/>
    <w:rsid w:val="004809F5"/>
    <w:rsid w:val="00480BA5"/>
    <w:rsid w:val="00480EFA"/>
    <w:rsid w:val="00481CEA"/>
    <w:rsid w:val="00482D45"/>
    <w:rsid w:val="00482DAC"/>
    <w:rsid w:val="004833E1"/>
    <w:rsid w:val="004834BC"/>
    <w:rsid w:val="004837A3"/>
    <w:rsid w:val="00483DCF"/>
    <w:rsid w:val="004845BA"/>
    <w:rsid w:val="00485F3E"/>
    <w:rsid w:val="00485FC7"/>
    <w:rsid w:val="00486699"/>
    <w:rsid w:val="00486F5E"/>
    <w:rsid w:val="00487749"/>
    <w:rsid w:val="00487887"/>
    <w:rsid w:val="00487C13"/>
    <w:rsid w:val="004907B8"/>
    <w:rsid w:val="0049143B"/>
    <w:rsid w:val="00491893"/>
    <w:rsid w:val="004918D1"/>
    <w:rsid w:val="00491AA0"/>
    <w:rsid w:val="00491DE5"/>
    <w:rsid w:val="0049241F"/>
    <w:rsid w:val="00492F76"/>
    <w:rsid w:val="00493F0F"/>
    <w:rsid w:val="00494335"/>
    <w:rsid w:val="00494B7A"/>
    <w:rsid w:val="00495031"/>
    <w:rsid w:val="004953E3"/>
    <w:rsid w:val="00495A90"/>
    <w:rsid w:val="00495CCD"/>
    <w:rsid w:val="00495EC2"/>
    <w:rsid w:val="00496150"/>
    <w:rsid w:val="00496C89"/>
    <w:rsid w:val="00496E40"/>
    <w:rsid w:val="00496EB6"/>
    <w:rsid w:val="004976CA"/>
    <w:rsid w:val="004A0C92"/>
    <w:rsid w:val="004A2C90"/>
    <w:rsid w:val="004A4853"/>
    <w:rsid w:val="004A4876"/>
    <w:rsid w:val="004A4B38"/>
    <w:rsid w:val="004A5424"/>
    <w:rsid w:val="004A576F"/>
    <w:rsid w:val="004A5A3E"/>
    <w:rsid w:val="004A6612"/>
    <w:rsid w:val="004A6844"/>
    <w:rsid w:val="004A68CD"/>
    <w:rsid w:val="004A6C93"/>
    <w:rsid w:val="004A6CC7"/>
    <w:rsid w:val="004A6F9B"/>
    <w:rsid w:val="004A712D"/>
    <w:rsid w:val="004A749D"/>
    <w:rsid w:val="004A7762"/>
    <w:rsid w:val="004A7907"/>
    <w:rsid w:val="004A7CF9"/>
    <w:rsid w:val="004B07F7"/>
    <w:rsid w:val="004B20FD"/>
    <w:rsid w:val="004B217A"/>
    <w:rsid w:val="004B3047"/>
    <w:rsid w:val="004B377C"/>
    <w:rsid w:val="004B3C7A"/>
    <w:rsid w:val="004B3E07"/>
    <w:rsid w:val="004B3FE5"/>
    <w:rsid w:val="004B43B4"/>
    <w:rsid w:val="004B55D4"/>
    <w:rsid w:val="004B5ADA"/>
    <w:rsid w:val="004B6D4D"/>
    <w:rsid w:val="004B7833"/>
    <w:rsid w:val="004C0400"/>
    <w:rsid w:val="004C044E"/>
    <w:rsid w:val="004C0552"/>
    <w:rsid w:val="004C0CF6"/>
    <w:rsid w:val="004C0E81"/>
    <w:rsid w:val="004C121A"/>
    <w:rsid w:val="004C253E"/>
    <w:rsid w:val="004C43B1"/>
    <w:rsid w:val="004C44F8"/>
    <w:rsid w:val="004C4C03"/>
    <w:rsid w:val="004C4C46"/>
    <w:rsid w:val="004C605A"/>
    <w:rsid w:val="004C66ED"/>
    <w:rsid w:val="004C6BE8"/>
    <w:rsid w:val="004C6EE9"/>
    <w:rsid w:val="004C7688"/>
    <w:rsid w:val="004C788F"/>
    <w:rsid w:val="004D16E4"/>
    <w:rsid w:val="004D1935"/>
    <w:rsid w:val="004D1D34"/>
    <w:rsid w:val="004D42FA"/>
    <w:rsid w:val="004D4378"/>
    <w:rsid w:val="004D46AD"/>
    <w:rsid w:val="004D4CC2"/>
    <w:rsid w:val="004D6756"/>
    <w:rsid w:val="004D6770"/>
    <w:rsid w:val="004D7906"/>
    <w:rsid w:val="004D7AF1"/>
    <w:rsid w:val="004E02FC"/>
    <w:rsid w:val="004E038C"/>
    <w:rsid w:val="004E29BF"/>
    <w:rsid w:val="004E35C9"/>
    <w:rsid w:val="004E3BF0"/>
    <w:rsid w:val="004E3F11"/>
    <w:rsid w:val="004E4182"/>
    <w:rsid w:val="004E4559"/>
    <w:rsid w:val="004E70E1"/>
    <w:rsid w:val="004E7EBD"/>
    <w:rsid w:val="004E7F51"/>
    <w:rsid w:val="004F1E88"/>
    <w:rsid w:val="004F256D"/>
    <w:rsid w:val="004F2615"/>
    <w:rsid w:val="004F3283"/>
    <w:rsid w:val="004F3D91"/>
    <w:rsid w:val="004F3E60"/>
    <w:rsid w:val="004F4D35"/>
    <w:rsid w:val="004F4DF6"/>
    <w:rsid w:val="004F4E22"/>
    <w:rsid w:val="004F4E6C"/>
    <w:rsid w:val="004F5622"/>
    <w:rsid w:val="004F62A0"/>
    <w:rsid w:val="004F62DA"/>
    <w:rsid w:val="004F6CD7"/>
    <w:rsid w:val="004F6F3C"/>
    <w:rsid w:val="004F71CD"/>
    <w:rsid w:val="005003AC"/>
    <w:rsid w:val="00500588"/>
    <w:rsid w:val="005007B5"/>
    <w:rsid w:val="005014EE"/>
    <w:rsid w:val="00502800"/>
    <w:rsid w:val="00502A3A"/>
    <w:rsid w:val="00502D96"/>
    <w:rsid w:val="005034D5"/>
    <w:rsid w:val="00504D2E"/>
    <w:rsid w:val="00505A55"/>
    <w:rsid w:val="00505EE6"/>
    <w:rsid w:val="0050617B"/>
    <w:rsid w:val="0050637C"/>
    <w:rsid w:val="00507363"/>
    <w:rsid w:val="00510654"/>
    <w:rsid w:val="00510CF2"/>
    <w:rsid w:val="00512256"/>
    <w:rsid w:val="00512521"/>
    <w:rsid w:val="005131CE"/>
    <w:rsid w:val="0051360A"/>
    <w:rsid w:val="00513880"/>
    <w:rsid w:val="0051447C"/>
    <w:rsid w:val="0051471F"/>
    <w:rsid w:val="00515112"/>
    <w:rsid w:val="0051560D"/>
    <w:rsid w:val="00515EE3"/>
    <w:rsid w:val="00516053"/>
    <w:rsid w:val="005167EE"/>
    <w:rsid w:val="00516801"/>
    <w:rsid w:val="00516990"/>
    <w:rsid w:val="00516C62"/>
    <w:rsid w:val="00517CFD"/>
    <w:rsid w:val="00520D58"/>
    <w:rsid w:val="00521F72"/>
    <w:rsid w:val="00521FA3"/>
    <w:rsid w:val="00522106"/>
    <w:rsid w:val="00522A28"/>
    <w:rsid w:val="00523C21"/>
    <w:rsid w:val="00523F6F"/>
    <w:rsid w:val="00524621"/>
    <w:rsid w:val="00525728"/>
    <w:rsid w:val="00525927"/>
    <w:rsid w:val="00525A0E"/>
    <w:rsid w:val="00525CC2"/>
    <w:rsid w:val="00525F17"/>
    <w:rsid w:val="005270EB"/>
    <w:rsid w:val="00527BB0"/>
    <w:rsid w:val="005302CB"/>
    <w:rsid w:val="00530426"/>
    <w:rsid w:val="00531436"/>
    <w:rsid w:val="00533F34"/>
    <w:rsid w:val="005354AF"/>
    <w:rsid w:val="00535944"/>
    <w:rsid w:val="00536A12"/>
    <w:rsid w:val="00536AF5"/>
    <w:rsid w:val="00537296"/>
    <w:rsid w:val="0053743B"/>
    <w:rsid w:val="00537AEA"/>
    <w:rsid w:val="00537C1D"/>
    <w:rsid w:val="00540AE9"/>
    <w:rsid w:val="00540F1C"/>
    <w:rsid w:val="00540FBF"/>
    <w:rsid w:val="00541515"/>
    <w:rsid w:val="00541A69"/>
    <w:rsid w:val="005422A9"/>
    <w:rsid w:val="00542945"/>
    <w:rsid w:val="00543425"/>
    <w:rsid w:val="00543A26"/>
    <w:rsid w:val="00543BF5"/>
    <w:rsid w:val="00543DD8"/>
    <w:rsid w:val="0054406C"/>
    <w:rsid w:val="005440BA"/>
    <w:rsid w:val="0054502D"/>
    <w:rsid w:val="00545212"/>
    <w:rsid w:val="00545737"/>
    <w:rsid w:val="00545B07"/>
    <w:rsid w:val="00545E51"/>
    <w:rsid w:val="0054606D"/>
    <w:rsid w:val="00546B64"/>
    <w:rsid w:val="00547F93"/>
    <w:rsid w:val="00547F98"/>
    <w:rsid w:val="0055020D"/>
    <w:rsid w:val="00550A6F"/>
    <w:rsid w:val="00550C50"/>
    <w:rsid w:val="00551455"/>
    <w:rsid w:val="005519C8"/>
    <w:rsid w:val="00552C5A"/>
    <w:rsid w:val="00552C73"/>
    <w:rsid w:val="00553133"/>
    <w:rsid w:val="00554BED"/>
    <w:rsid w:val="005553C4"/>
    <w:rsid w:val="00555413"/>
    <w:rsid w:val="005559D2"/>
    <w:rsid w:val="005563F7"/>
    <w:rsid w:val="005569DD"/>
    <w:rsid w:val="00557469"/>
    <w:rsid w:val="005578A7"/>
    <w:rsid w:val="00557EDD"/>
    <w:rsid w:val="0056093D"/>
    <w:rsid w:val="00560FAA"/>
    <w:rsid w:val="00561020"/>
    <w:rsid w:val="00561520"/>
    <w:rsid w:val="00561C80"/>
    <w:rsid w:val="00562A4C"/>
    <w:rsid w:val="00563210"/>
    <w:rsid w:val="005639B1"/>
    <w:rsid w:val="0056400C"/>
    <w:rsid w:val="005641E4"/>
    <w:rsid w:val="005643AE"/>
    <w:rsid w:val="00564C9E"/>
    <w:rsid w:val="0056507B"/>
    <w:rsid w:val="00565C66"/>
    <w:rsid w:val="005662D2"/>
    <w:rsid w:val="005664B3"/>
    <w:rsid w:val="00566793"/>
    <w:rsid w:val="00566EC4"/>
    <w:rsid w:val="00567165"/>
    <w:rsid w:val="00571051"/>
    <w:rsid w:val="0057105B"/>
    <w:rsid w:val="005710B7"/>
    <w:rsid w:val="00571A67"/>
    <w:rsid w:val="00571F69"/>
    <w:rsid w:val="0057363E"/>
    <w:rsid w:val="00573827"/>
    <w:rsid w:val="005738DE"/>
    <w:rsid w:val="005741AD"/>
    <w:rsid w:val="00574496"/>
    <w:rsid w:val="0057572D"/>
    <w:rsid w:val="00575F7A"/>
    <w:rsid w:val="005761FD"/>
    <w:rsid w:val="00576C49"/>
    <w:rsid w:val="00577FC4"/>
    <w:rsid w:val="0058053B"/>
    <w:rsid w:val="005806A5"/>
    <w:rsid w:val="00580749"/>
    <w:rsid w:val="00580CFA"/>
    <w:rsid w:val="0058108B"/>
    <w:rsid w:val="005826A8"/>
    <w:rsid w:val="005828AD"/>
    <w:rsid w:val="00583064"/>
    <w:rsid w:val="00583870"/>
    <w:rsid w:val="005849FC"/>
    <w:rsid w:val="00584C6F"/>
    <w:rsid w:val="00584DBD"/>
    <w:rsid w:val="00584EDF"/>
    <w:rsid w:val="00585AE0"/>
    <w:rsid w:val="00585C08"/>
    <w:rsid w:val="00585DE9"/>
    <w:rsid w:val="00586443"/>
    <w:rsid w:val="00586717"/>
    <w:rsid w:val="00586740"/>
    <w:rsid w:val="00586787"/>
    <w:rsid w:val="005872B3"/>
    <w:rsid w:val="005872E5"/>
    <w:rsid w:val="0058756D"/>
    <w:rsid w:val="00587A17"/>
    <w:rsid w:val="00587CA1"/>
    <w:rsid w:val="00591007"/>
    <w:rsid w:val="0059117C"/>
    <w:rsid w:val="00591E37"/>
    <w:rsid w:val="005926C2"/>
    <w:rsid w:val="005929B4"/>
    <w:rsid w:val="00593166"/>
    <w:rsid w:val="00593993"/>
    <w:rsid w:val="005939F7"/>
    <w:rsid w:val="00593BFD"/>
    <w:rsid w:val="00593C35"/>
    <w:rsid w:val="00594184"/>
    <w:rsid w:val="00595401"/>
    <w:rsid w:val="00595D7C"/>
    <w:rsid w:val="00595DB7"/>
    <w:rsid w:val="00596963"/>
    <w:rsid w:val="00597AEA"/>
    <w:rsid w:val="00597CBC"/>
    <w:rsid w:val="005A0AB9"/>
    <w:rsid w:val="005A0F74"/>
    <w:rsid w:val="005A13B4"/>
    <w:rsid w:val="005A2774"/>
    <w:rsid w:val="005A2FA9"/>
    <w:rsid w:val="005A2FEA"/>
    <w:rsid w:val="005A311D"/>
    <w:rsid w:val="005A3A70"/>
    <w:rsid w:val="005A3F7C"/>
    <w:rsid w:val="005A592E"/>
    <w:rsid w:val="005A6021"/>
    <w:rsid w:val="005A611A"/>
    <w:rsid w:val="005A68C1"/>
    <w:rsid w:val="005A7035"/>
    <w:rsid w:val="005A7C6E"/>
    <w:rsid w:val="005B06C1"/>
    <w:rsid w:val="005B0F6C"/>
    <w:rsid w:val="005B12BD"/>
    <w:rsid w:val="005B13C0"/>
    <w:rsid w:val="005B140D"/>
    <w:rsid w:val="005B2304"/>
    <w:rsid w:val="005B29AF"/>
    <w:rsid w:val="005B36B6"/>
    <w:rsid w:val="005B3A70"/>
    <w:rsid w:val="005B46CA"/>
    <w:rsid w:val="005B5BDA"/>
    <w:rsid w:val="005B66FE"/>
    <w:rsid w:val="005B7379"/>
    <w:rsid w:val="005B79AF"/>
    <w:rsid w:val="005B7DE7"/>
    <w:rsid w:val="005C011B"/>
    <w:rsid w:val="005C0583"/>
    <w:rsid w:val="005C0DCE"/>
    <w:rsid w:val="005C171E"/>
    <w:rsid w:val="005C1A73"/>
    <w:rsid w:val="005C20C4"/>
    <w:rsid w:val="005C2653"/>
    <w:rsid w:val="005C2AB7"/>
    <w:rsid w:val="005C33F8"/>
    <w:rsid w:val="005C3404"/>
    <w:rsid w:val="005C3AED"/>
    <w:rsid w:val="005C4399"/>
    <w:rsid w:val="005C462D"/>
    <w:rsid w:val="005C4DB6"/>
    <w:rsid w:val="005C4E9E"/>
    <w:rsid w:val="005C5F43"/>
    <w:rsid w:val="005C683D"/>
    <w:rsid w:val="005C6EB1"/>
    <w:rsid w:val="005C70A1"/>
    <w:rsid w:val="005C743E"/>
    <w:rsid w:val="005D01B9"/>
    <w:rsid w:val="005D025B"/>
    <w:rsid w:val="005D04F6"/>
    <w:rsid w:val="005D0667"/>
    <w:rsid w:val="005D12D9"/>
    <w:rsid w:val="005D178D"/>
    <w:rsid w:val="005D2146"/>
    <w:rsid w:val="005D2FFF"/>
    <w:rsid w:val="005D3821"/>
    <w:rsid w:val="005D42AB"/>
    <w:rsid w:val="005D433E"/>
    <w:rsid w:val="005D58B0"/>
    <w:rsid w:val="005D6B6A"/>
    <w:rsid w:val="005D7055"/>
    <w:rsid w:val="005D72F7"/>
    <w:rsid w:val="005D76B5"/>
    <w:rsid w:val="005D7BA5"/>
    <w:rsid w:val="005D7E79"/>
    <w:rsid w:val="005E0708"/>
    <w:rsid w:val="005E1051"/>
    <w:rsid w:val="005E19D9"/>
    <w:rsid w:val="005E1F02"/>
    <w:rsid w:val="005E1F64"/>
    <w:rsid w:val="005E28AC"/>
    <w:rsid w:val="005E388E"/>
    <w:rsid w:val="005E44FC"/>
    <w:rsid w:val="005E4782"/>
    <w:rsid w:val="005E5488"/>
    <w:rsid w:val="005E595D"/>
    <w:rsid w:val="005E5CC8"/>
    <w:rsid w:val="005E62FC"/>
    <w:rsid w:val="005E6E53"/>
    <w:rsid w:val="005E731C"/>
    <w:rsid w:val="005E7DEB"/>
    <w:rsid w:val="005F0274"/>
    <w:rsid w:val="005F059E"/>
    <w:rsid w:val="005F1B71"/>
    <w:rsid w:val="005F20FC"/>
    <w:rsid w:val="005F25EF"/>
    <w:rsid w:val="005F27D2"/>
    <w:rsid w:val="005F29EC"/>
    <w:rsid w:val="005F2A7F"/>
    <w:rsid w:val="005F2C61"/>
    <w:rsid w:val="005F355E"/>
    <w:rsid w:val="005F35CE"/>
    <w:rsid w:val="005F3CEF"/>
    <w:rsid w:val="005F4780"/>
    <w:rsid w:val="005F4A5A"/>
    <w:rsid w:val="005F4D02"/>
    <w:rsid w:val="005F54FE"/>
    <w:rsid w:val="005F58C5"/>
    <w:rsid w:val="005F5DF1"/>
    <w:rsid w:val="005F6542"/>
    <w:rsid w:val="005F6852"/>
    <w:rsid w:val="005F7788"/>
    <w:rsid w:val="00600AB2"/>
    <w:rsid w:val="00600AD4"/>
    <w:rsid w:val="00600BB7"/>
    <w:rsid w:val="006023E8"/>
    <w:rsid w:val="006024B1"/>
    <w:rsid w:val="0060286A"/>
    <w:rsid w:val="00603106"/>
    <w:rsid w:val="006032AD"/>
    <w:rsid w:val="00603DC4"/>
    <w:rsid w:val="006042B0"/>
    <w:rsid w:val="006048A2"/>
    <w:rsid w:val="006051CA"/>
    <w:rsid w:val="00605823"/>
    <w:rsid w:val="0060593C"/>
    <w:rsid w:val="00606493"/>
    <w:rsid w:val="00607734"/>
    <w:rsid w:val="00607B97"/>
    <w:rsid w:val="00607F43"/>
    <w:rsid w:val="006107B6"/>
    <w:rsid w:val="0061171F"/>
    <w:rsid w:val="00611CD5"/>
    <w:rsid w:val="00611F0B"/>
    <w:rsid w:val="00612019"/>
    <w:rsid w:val="00613268"/>
    <w:rsid w:val="00613A84"/>
    <w:rsid w:val="00614451"/>
    <w:rsid w:val="006144F0"/>
    <w:rsid w:val="00614A27"/>
    <w:rsid w:val="00614CC1"/>
    <w:rsid w:val="006151E1"/>
    <w:rsid w:val="006159AB"/>
    <w:rsid w:val="00616167"/>
    <w:rsid w:val="0061669C"/>
    <w:rsid w:val="006204EF"/>
    <w:rsid w:val="00620D02"/>
    <w:rsid w:val="00621012"/>
    <w:rsid w:val="006212DF"/>
    <w:rsid w:val="00621614"/>
    <w:rsid w:val="00621627"/>
    <w:rsid w:val="00622D44"/>
    <w:rsid w:val="00623C69"/>
    <w:rsid w:val="00623E35"/>
    <w:rsid w:val="00624FD7"/>
    <w:rsid w:val="006262DC"/>
    <w:rsid w:val="00626716"/>
    <w:rsid w:val="00626A8C"/>
    <w:rsid w:val="006306F3"/>
    <w:rsid w:val="006314F8"/>
    <w:rsid w:val="0063153C"/>
    <w:rsid w:val="00631D1E"/>
    <w:rsid w:val="00631F96"/>
    <w:rsid w:val="0063289B"/>
    <w:rsid w:val="00632CAF"/>
    <w:rsid w:val="00632EA9"/>
    <w:rsid w:val="006336FB"/>
    <w:rsid w:val="00634022"/>
    <w:rsid w:val="00634F9D"/>
    <w:rsid w:val="006350E8"/>
    <w:rsid w:val="00636B49"/>
    <w:rsid w:val="00637827"/>
    <w:rsid w:val="0064092B"/>
    <w:rsid w:val="00640F8C"/>
    <w:rsid w:val="00640FBF"/>
    <w:rsid w:val="0064243F"/>
    <w:rsid w:val="00642D6B"/>
    <w:rsid w:val="00642D8B"/>
    <w:rsid w:val="00643CC3"/>
    <w:rsid w:val="00643E41"/>
    <w:rsid w:val="006442E8"/>
    <w:rsid w:val="00644A23"/>
    <w:rsid w:val="00644D6F"/>
    <w:rsid w:val="00644E0D"/>
    <w:rsid w:val="00644F12"/>
    <w:rsid w:val="006455BD"/>
    <w:rsid w:val="006459FC"/>
    <w:rsid w:val="0064612A"/>
    <w:rsid w:val="006461D2"/>
    <w:rsid w:val="00646AE5"/>
    <w:rsid w:val="00646E13"/>
    <w:rsid w:val="006475FD"/>
    <w:rsid w:val="0065030F"/>
    <w:rsid w:val="00650383"/>
    <w:rsid w:val="00650ED9"/>
    <w:rsid w:val="00652820"/>
    <w:rsid w:val="006529E4"/>
    <w:rsid w:val="00654B16"/>
    <w:rsid w:val="00654C70"/>
    <w:rsid w:val="00654CAD"/>
    <w:rsid w:val="00654FF0"/>
    <w:rsid w:val="00655266"/>
    <w:rsid w:val="0065553F"/>
    <w:rsid w:val="006560D3"/>
    <w:rsid w:val="00656344"/>
    <w:rsid w:val="00656B14"/>
    <w:rsid w:val="00660A5C"/>
    <w:rsid w:val="00661206"/>
    <w:rsid w:val="00661ACD"/>
    <w:rsid w:val="0066264D"/>
    <w:rsid w:val="00662FC6"/>
    <w:rsid w:val="00663BF1"/>
    <w:rsid w:val="00663CEC"/>
    <w:rsid w:val="00663D0F"/>
    <w:rsid w:val="0066573F"/>
    <w:rsid w:val="006659D4"/>
    <w:rsid w:val="006664FA"/>
    <w:rsid w:val="00666B99"/>
    <w:rsid w:val="0066793D"/>
    <w:rsid w:val="006703F4"/>
    <w:rsid w:val="006704DC"/>
    <w:rsid w:val="00670672"/>
    <w:rsid w:val="006707AA"/>
    <w:rsid w:val="006709C0"/>
    <w:rsid w:val="00670E36"/>
    <w:rsid w:val="00670E61"/>
    <w:rsid w:val="00671366"/>
    <w:rsid w:val="006713CA"/>
    <w:rsid w:val="0067164F"/>
    <w:rsid w:val="00671DFB"/>
    <w:rsid w:val="00671F9A"/>
    <w:rsid w:val="00671FA0"/>
    <w:rsid w:val="00672612"/>
    <w:rsid w:val="00672940"/>
    <w:rsid w:val="00672E35"/>
    <w:rsid w:val="00673326"/>
    <w:rsid w:val="0067375D"/>
    <w:rsid w:val="00673A53"/>
    <w:rsid w:val="00674E01"/>
    <w:rsid w:val="00676818"/>
    <w:rsid w:val="00677ADC"/>
    <w:rsid w:val="00677F26"/>
    <w:rsid w:val="00680AB3"/>
    <w:rsid w:val="00680B19"/>
    <w:rsid w:val="006819C9"/>
    <w:rsid w:val="00681EB1"/>
    <w:rsid w:val="0068215A"/>
    <w:rsid w:val="00682AF8"/>
    <w:rsid w:val="00682FB8"/>
    <w:rsid w:val="006837FA"/>
    <w:rsid w:val="00683AB7"/>
    <w:rsid w:val="00683CDE"/>
    <w:rsid w:val="00685566"/>
    <w:rsid w:val="00685C5B"/>
    <w:rsid w:val="00685D1A"/>
    <w:rsid w:val="0068643F"/>
    <w:rsid w:val="00686781"/>
    <w:rsid w:val="0068760B"/>
    <w:rsid w:val="00687636"/>
    <w:rsid w:val="006877C6"/>
    <w:rsid w:val="00690853"/>
    <w:rsid w:val="00690941"/>
    <w:rsid w:val="00690A68"/>
    <w:rsid w:val="00691464"/>
    <w:rsid w:val="00692B7F"/>
    <w:rsid w:val="00693080"/>
    <w:rsid w:val="006933E8"/>
    <w:rsid w:val="00693450"/>
    <w:rsid w:val="00693FA4"/>
    <w:rsid w:val="00694E07"/>
    <w:rsid w:val="0069526B"/>
    <w:rsid w:val="00696821"/>
    <w:rsid w:val="00696A7C"/>
    <w:rsid w:val="006A108B"/>
    <w:rsid w:val="006A19C8"/>
    <w:rsid w:val="006A1B36"/>
    <w:rsid w:val="006A1FDE"/>
    <w:rsid w:val="006A26AB"/>
    <w:rsid w:val="006A32F7"/>
    <w:rsid w:val="006A3975"/>
    <w:rsid w:val="006A4DC0"/>
    <w:rsid w:val="006A5C49"/>
    <w:rsid w:val="006A5CA7"/>
    <w:rsid w:val="006A604B"/>
    <w:rsid w:val="006A638A"/>
    <w:rsid w:val="006A71F3"/>
    <w:rsid w:val="006A7833"/>
    <w:rsid w:val="006A7A8E"/>
    <w:rsid w:val="006B030A"/>
    <w:rsid w:val="006B04E9"/>
    <w:rsid w:val="006B0988"/>
    <w:rsid w:val="006B1574"/>
    <w:rsid w:val="006B2558"/>
    <w:rsid w:val="006B2571"/>
    <w:rsid w:val="006B25E6"/>
    <w:rsid w:val="006B2955"/>
    <w:rsid w:val="006B29FB"/>
    <w:rsid w:val="006B2A9F"/>
    <w:rsid w:val="006B33C7"/>
    <w:rsid w:val="006B3E75"/>
    <w:rsid w:val="006B4774"/>
    <w:rsid w:val="006B4BB0"/>
    <w:rsid w:val="006B4E86"/>
    <w:rsid w:val="006B4F88"/>
    <w:rsid w:val="006B5890"/>
    <w:rsid w:val="006B5922"/>
    <w:rsid w:val="006B5C09"/>
    <w:rsid w:val="006B5CC3"/>
    <w:rsid w:val="006B5E82"/>
    <w:rsid w:val="006B6233"/>
    <w:rsid w:val="006B7028"/>
    <w:rsid w:val="006B7169"/>
    <w:rsid w:val="006B79C6"/>
    <w:rsid w:val="006C0279"/>
    <w:rsid w:val="006C0A55"/>
    <w:rsid w:val="006C0ECC"/>
    <w:rsid w:val="006C12FF"/>
    <w:rsid w:val="006C23B6"/>
    <w:rsid w:val="006C35B0"/>
    <w:rsid w:val="006C4600"/>
    <w:rsid w:val="006C4DEF"/>
    <w:rsid w:val="006C5B35"/>
    <w:rsid w:val="006C6AF4"/>
    <w:rsid w:val="006C715C"/>
    <w:rsid w:val="006C749C"/>
    <w:rsid w:val="006D0031"/>
    <w:rsid w:val="006D01CD"/>
    <w:rsid w:val="006D0595"/>
    <w:rsid w:val="006D2100"/>
    <w:rsid w:val="006D261A"/>
    <w:rsid w:val="006D4225"/>
    <w:rsid w:val="006D424F"/>
    <w:rsid w:val="006D536B"/>
    <w:rsid w:val="006D5926"/>
    <w:rsid w:val="006D62B5"/>
    <w:rsid w:val="006D6F32"/>
    <w:rsid w:val="006D718C"/>
    <w:rsid w:val="006D7B9C"/>
    <w:rsid w:val="006E061B"/>
    <w:rsid w:val="006E07C5"/>
    <w:rsid w:val="006E08CA"/>
    <w:rsid w:val="006E1E35"/>
    <w:rsid w:val="006E21A9"/>
    <w:rsid w:val="006E22BF"/>
    <w:rsid w:val="006E3212"/>
    <w:rsid w:val="006E3956"/>
    <w:rsid w:val="006E3B1F"/>
    <w:rsid w:val="006E42BA"/>
    <w:rsid w:val="006E45DC"/>
    <w:rsid w:val="006E4C46"/>
    <w:rsid w:val="006E5210"/>
    <w:rsid w:val="006E60AC"/>
    <w:rsid w:val="006E61A6"/>
    <w:rsid w:val="006E61AA"/>
    <w:rsid w:val="006E70C9"/>
    <w:rsid w:val="006E711E"/>
    <w:rsid w:val="006E7A27"/>
    <w:rsid w:val="006F00A1"/>
    <w:rsid w:val="006F0123"/>
    <w:rsid w:val="006F014C"/>
    <w:rsid w:val="006F0184"/>
    <w:rsid w:val="006F1DF3"/>
    <w:rsid w:val="006F1F28"/>
    <w:rsid w:val="006F2838"/>
    <w:rsid w:val="006F2926"/>
    <w:rsid w:val="006F33FB"/>
    <w:rsid w:val="006F34A3"/>
    <w:rsid w:val="006F3769"/>
    <w:rsid w:val="006F39D4"/>
    <w:rsid w:val="006F5421"/>
    <w:rsid w:val="006F553C"/>
    <w:rsid w:val="006F5988"/>
    <w:rsid w:val="006F619D"/>
    <w:rsid w:val="006F724D"/>
    <w:rsid w:val="006F740D"/>
    <w:rsid w:val="006F7908"/>
    <w:rsid w:val="007006E3"/>
    <w:rsid w:val="00700DC5"/>
    <w:rsid w:val="00701DE9"/>
    <w:rsid w:val="007021C4"/>
    <w:rsid w:val="0070266B"/>
    <w:rsid w:val="00703681"/>
    <w:rsid w:val="00703BAC"/>
    <w:rsid w:val="007040B7"/>
    <w:rsid w:val="00704681"/>
    <w:rsid w:val="00704C70"/>
    <w:rsid w:val="00704FC9"/>
    <w:rsid w:val="007052EB"/>
    <w:rsid w:val="00706687"/>
    <w:rsid w:val="0070763C"/>
    <w:rsid w:val="00707837"/>
    <w:rsid w:val="00707908"/>
    <w:rsid w:val="00707FD0"/>
    <w:rsid w:val="007106C1"/>
    <w:rsid w:val="00710985"/>
    <w:rsid w:val="007112B9"/>
    <w:rsid w:val="00711349"/>
    <w:rsid w:val="007114B1"/>
    <w:rsid w:val="007118E3"/>
    <w:rsid w:val="007126A7"/>
    <w:rsid w:val="007143F7"/>
    <w:rsid w:val="00714E15"/>
    <w:rsid w:val="00716AF2"/>
    <w:rsid w:val="00716B10"/>
    <w:rsid w:val="00716C10"/>
    <w:rsid w:val="00717023"/>
    <w:rsid w:val="00717355"/>
    <w:rsid w:val="007178F0"/>
    <w:rsid w:val="007179F0"/>
    <w:rsid w:val="00720471"/>
    <w:rsid w:val="00722144"/>
    <w:rsid w:val="00722D9A"/>
    <w:rsid w:val="0072310A"/>
    <w:rsid w:val="00723E6E"/>
    <w:rsid w:val="00724279"/>
    <w:rsid w:val="007243F5"/>
    <w:rsid w:val="00724412"/>
    <w:rsid w:val="00724A74"/>
    <w:rsid w:val="00724CE3"/>
    <w:rsid w:val="00724D17"/>
    <w:rsid w:val="00725653"/>
    <w:rsid w:val="00727739"/>
    <w:rsid w:val="00727976"/>
    <w:rsid w:val="00727C47"/>
    <w:rsid w:val="00730241"/>
    <w:rsid w:val="00730361"/>
    <w:rsid w:val="00730CEB"/>
    <w:rsid w:val="00730E41"/>
    <w:rsid w:val="00730F68"/>
    <w:rsid w:val="00731512"/>
    <w:rsid w:val="0073222D"/>
    <w:rsid w:val="00732304"/>
    <w:rsid w:val="00732ADC"/>
    <w:rsid w:val="007334CA"/>
    <w:rsid w:val="00733B5C"/>
    <w:rsid w:val="0073417F"/>
    <w:rsid w:val="007347BD"/>
    <w:rsid w:val="00735339"/>
    <w:rsid w:val="007361A1"/>
    <w:rsid w:val="00737417"/>
    <w:rsid w:val="00740136"/>
    <w:rsid w:val="007401A9"/>
    <w:rsid w:val="0074060E"/>
    <w:rsid w:val="00740F6C"/>
    <w:rsid w:val="007411F6"/>
    <w:rsid w:val="0074130C"/>
    <w:rsid w:val="00741947"/>
    <w:rsid w:val="00742624"/>
    <w:rsid w:val="007438FD"/>
    <w:rsid w:val="00744455"/>
    <w:rsid w:val="00745904"/>
    <w:rsid w:val="00746368"/>
    <w:rsid w:val="0074674B"/>
    <w:rsid w:val="007468D7"/>
    <w:rsid w:val="00746CBA"/>
    <w:rsid w:val="00747D31"/>
    <w:rsid w:val="00747F79"/>
    <w:rsid w:val="00750206"/>
    <w:rsid w:val="00751269"/>
    <w:rsid w:val="00752C82"/>
    <w:rsid w:val="00753432"/>
    <w:rsid w:val="00753B03"/>
    <w:rsid w:val="00753EF8"/>
    <w:rsid w:val="00753FF5"/>
    <w:rsid w:val="007542CE"/>
    <w:rsid w:val="0075449F"/>
    <w:rsid w:val="00754BDC"/>
    <w:rsid w:val="007551B0"/>
    <w:rsid w:val="00755A2F"/>
    <w:rsid w:val="007560C2"/>
    <w:rsid w:val="007564A9"/>
    <w:rsid w:val="00756948"/>
    <w:rsid w:val="00756BE2"/>
    <w:rsid w:val="00756E10"/>
    <w:rsid w:val="00756E7E"/>
    <w:rsid w:val="007572E8"/>
    <w:rsid w:val="0075756B"/>
    <w:rsid w:val="00760A56"/>
    <w:rsid w:val="00761F28"/>
    <w:rsid w:val="007623A4"/>
    <w:rsid w:val="0076280E"/>
    <w:rsid w:val="007631E2"/>
    <w:rsid w:val="00763EDB"/>
    <w:rsid w:val="0076426B"/>
    <w:rsid w:val="00764A1D"/>
    <w:rsid w:val="00765182"/>
    <w:rsid w:val="00765F4A"/>
    <w:rsid w:val="007674A0"/>
    <w:rsid w:val="00767CA7"/>
    <w:rsid w:val="007701AE"/>
    <w:rsid w:val="00770598"/>
    <w:rsid w:val="00770FB5"/>
    <w:rsid w:val="00771AE2"/>
    <w:rsid w:val="00771F0A"/>
    <w:rsid w:val="007736FA"/>
    <w:rsid w:val="00773887"/>
    <w:rsid w:val="00773C80"/>
    <w:rsid w:val="0077418A"/>
    <w:rsid w:val="00774A51"/>
    <w:rsid w:val="00774DAE"/>
    <w:rsid w:val="007755F5"/>
    <w:rsid w:val="0077609A"/>
    <w:rsid w:val="007764A0"/>
    <w:rsid w:val="00776519"/>
    <w:rsid w:val="00777999"/>
    <w:rsid w:val="0078020A"/>
    <w:rsid w:val="00780B3D"/>
    <w:rsid w:val="0078115B"/>
    <w:rsid w:val="00782254"/>
    <w:rsid w:val="00782BF8"/>
    <w:rsid w:val="00782F23"/>
    <w:rsid w:val="0078325F"/>
    <w:rsid w:val="007837A3"/>
    <w:rsid w:val="00783AFF"/>
    <w:rsid w:val="00784146"/>
    <w:rsid w:val="00785095"/>
    <w:rsid w:val="0078553E"/>
    <w:rsid w:val="00785762"/>
    <w:rsid w:val="00785A75"/>
    <w:rsid w:val="00786105"/>
    <w:rsid w:val="00786510"/>
    <w:rsid w:val="00786640"/>
    <w:rsid w:val="007867F2"/>
    <w:rsid w:val="0078755B"/>
    <w:rsid w:val="0079046C"/>
    <w:rsid w:val="00790498"/>
    <w:rsid w:val="00790790"/>
    <w:rsid w:val="00790A06"/>
    <w:rsid w:val="00790A4F"/>
    <w:rsid w:val="00790DBA"/>
    <w:rsid w:val="0079245A"/>
    <w:rsid w:val="00792DC1"/>
    <w:rsid w:val="00792F8F"/>
    <w:rsid w:val="00793A93"/>
    <w:rsid w:val="00793E19"/>
    <w:rsid w:val="00794100"/>
    <w:rsid w:val="0079445C"/>
    <w:rsid w:val="00794675"/>
    <w:rsid w:val="00794EFE"/>
    <w:rsid w:val="007953AE"/>
    <w:rsid w:val="00795A68"/>
    <w:rsid w:val="00795DE2"/>
    <w:rsid w:val="00796BAE"/>
    <w:rsid w:val="00796EEE"/>
    <w:rsid w:val="007A038F"/>
    <w:rsid w:val="007A120D"/>
    <w:rsid w:val="007A13CC"/>
    <w:rsid w:val="007A1B83"/>
    <w:rsid w:val="007A1D20"/>
    <w:rsid w:val="007A34CF"/>
    <w:rsid w:val="007A378F"/>
    <w:rsid w:val="007A43AB"/>
    <w:rsid w:val="007A44A9"/>
    <w:rsid w:val="007A47D7"/>
    <w:rsid w:val="007A4D1E"/>
    <w:rsid w:val="007A5A64"/>
    <w:rsid w:val="007A5E2B"/>
    <w:rsid w:val="007A7AD4"/>
    <w:rsid w:val="007B0B75"/>
    <w:rsid w:val="007B14AE"/>
    <w:rsid w:val="007B1BED"/>
    <w:rsid w:val="007B1FEB"/>
    <w:rsid w:val="007B214B"/>
    <w:rsid w:val="007B30A8"/>
    <w:rsid w:val="007B38B7"/>
    <w:rsid w:val="007B482D"/>
    <w:rsid w:val="007B7B62"/>
    <w:rsid w:val="007B7DFE"/>
    <w:rsid w:val="007B7E84"/>
    <w:rsid w:val="007C132B"/>
    <w:rsid w:val="007C1FAA"/>
    <w:rsid w:val="007C238A"/>
    <w:rsid w:val="007C2667"/>
    <w:rsid w:val="007C266F"/>
    <w:rsid w:val="007C2F3D"/>
    <w:rsid w:val="007C4045"/>
    <w:rsid w:val="007C510E"/>
    <w:rsid w:val="007C543C"/>
    <w:rsid w:val="007C558F"/>
    <w:rsid w:val="007C5677"/>
    <w:rsid w:val="007C5AA5"/>
    <w:rsid w:val="007C5AA7"/>
    <w:rsid w:val="007C68AF"/>
    <w:rsid w:val="007C6E7A"/>
    <w:rsid w:val="007C7399"/>
    <w:rsid w:val="007C77A9"/>
    <w:rsid w:val="007C77CE"/>
    <w:rsid w:val="007C7D2A"/>
    <w:rsid w:val="007C7F61"/>
    <w:rsid w:val="007D0490"/>
    <w:rsid w:val="007D04C6"/>
    <w:rsid w:val="007D0E4E"/>
    <w:rsid w:val="007D1A5A"/>
    <w:rsid w:val="007D2445"/>
    <w:rsid w:val="007D37CA"/>
    <w:rsid w:val="007D4B9A"/>
    <w:rsid w:val="007D4D0B"/>
    <w:rsid w:val="007D5202"/>
    <w:rsid w:val="007D53B8"/>
    <w:rsid w:val="007D5883"/>
    <w:rsid w:val="007D5993"/>
    <w:rsid w:val="007D5CD1"/>
    <w:rsid w:val="007D6DC4"/>
    <w:rsid w:val="007D6DF9"/>
    <w:rsid w:val="007D7002"/>
    <w:rsid w:val="007D767D"/>
    <w:rsid w:val="007D7B35"/>
    <w:rsid w:val="007D7C35"/>
    <w:rsid w:val="007D7C50"/>
    <w:rsid w:val="007E08C5"/>
    <w:rsid w:val="007E163C"/>
    <w:rsid w:val="007E197C"/>
    <w:rsid w:val="007E19E1"/>
    <w:rsid w:val="007E1D23"/>
    <w:rsid w:val="007E23FA"/>
    <w:rsid w:val="007E2817"/>
    <w:rsid w:val="007E2EB8"/>
    <w:rsid w:val="007E3033"/>
    <w:rsid w:val="007E463A"/>
    <w:rsid w:val="007E4C2A"/>
    <w:rsid w:val="007E566E"/>
    <w:rsid w:val="007E5F0C"/>
    <w:rsid w:val="007E648D"/>
    <w:rsid w:val="007E6F79"/>
    <w:rsid w:val="007E75D8"/>
    <w:rsid w:val="007E7939"/>
    <w:rsid w:val="007F0538"/>
    <w:rsid w:val="007F0CE7"/>
    <w:rsid w:val="007F1934"/>
    <w:rsid w:val="007F19C4"/>
    <w:rsid w:val="007F2C1B"/>
    <w:rsid w:val="007F2C86"/>
    <w:rsid w:val="007F3385"/>
    <w:rsid w:val="007F5539"/>
    <w:rsid w:val="007F642C"/>
    <w:rsid w:val="007F70D1"/>
    <w:rsid w:val="007F74E0"/>
    <w:rsid w:val="007F7B7F"/>
    <w:rsid w:val="007F7D33"/>
    <w:rsid w:val="0080010C"/>
    <w:rsid w:val="008008F0"/>
    <w:rsid w:val="00800D50"/>
    <w:rsid w:val="008012CB"/>
    <w:rsid w:val="00801AF2"/>
    <w:rsid w:val="008020AB"/>
    <w:rsid w:val="00804232"/>
    <w:rsid w:val="00805332"/>
    <w:rsid w:val="00806713"/>
    <w:rsid w:val="00807570"/>
    <w:rsid w:val="00807948"/>
    <w:rsid w:val="00807F82"/>
    <w:rsid w:val="0081035F"/>
    <w:rsid w:val="0081107A"/>
    <w:rsid w:val="008110B3"/>
    <w:rsid w:val="00811142"/>
    <w:rsid w:val="0081189A"/>
    <w:rsid w:val="00811EC0"/>
    <w:rsid w:val="0081223E"/>
    <w:rsid w:val="008125CD"/>
    <w:rsid w:val="00812853"/>
    <w:rsid w:val="00812B53"/>
    <w:rsid w:val="008130DF"/>
    <w:rsid w:val="00813FE4"/>
    <w:rsid w:val="00814182"/>
    <w:rsid w:val="008148F1"/>
    <w:rsid w:val="008153C5"/>
    <w:rsid w:val="008154EC"/>
    <w:rsid w:val="00815744"/>
    <w:rsid w:val="00815962"/>
    <w:rsid w:val="0081765C"/>
    <w:rsid w:val="00817A51"/>
    <w:rsid w:val="008208BE"/>
    <w:rsid w:val="00821376"/>
    <w:rsid w:val="00822544"/>
    <w:rsid w:val="008228E9"/>
    <w:rsid w:val="008236DF"/>
    <w:rsid w:val="00823C1A"/>
    <w:rsid w:val="00823CBE"/>
    <w:rsid w:val="008250C7"/>
    <w:rsid w:val="0082539E"/>
    <w:rsid w:val="00825F35"/>
    <w:rsid w:val="00825F50"/>
    <w:rsid w:val="008263C4"/>
    <w:rsid w:val="00826E8C"/>
    <w:rsid w:val="00826FB6"/>
    <w:rsid w:val="00830C97"/>
    <w:rsid w:val="00830D06"/>
    <w:rsid w:val="0083109F"/>
    <w:rsid w:val="008312FD"/>
    <w:rsid w:val="00831A2C"/>
    <w:rsid w:val="00831F5E"/>
    <w:rsid w:val="0083257D"/>
    <w:rsid w:val="00832A67"/>
    <w:rsid w:val="008330B0"/>
    <w:rsid w:val="00833476"/>
    <w:rsid w:val="008348B6"/>
    <w:rsid w:val="00834ADD"/>
    <w:rsid w:val="00835884"/>
    <w:rsid w:val="00835C9C"/>
    <w:rsid w:val="00836526"/>
    <w:rsid w:val="008372A1"/>
    <w:rsid w:val="008378F9"/>
    <w:rsid w:val="008400F8"/>
    <w:rsid w:val="00840AFA"/>
    <w:rsid w:val="00841201"/>
    <w:rsid w:val="008412B6"/>
    <w:rsid w:val="00841C98"/>
    <w:rsid w:val="00842146"/>
    <w:rsid w:val="00843D08"/>
    <w:rsid w:val="00844734"/>
    <w:rsid w:val="00845501"/>
    <w:rsid w:val="0084588E"/>
    <w:rsid w:val="00845C3A"/>
    <w:rsid w:val="00845C9C"/>
    <w:rsid w:val="00845D53"/>
    <w:rsid w:val="00845F49"/>
    <w:rsid w:val="008463B8"/>
    <w:rsid w:val="00847571"/>
    <w:rsid w:val="0085000A"/>
    <w:rsid w:val="0085096C"/>
    <w:rsid w:val="00851019"/>
    <w:rsid w:val="008516B9"/>
    <w:rsid w:val="00852D6B"/>
    <w:rsid w:val="00852FFD"/>
    <w:rsid w:val="0085315D"/>
    <w:rsid w:val="008531A3"/>
    <w:rsid w:val="008539FF"/>
    <w:rsid w:val="00854EE0"/>
    <w:rsid w:val="008557E4"/>
    <w:rsid w:val="00855A9F"/>
    <w:rsid w:val="00856970"/>
    <w:rsid w:val="008569E5"/>
    <w:rsid w:val="00856A4E"/>
    <w:rsid w:val="00857576"/>
    <w:rsid w:val="00857AED"/>
    <w:rsid w:val="008604AB"/>
    <w:rsid w:val="00861493"/>
    <w:rsid w:val="00861E79"/>
    <w:rsid w:val="008622D0"/>
    <w:rsid w:val="00862FF8"/>
    <w:rsid w:val="008638AE"/>
    <w:rsid w:val="00864805"/>
    <w:rsid w:val="0086485B"/>
    <w:rsid w:val="00865931"/>
    <w:rsid w:val="00865BF7"/>
    <w:rsid w:val="0086672B"/>
    <w:rsid w:val="00866D88"/>
    <w:rsid w:val="00867B51"/>
    <w:rsid w:val="00867BDE"/>
    <w:rsid w:val="00867DF1"/>
    <w:rsid w:val="0087040C"/>
    <w:rsid w:val="008711C4"/>
    <w:rsid w:val="00871A1A"/>
    <w:rsid w:val="00871C68"/>
    <w:rsid w:val="00872149"/>
    <w:rsid w:val="0087255F"/>
    <w:rsid w:val="008731A3"/>
    <w:rsid w:val="008732B0"/>
    <w:rsid w:val="00873459"/>
    <w:rsid w:val="00873C93"/>
    <w:rsid w:val="00873D3F"/>
    <w:rsid w:val="00874B58"/>
    <w:rsid w:val="00875202"/>
    <w:rsid w:val="008753AE"/>
    <w:rsid w:val="00875482"/>
    <w:rsid w:val="00875E00"/>
    <w:rsid w:val="00875EA2"/>
    <w:rsid w:val="00876598"/>
    <w:rsid w:val="008765CD"/>
    <w:rsid w:val="0087662E"/>
    <w:rsid w:val="0087753A"/>
    <w:rsid w:val="00880D24"/>
    <w:rsid w:val="0088112E"/>
    <w:rsid w:val="00881305"/>
    <w:rsid w:val="008816AC"/>
    <w:rsid w:val="00881D15"/>
    <w:rsid w:val="00882843"/>
    <w:rsid w:val="00882AB2"/>
    <w:rsid w:val="00882CFB"/>
    <w:rsid w:val="00882F4D"/>
    <w:rsid w:val="0088335A"/>
    <w:rsid w:val="0088367E"/>
    <w:rsid w:val="0088418F"/>
    <w:rsid w:val="00884CA6"/>
    <w:rsid w:val="00885457"/>
    <w:rsid w:val="008863E5"/>
    <w:rsid w:val="00886875"/>
    <w:rsid w:val="00886B9C"/>
    <w:rsid w:val="008874D2"/>
    <w:rsid w:val="00887BF7"/>
    <w:rsid w:val="008901A7"/>
    <w:rsid w:val="00891505"/>
    <w:rsid w:val="0089175A"/>
    <w:rsid w:val="00892673"/>
    <w:rsid w:val="0089298A"/>
    <w:rsid w:val="0089364B"/>
    <w:rsid w:val="00894FC0"/>
    <w:rsid w:val="0089567D"/>
    <w:rsid w:val="0089583A"/>
    <w:rsid w:val="00895D06"/>
    <w:rsid w:val="00896E41"/>
    <w:rsid w:val="008977D1"/>
    <w:rsid w:val="00897989"/>
    <w:rsid w:val="008A0373"/>
    <w:rsid w:val="008A063D"/>
    <w:rsid w:val="008A0B15"/>
    <w:rsid w:val="008A1B1E"/>
    <w:rsid w:val="008A20D5"/>
    <w:rsid w:val="008A3A0B"/>
    <w:rsid w:val="008A3CD8"/>
    <w:rsid w:val="008A401C"/>
    <w:rsid w:val="008A5CCB"/>
    <w:rsid w:val="008A6039"/>
    <w:rsid w:val="008A63F2"/>
    <w:rsid w:val="008A7EDB"/>
    <w:rsid w:val="008A7F7D"/>
    <w:rsid w:val="008B003C"/>
    <w:rsid w:val="008B143C"/>
    <w:rsid w:val="008B17FA"/>
    <w:rsid w:val="008B3630"/>
    <w:rsid w:val="008B4097"/>
    <w:rsid w:val="008B49B5"/>
    <w:rsid w:val="008B4B85"/>
    <w:rsid w:val="008B4C8B"/>
    <w:rsid w:val="008B4E73"/>
    <w:rsid w:val="008B55D3"/>
    <w:rsid w:val="008B5894"/>
    <w:rsid w:val="008B5C1F"/>
    <w:rsid w:val="008B6882"/>
    <w:rsid w:val="008B6C4F"/>
    <w:rsid w:val="008B6E75"/>
    <w:rsid w:val="008B6FE6"/>
    <w:rsid w:val="008B70E6"/>
    <w:rsid w:val="008B721D"/>
    <w:rsid w:val="008B722C"/>
    <w:rsid w:val="008B7298"/>
    <w:rsid w:val="008B7636"/>
    <w:rsid w:val="008C07CF"/>
    <w:rsid w:val="008C0AFA"/>
    <w:rsid w:val="008C0F83"/>
    <w:rsid w:val="008C22B0"/>
    <w:rsid w:val="008C23A0"/>
    <w:rsid w:val="008C2762"/>
    <w:rsid w:val="008C2793"/>
    <w:rsid w:val="008C2F1D"/>
    <w:rsid w:val="008C32E8"/>
    <w:rsid w:val="008C35CA"/>
    <w:rsid w:val="008C3DF8"/>
    <w:rsid w:val="008C4CA7"/>
    <w:rsid w:val="008C58D6"/>
    <w:rsid w:val="008C5CB4"/>
    <w:rsid w:val="008C604E"/>
    <w:rsid w:val="008C7087"/>
    <w:rsid w:val="008C714F"/>
    <w:rsid w:val="008C71A0"/>
    <w:rsid w:val="008C7371"/>
    <w:rsid w:val="008C7CE6"/>
    <w:rsid w:val="008D0241"/>
    <w:rsid w:val="008D02BC"/>
    <w:rsid w:val="008D0437"/>
    <w:rsid w:val="008D0619"/>
    <w:rsid w:val="008D10C9"/>
    <w:rsid w:val="008D254E"/>
    <w:rsid w:val="008D28DA"/>
    <w:rsid w:val="008D291F"/>
    <w:rsid w:val="008D29B7"/>
    <w:rsid w:val="008D4980"/>
    <w:rsid w:val="008D5710"/>
    <w:rsid w:val="008D5A0F"/>
    <w:rsid w:val="008D5D14"/>
    <w:rsid w:val="008D5F4A"/>
    <w:rsid w:val="008D71CD"/>
    <w:rsid w:val="008D7297"/>
    <w:rsid w:val="008D7383"/>
    <w:rsid w:val="008D7AA9"/>
    <w:rsid w:val="008E0218"/>
    <w:rsid w:val="008E119D"/>
    <w:rsid w:val="008E20F9"/>
    <w:rsid w:val="008E21FD"/>
    <w:rsid w:val="008E2306"/>
    <w:rsid w:val="008E243B"/>
    <w:rsid w:val="008E333D"/>
    <w:rsid w:val="008E33BD"/>
    <w:rsid w:val="008E3BAE"/>
    <w:rsid w:val="008E3E36"/>
    <w:rsid w:val="008E3FB0"/>
    <w:rsid w:val="008E4408"/>
    <w:rsid w:val="008E4670"/>
    <w:rsid w:val="008E4CB2"/>
    <w:rsid w:val="008E54AE"/>
    <w:rsid w:val="008E54F3"/>
    <w:rsid w:val="008E5641"/>
    <w:rsid w:val="008E60CA"/>
    <w:rsid w:val="008E6CBF"/>
    <w:rsid w:val="008F0B8F"/>
    <w:rsid w:val="008F0D89"/>
    <w:rsid w:val="008F181B"/>
    <w:rsid w:val="008F1BB6"/>
    <w:rsid w:val="008F30FC"/>
    <w:rsid w:val="008F3F43"/>
    <w:rsid w:val="008F42A0"/>
    <w:rsid w:val="008F46AD"/>
    <w:rsid w:val="008F67DB"/>
    <w:rsid w:val="008F6D57"/>
    <w:rsid w:val="008F7334"/>
    <w:rsid w:val="008F75C0"/>
    <w:rsid w:val="009006B4"/>
    <w:rsid w:val="00900D94"/>
    <w:rsid w:val="00900FE5"/>
    <w:rsid w:val="009018AE"/>
    <w:rsid w:val="00901BD9"/>
    <w:rsid w:val="00901E87"/>
    <w:rsid w:val="0090241D"/>
    <w:rsid w:val="00902754"/>
    <w:rsid w:val="00902769"/>
    <w:rsid w:val="009035EC"/>
    <w:rsid w:val="00904958"/>
    <w:rsid w:val="00905456"/>
    <w:rsid w:val="009061AD"/>
    <w:rsid w:val="0090738C"/>
    <w:rsid w:val="00907568"/>
    <w:rsid w:val="0090788F"/>
    <w:rsid w:val="00907DA7"/>
    <w:rsid w:val="009100B3"/>
    <w:rsid w:val="009104B7"/>
    <w:rsid w:val="009113DD"/>
    <w:rsid w:val="00911A30"/>
    <w:rsid w:val="00911DA1"/>
    <w:rsid w:val="00912761"/>
    <w:rsid w:val="0091279F"/>
    <w:rsid w:val="00912E40"/>
    <w:rsid w:val="00913572"/>
    <w:rsid w:val="009135BC"/>
    <w:rsid w:val="00914BD9"/>
    <w:rsid w:val="00915558"/>
    <w:rsid w:val="00916472"/>
    <w:rsid w:val="00920540"/>
    <w:rsid w:val="0092133B"/>
    <w:rsid w:val="00922333"/>
    <w:rsid w:val="009223B1"/>
    <w:rsid w:val="00922AFD"/>
    <w:rsid w:val="0092366F"/>
    <w:rsid w:val="00923AF2"/>
    <w:rsid w:val="00923E13"/>
    <w:rsid w:val="009254F5"/>
    <w:rsid w:val="00925D41"/>
    <w:rsid w:val="00925E9F"/>
    <w:rsid w:val="00926006"/>
    <w:rsid w:val="009260FA"/>
    <w:rsid w:val="009266F7"/>
    <w:rsid w:val="00927852"/>
    <w:rsid w:val="009304BC"/>
    <w:rsid w:val="009317CC"/>
    <w:rsid w:val="009317D4"/>
    <w:rsid w:val="009319A0"/>
    <w:rsid w:val="00932391"/>
    <w:rsid w:val="0093259B"/>
    <w:rsid w:val="009326ED"/>
    <w:rsid w:val="0093270A"/>
    <w:rsid w:val="00932F93"/>
    <w:rsid w:val="009348C0"/>
    <w:rsid w:val="00935704"/>
    <w:rsid w:val="00935863"/>
    <w:rsid w:val="00935E05"/>
    <w:rsid w:val="009361DE"/>
    <w:rsid w:val="009363E4"/>
    <w:rsid w:val="00936E42"/>
    <w:rsid w:val="009379BB"/>
    <w:rsid w:val="00937AD5"/>
    <w:rsid w:val="009407E6"/>
    <w:rsid w:val="00941B3C"/>
    <w:rsid w:val="00941B50"/>
    <w:rsid w:val="00941E43"/>
    <w:rsid w:val="00942C37"/>
    <w:rsid w:val="00943021"/>
    <w:rsid w:val="009433DE"/>
    <w:rsid w:val="00943574"/>
    <w:rsid w:val="009435D1"/>
    <w:rsid w:val="00943963"/>
    <w:rsid w:val="00943F8C"/>
    <w:rsid w:val="0094463D"/>
    <w:rsid w:val="00946283"/>
    <w:rsid w:val="0094691A"/>
    <w:rsid w:val="009470C3"/>
    <w:rsid w:val="009476E0"/>
    <w:rsid w:val="00947880"/>
    <w:rsid w:val="00947EFE"/>
    <w:rsid w:val="00947FBB"/>
    <w:rsid w:val="009500E3"/>
    <w:rsid w:val="00950691"/>
    <w:rsid w:val="009509A5"/>
    <w:rsid w:val="00950C05"/>
    <w:rsid w:val="00950CB1"/>
    <w:rsid w:val="009517D3"/>
    <w:rsid w:val="00951969"/>
    <w:rsid w:val="00951A89"/>
    <w:rsid w:val="00951B8F"/>
    <w:rsid w:val="00951D81"/>
    <w:rsid w:val="00953577"/>
    <w:rsid w:val="009538F3"/>
    <w:rsid w:val="00953E80"/>
    <w:rsid w:val="009543FF"/>
    <w:rsid w:val="009546E4"/>
    <w:rsid w:val="0095494F"/>
    <w:rsid w:val="009558D3"/>
    <w:rsid w:val="00955C91"/>
    <w:rsid w:val="009565C0"/>
    <w:rsid w:val="00956FDF"/>
    <w:rsid w:val="00957003"/>
    <w:rsid w:val="0095724F"/>
    <w:rsid w:val="00960023"/>
    <w:rsid w:val="00960507"/>
    <w:rsid w:val="00960C14"/>
    <w:rsid w:val="00961324"/>
    <w:rsid w:val="009614F7"/>
    <w:rsid w:val="0096206F"/>
    <w:rsid w:val="00962E88"/>
    <w:rsid w:val="00963155"/>
    <w:rsid w:val="00963156"/>
    <w:rsid w:val="00963213"/>
    <w:rsid w:val="009646D8"/>
    <w:rsid w:val="0096498D"/>
    <w:rsid w:val="0096500E"/>
    <w:rsid w:val="00965FAA"/>
    <w:rsid w:val="00966DAC"/>
    <w:rsid w:val="00967A86"/>
    <w:rsid w:val="009700B3"/>
    <w:rsid w:val="00970438"/>
    <w:rsid w:val="00970558"/>
    <w:rsid w:val="00970A03"/>
    <w:rsid w:val="00970DE9"/>
    <w:rsid w:val="00970F97"/>
    <w:rsid w:val="00971F81"/>
    <w:rsid w:val="00972149"/>
    <w:rsid w:val="009721BA"/>
    <w:rsid w:val="00972C2B"/>
    <w:rsid w:val="00972CD8"/>
    <w:rsid w:val="00972E7F"/>
    <w:rsid w:val="00972EB8"/>
    <w:rsid w:val="00973231"/>
    <w:rsid w:val="009734E2"/>
    <w:rsid w:val="00973911"/>
    <w:rsid w:val="00973B0E"/>
    <w:rsid w:val="00973FAE"/>
    <w:rsid w:val="00974C30"/>
    <w:rsid w:val="00974D47"/>
    <w:rsid w:val="00975F1A"/>
    <w:rsid w:val="009765CD"/>
    <w:rsid w:val="00976D59"/>
    <w:rsid w:val="00977C8E"/>
    <w:rsid w:val="00980A3E"/>
    <w:rsid w:val="0098146E"/>
    <w:rsid w:val="0098164C"/>
    <w:rsid w:val="00981D2F"/>
    <w:rsid w:val="009825DD"/>
    <w:rsid w:val="00982D6B"/>
    <w:rsid w:val="00985613"/>
    <w:rsid w:val="00987892"/>
    <w:rsid w:val="009900E5"/>
    <w:rsid w:val="0099040B"/>
    <w:rsid w:val="0099098D"/>
    <w:rsid w:val="00990E42"/>
    <w:rsid w:val="00992395"/>
    <w:rsid w:val="0099245C"/>
    <w:rsid w:val="0099256B"/>
    <w:rsid w:val="00992699"/>
    <w:rsid w:val="00992EF0"/>
    <w:rsid w:val="0099325F"/>
    <w:rsid w:val="00993C87"/>
    <w:rsid w:val="00993CAD"/>
    <w:rsid w:val="00994644"/>
    <w:rsid w:val="009956CA"/>
    <w:rsid w:val="00996821"/>
    <w:rsid w:val="00997219"/>
    <w:rsid w:val="0099737B"/>
    <w:rsid w:val="00997C79"/>
    <w:rsid w:val="009A1C0C"/>
    <w:rsid w:val="009A3048"/>
    <w:rsid w:val="009A3206"/>
    <w:rsid w:val="009A3418"/>
    <w:rsid w:val="009A3946"/>
    <w:rsid w:val="009A53BD"/>
    <w:rsid w:val="009A6671"/>
    <w:rsid w:val="009A7087"/>
    <w:rsid w:val="009A7226"/>
    <w:rsid w:val="009A76E5"/>
    <w:rsid w:val="009A79F7"/>
    <w:rsid w:val="009A7BD9"/>
    <w:rsid w:val="009A7D4B"/>
    <w:rsid w:val="009B02BC"/>
    <w:rsid w:val="009B16CD"/>
    <w:rsid w:val="009B1AB2"/>
    <w:rsid w:val="009B1FC6"/>
    <w:rsid w:val="009B2370"/>
    <w:rsid w:val="009B30E3"/>
    <w:rsid w:val="009B3799"/>
    <w:rsid w:val="009B3952"/>
    <w:rsid w:val="009B40D6"/>
    <w:rsid w:val="009B4574"/>
    <w:rsid w:val="009B4AD5"/>
    <w:rsid w:val="009B5581"/>
    <w:rsid w:val="009B5E59"/>
    <w:rsid w:val="009B65D0"/>
    <w:rsid w:val="009B6816"/>
    <w:rsid w:val="009B696E"/>
    <w:rsid w:val="009B71E7"/>
    <w:rsid w:val="009B7D39"/>
    <w:rsid w:val="009C00D9"/>
    <w:rsid w:val="009C0657"/>
    <w:rsid w:val="009C1336"/>
    <w:rsid w:val="009C1591"/>
    <w:rsid w:val="009C2515"/>
    <w:rsid w:val="009C3930"/>
    <w:rsid w:val="009C3C21"/>
    <w:rsid w:val="009C3C27"/>
    <w:rsid w:val="009C3ECF"/>
    <w:rsid w:val="009C4121"/>
    <w:rsid w:val="009C4852"/>
    <w:rsid w:val="009C4DE5"/>
    <w:rsid w:val="009C5675"/>
    <w:rsid w:val="009C5D19"/>
    <w:rsid w:val="009C5FFF"/>
    <w:rsid w:val="009C6FC4"/>
    <w:rsid w:val="009C7EEC"/>
    <w:rsid w:val="009D01EE"/>
    <w:rsid w:val="009D0A93"/>
    <w:rsid w:val="009D1AC2"/>
    <w:rsid w:val="009D28EC"/>
    <w:rsid w:val="009D303F"/>
    <w:rsid w:val="009D312E"/>
    <w:rsid w:val="009D31CD"/>
    <w:rsid w:val="009D3310"/>
    <w:rsid w:val="009D368D"/>
    <w:rsid w:val="009D381D"/>
    <w:rsid w:val="009D4794"/>
    <w:rsid w:val="009D5097"/>
    <w:rsid w:val="009D54FD"/>
    <w:rsid w:val="009D656B"/>
    <w:rsid w:val="009D6E07"/>
    <w:rsid w:val="009D7EAA"/>
    <w:rsid w:val="009E13AE"/>
    <w:rsid w:val="009E29A5"/>
    <w:rsid w:val="009E3289"/>
    <w:rsid w:val="009E37D5"/>
    <w:rsid w:val="009E3DD6"/>
    <w:rsid w:val="009E40E1"/>
    <w:rsid w:val="009E4347"/>
    <w:rsid w:val="009E4360"/>
    <w:rsid w:val="009E4BB6"/>
    <w:rsid w:val="009E4EED"/>
    <w:rsid w:val="009E5664"/>
    <w:rsid w:val="009E5A01"/>
    <w:rsid w:val="009E61C4"/>
    <w:rsid w:val="009E6825"/>
    <w:rsid w:val="009E689A"/>
    <w:rsid w:val="009E6FF7"/>
    <w:rsid w:val="009F0C05"/>
    <w:rsid w:val="009F1A4A"/>
    <w:rsid w:val="009F2014"/>
    <w:rsid w:val="009F2A31"/>
    <w:rsid w:val="009F2B21"/>
    <w:rsid w:val="009F31C5"/>
    <w:rsid w:val="009F3433"/>
    <w:rsid w:val="009F418C"/>
    <w:rsid w:val="009F4294"/>
    <w:rsid w:val="009F4689"/>
    <w:rsid w:val="009F497D"/>
    <w:rsid w:val="009F5171"/>
    <w:rsid w:val="009F58EB"/>
    <w:rsid w:val="009F5D78"/>
    <w:rsid w:val="009F68CB"/>
    <w:rsid w:val="00A01465"/>
    <w:rsid w:val="00A0221C"/>
    <w:rsid w:val="00A027C7"/>
    <w:rsid w:val="00A02C50"/>
    <w:rsid w:val="00A02D03"/>
    <w:rsid w:val="00A02E26"/>
    <w:rsid w:val="00A02EFC"/>
    <w:rsid w:val="00A03468"/>
    <w:rsid w:val="00A03D5D"/>
    <w:rsid w:val="00A03DC2"/>
    <w:rsid w:val="00A055AF"/>
    <w:rsid w:val="00A05604"/>
    <w:rsid w:val="00A05CB1"/>
    <w:rsid w:val="00A06259"/>
    <w:rsid w:val="00A06926"/>
    <w:rsid w:val="00A06944"/>
    <w:rsid w:val="00A06E2A"/>
    <w:rsid w:val="00A072B2"/>
    <w:rsid w:val="00A10713"/>
    <w:rsid w:val="00A10720"/>
    <w:rsid w:val="00A10DDE"/>
    <w:rsid w:val="00A10FC0"/>
    <w:rsid w:val="00A110C9"/>
    <w:rsid w:val="00A112F6"/>
    <w:rsid w:val="00A113F3"/>
    <w:rsid w:val="00A11A16"/>
    <w:rsid w:val="00A13660"/>
    <w:rsid w:val="00A1418C"/>
    <w:rsid w:val="00A14A2C"/>
    <w:rsid w:val="00A157BF"/>
    <w:rsid w:val="00A15EED"/>
    <w:rsid w:val="00A16556"/>
    <w:rsid w:val="00A17287"/>
    <w:rsid w:val="00A172F0"/>
    <w:rsid w:val="00A20075"/>
    <w:rsid w:val="00A2037F"/>
    <w:rsid w:val="00A209FA"/>
    <w:rsid w:val="00A21DF4"/>
    <w:rsid w:val="00A221E5"/>
    <w:rsid w:val="00A23863"/>
    <w:rsid w:val="00A23D99"/>
    <w:rsid w:val="00A248B3"/>
    <w:rsid w:val="00A250B9"/>
    <w:rsid w:val="00A257B4"/>
    <w:rsid w:val="00A25839"/>
    <w:rsid w:val="00A25E47"/>
    <w:rsid w:val="00A25EB8"/>
    <w:rsid w:val="00A26330"/>
    <w:rsid w:val="00A26D35"/>
    <w:rsid w:val="00A30369"/>
    <w:rsid w:val="00A3097D"/>
    <w:rsid w:val="00A31535"/>
    <w:rsid w:val="00A31A1C"/>
    <w:rsid w:val="00A32B1F"/>
    <w:rsid w:val="00A33ACA"/>
    <w:rsid w:val="00A33ADD"/>
    <w:rsid w:val="00A33BBD"/>
    <w:rsid w:val="00A33F89"/>
    <w:rsid w:val="00A344CA"/>
    <w:rsid w:val="00A358C7"/>
    <w:rsid w:val="00A36B8D"/>
    <w:rsid w:val="00A372F9"/>
    <w:rsid w:val="00A37703"/>
    <w:rsid w:val="00A37EAF"/>
    <w:rsid w:val="00A37FAC"/>
    <w:rsid w:val="00A40574"/>
    <w:rsid w:val="00A40A52"/>
    <w:rsid w:val="00A40EE9"/>
    <w:rsid w:val="00A4116A"/>
    <w:rsid w:val="00A42475"/>
    <w:rsid w:val="00A4276E"/>
    <w:rsid w:val="00A42B7A"/>
    <w:rsid w:val="00A43330"/>
    <w:rsid w:val="00A4376E"/>
    <w:rsid w:val="00A43C92"/>
    <w:rsid w:val="00A43DA8"/>
    <w:rsid w:val="00A43FA8"/>
    <w:rsid w:val="00A44310"/>
    <w:rsid w:val="00A44FCA"/>
    <w:rsid w:val="00A456AE"/>
    <w:rsid w:val="00A45765"/>
    <w:rsid w:val="00A4606E"/>
    <w:rsid w:val="00A46122"/>
    <w:rsid w:val="00A46731"/>
    <w:rsid w:val="00A469F3"/>
    <w:rsid w:val="00A46D5F"/>
    <w:rsid w:val="00A4701C"/>
    <w:rsid w:val="00A476CD"/>
    <w:rsid w:val="00A47D45"/>
    <w:rsid w:val="00A50023"/>
    <w:rsid w:val="00A5062F"/>
    <w:rsid w:val="00A50DB0"/>
    <w:rsid w:val="00A51C1C"/>
    <w:rsid w:val="00A51D2D"/>
    <w:rsid w:val="00A5206E"/>
    <w:rsid w:val="00A5274B"/>
    <w:rsid w:val="00A52860"/>
    <w:rsid w:val="00A52E01"/>
    <w:rsid w:val="00A5328D"/>
    <w:rsid w:val="00A53CFC"/>
    <w:rsid w:val="00A54712"/>
    <w:rsid w:val="00A55287"/>
    <w:rsid w:val="00A563AA"/>
    <w:rsid w:val="00A5640C"/>
    <w:rsid w:val="00A57054"/>
    <w:rsid w:val="00A601D3"/>
    <w:rsid w:val="00A6022A"/>
    <w:rsid w:val="00A607CB"/>
    <w:rsid w:val="00A609A4"/>
    <w:rsid w:val="00A6159F"/>
    <w:rsid w:val="00A61F49"/>
    <w:rsid w:val="00A621E2"/>
    <w:rsid w:val="00A62394"/>
    <w:rsid w:val="00A62616"/>
    <w:rsid w:val="00A627AF"/>
    <w:rsid w:val="00A62CEB"/>
    <w:rsid w:val="00A63567"/>
    <w:rsid w:val="00A6432B"/>
    <w:rsid w:val="00A64425"/>
    <w:rsid w:val="00A6459F"/>
    <w:rsid w:val="00A653ED"/>
    <w:rsid w:val="00A66587"/>
    <w:rsid w:val="00A672C2"/>
    <w:rsid w:val="00A677DB"/>
    <w:rsid w:val="00A6784E"/>
    <w:rsid w:val="00A7025C"/>
    <w:rsid w:val="00A7088E"/>
    <w:rsid w:val="00A715D2"/>
    <w:rsid w:val="00A7164E"/>
    <w:rsid w:val="00A72630"/>
    <w:rsid w:val="00A729ED"/>
    <w:rsid w:val="00A72AA8"/>
    <w:rsid w:val="00A72C82"/>
    <w:rsid w:val="00A73979"/>
    <w:rsid w:val="00A74001"/>
    <w:rsid w:val="00A749B2"/>
    <w:rsid w:val="00A75B96"/>
    <w:rsid w:val="00A75E8F"/>
    <w:rsid w:val="00A763F1"/>
    <w:rsid w:val="00A764DE"/>
    <w:rsid w:val="00A7746B"/>
    <w:rsid w:val="00A77512"/>
    <w:rsid w:val="00A81512"/>
    <w:rsid w:val="00A81894"/>
    <w:rsid w:val="00A81A40"/>
    <w:rsid w:val="00A82205"/>
    <w:rsid w:val="00A827F7"/>
    <w:rsid w:val="00A83666"/>
    <w:rsid w:val="00A84491"/>
    <w:rsid w:val="00A84917"/>
    <w:rsid w:val="00A849E4"/>
    <w:rsid w:val="00A84AB5"/>
    <w:rsid w:val="00A84C43"/>
    <w:rsid w:val="00A852B7"/>
    <w:rsid w:val="00A854B4"/>
    <w:rsid w:val="00A858C5"/>
    <w:rsid w:val="00A859BC"/>
    <w:rsid w:val="00A859DA"/>
    <w:rsid w:val="00A85B56"/>
    <w:rsid w:val="00A86218"/>
    <w:rsid w:val="00A8635B"/>
    <w:rsid w:val="00A863BF"/>
    <w:rsid w:val="00A87555"/>
    <w:rsid w:val="00A87C19"/>
    <w:rsid w:val="00A87D47"/>
    <w:rsid w:val="00A900C5"/>
    <w:rsid w:val="00A907A8"/>
    <w:rsid w:val="00A91512"/>
    <w:rsid w:val="00A91CFE"/>
    <w:rsid w:val="00A92C35"/>
    <w:rsid w:val="00A93FD3"/>
    <w:rsid w:val="00A94672"/>
    <w:rsid w:val="00A94C83"/>
    <w:rsid w:val="00A94DC5"/>
    <w:rsid w:val="00A9507A"/>
    <w:rsid w:val="00A95418"/>
    <w:rsid w:val="00A959FE"/>
    <w:rsid w:val="00A95BB8"/>
    <w:rsid w:val="00A95D62"/>
    <w:rsid w:val="00A95ECF"/>
    <w:rsid w:val="00A965E5"/>
    <w:rsid w:val="00A974FE"/>
    <w:rsid w:val="00A97FA2"/>
    <w:rsid w:val="00AA05DD"/>
    <w:rsid w:val="00AA104E"/>
    <w:rsid w:val="00AA16EA"/>
    <w:rsid w:val="00AA20F7"/>
    <w:rsid w:val="00AA21E8"/>
    <w:rsid w:val="00AA21EF"/>
    <w:rsid w:val="00AA2CCB"/>
    <w:rsid w:val="00AA2DC2"/>
    <w:rsid w:val="00AA4611"/>
    <w:rsid w:val="00AA4634"/>
    <w:rsid w:val="00AA4F67"/>
    <w:rsid w:val="00AA52C1"/>
    <w:rsid w:val="00AA5503"/>
    <w:rsid w:val="00AA56C6"/>
    <w:rsid w:val="00AA5D00"/>
    <w:rsid w:val="00AA632E"/>
    <w:rsid w:val="00AA6557"/>
    <w:rsid w:val="00AA7A4D"/>
    <w:rsid w:val="00AB0818"/>
    <w:rsid w:val="00AB1342"/>
    <w:rsid w:val="00AB1E43"/>
    <w:rsid w:val="00AB37D6"/>
    <w:rsid w:val="00AB3870"/>
    <w:rsid w:val="00AB3B19"/>
    <w:rsid w:val="00AB4CB9"/>
    <w:rsid w:val="00AB504A"/>
    <w:rsid w:val="00AB5801"/>
    <w:rsid w:val="00AB6018"/>
    <w:rsid w:val="00AB7448"/>
    <w:rsid w:val="00AC0489"/>
    <w:rsid w:val="00AC0555"/>
    <w:rsid w:val="00AC0DA0"/>
    <w:rsid w:val="00AC0DD7"/>
    <w:rsid w:val="00AC1755"/>
    <w:rsid w:val="00AC1DFF"/>
    <w:rsid w:val="00AC229D"/>
    <w:rsid w:val="00AC24DB"/>
    <w:rsid w:val="00AC2F95"/>
    <w:rsid w:val="00AC49A9"/>
    <w:rsid w:val="00AC4D6F"/>
    <w:rsid w:val="00AC50FC"/>
    <w:rsid w:val="00AC57CD"/>
    <w:rsid w:val="00AC5FBC"/>
    <w:rsid w:val="00AC69CF"/>
    <w:rsid w:val="00AD0603"/>
    <w:rsid w:val="00AD0A14"/>
    <w:rsid w:val="00AD0F92"/>
    <w:rsid w:val="00AD117B"/>
    <w:rsid w:val="00AD152D"/>
    <w:rsid w:val="00AD1AEF"/>
    <w:rsid w:val="00AD20D4"/>
    <w:rsid w:val="00AD20F1"/>
    <w:rsid w:val="00AD22E1"/>
    <w:rsid w:val="00AD26D2"/>
    <w:rsid w:val="00AD2BD0"/>
    <w:rsid w:val="00AD2E23"/>
    <w:rsid w:val="00AD325E"/>
    <w:rsid w:val="00AD3608"/>
    <w:rsid w:val="00AD3717"/>
    <w:rsid w:val="00AD3D42"/>
    <w:rsid w:val="00AD3D90"/>
    <w:rsid w:val="00AD4293"/>
    <w:rsid w:val="00AD588F"/>
    <w:rsid w:val="00AD67FB"/>
    <w:rsid w:val="00AE0005"/>
    <w:rsid w:val="00AE01B8"/>
    <w:rsid w:val="00AE0488"/>
    <w:rsid w:val="00AE0BAC"/>
    <w:rsid w:val="00AE0EFC"/>
    <w:rsid w:val="00AE16E3"/>
    <w:rsid w:val="00AE19AD"/>
    <w:rsid w:val="00AE1A4E"/>
    <w:rsid w:val="00AE1F7E"/>
    <w:rsid w:val="00AE2185"/>
    <w:rsid w:val="00AE2893"/>
    <w:rsid w:val="00AE3354"/>
    <w:rsid w:val="00AE3532"/>
    <w:rsid w:val="00AE3A80"/>
    <w:rsid w:val="00AE4547"/>
    <w:rsid w:val="00AE4666"/>
    <w:rsid w:val="00AE4776"/>
    <w:rsid w:val="00AE4BB1"/>
    <w:rsid w:val="00AE4EB2"/>
    <w:rsid w:val="00AE5072"/>
    <w:rsid w:val="00AE5471"/>
    <w:rsid w:val="00AE54F3"/>
    <w:rsid w:val="00AE55ED"/>
    <w:rsid w:val="00AE5732"/>
    <w:rsid w:val="00AE59C0"/>
    <w:rsid w:val="00AE5B84"/>
    <w:rsid w:val="00AE5DDF"/>
    <w:rsid w:val="00AE6AB0"/>
    <w:rsid w:val="00AE6C24"/>
    <w:rsid w:val="00AE7A4D"/>
    <w:rsid w:val="00AF08A3"/>
    <w:rsid w:val="00AF098E"/>
    <w:rsid w:val="00AF18FA"/>
    <w:rsid w:val="00AF2207"/>
    <w:rsid w:val="00AF27C4"/>
    <w:rsid w:val="00AF3383"/>
    <w:rsid w:val="00AF344D"/>
    <w:rsid w:val="00AF415F"/>
    <w:rsid w:val="00AF5077"/>
    <w:rsid w:val="00AF5840"/>
    <w:rsid w:val="00AF5A44"/>
    <w:rsid w:val="00AF6321"/>
    <w:rsid w:val="00AF6511"/>
    <w:rsid w:val="00AF666A"/>
    <w:rsid w:val="00AF6911"/>
    <w:rsid w:val="00AF6E3B"/>
    <w:rsid w:val="00AF72EF"/>
    <w:rsid w:val="00AF7A90"/>
    <w:rsid w:val="00AF7E22"/>
    <w:rsid w:val="00AF7E27"/>
    <w:rsid w:val="00AF7E43"/>
    <w:rsid w:val="00AF7FA6"/>
    <w:rsid w:val="00B00232"/>
    <w:rsid w:val="00B0052A"/>
    <w:rsid w:val="00B00E8A"/>
    <w:rsid w:val="00B00EB2"/>
    <w:rsid w:val="00B01923"/>
    <w:rsid w:val="00B020D9"/>
    <w:rsid w:val="00B02670"/>
    <w:rsid w:val="00B02D72"/>
    <w:rsid w:val="00B02FA3"/>
    <w:rsid w:val="00B03E19"/>
    <w:rsid w:val="00B03EB0"/>
    <w:rsid w:val="00B06042"/>
    <w:rsid w:val="00B075C7"/>
    <w:rsid w:val="00B079F2"/>
    <w:rsid w:val="00B10284"/>
    <w:rsid w:val="00B103E2"/>
    <w:rsid w:val="00B10624"/>
    <w:rsid w:val="00B10B25"/>
    <w:rsid w:val="00B10CFE"/>
    <w:rsid w:val="00B11343"/>
    <w:rsid w:val="00B11AFA"/>
    <w:rsid w:val="00B121F9"/>
    <w:rsid w:val="00B12DF9"/>
    <w:rsid w:val="00B12E8F"/>
    <w:rsid w:val="00B12FF1"/>
    <w:rsid w:val="00B1378E"/>
    <w:rsid w:val="00B1400D"/>
    <w:rsid w:val="00B141C1"/>
    <w:rsid w:val="00B144B6"/>
    <w:rsid w:val="00B15017"/>
    <w:rsid w:val="00B1574D"/>
    <w:rsid w:val="00B15778"/>
    <w:rsid w:val="00B15E0C"/>
    <w:rsid w:val="00B15FD7"/>
    <w:rsid w:val="00B161ED"/>
    <w:rsid w:val="00B16811"/>
    <w:rsid w:val="00B16A1F"/>
    <w:rsid w:val="00B171A3"/>
    <w:rsid w:val="00B177B8"/>
    <w:rsid w:val="00B17BCA"/>
    <w:rsid w:val="00B20482"/>
    <w:rsid w:val="00B20A1D"/>
    <w:rsid w:val="00B20A2E"/>
    <w:rsid w:val="00B20C92"/>
    <w:rsid w:val="00B21445"/>
    <w:rsid w:val="00B21695"/>
    <w:rsid w:val="00B21B36"/>
    <w:rsid w:val="00B22842"/>
    <w:rsid w:val="00B235E6"/>
    <w:rsid w:val="00B23B00"/>
    <w:rsid w:val="00B24030"/>
    <w:rsid w:val="00B24CA6"/>
    <w:rsid w:val="00B24DB6"/>
    <w:rsid w:val="00B259FE"/>
    <w:rsid w:val="00B262F3"/>
    <w:rsid w:val="00B2652E"/>
    <w:rsid w:val="00B276A9"/>
    <w:rsid w:val="00B303B1"/>
    <w:rsid w:val="00B30E8D"/>
    <w:rsid w:val="00B31AE9"/>
    <w:rsid w:val="00B31B02"/>
    <w:rsid w:val="00B31BBA"/>
    <w:rsid w:val="00B320AE"/>
    <w:rsid w:val="00B3265D"/>
    <w:rsid w:val="00B3282F"/>
    <w:rsid w:val="00B32D47"/>
    <w:rsid w:val="00B32D86"/>
    <w:rsid w:val="00B33273"/>
    <w:rsid w:val="00B3416D"/>
    <w:rsid w:val="00B3417F"/>
    <w:rsid w:val="00B34373"/>
    <w:rsid w:val="00B35AC0"/>
    <w:rsid w:val="00B406C9"/>
    <w:rsid w:val="00B4194B"/>
    <w:rsid w:val="00B41A65"/>
    <w:rsid w:val="00B41F46"/>
    <w:rsid w:val="00B4308C"/>
    <w:rsid w:val="00B4372D"/>
    <w:rsid w:val="00B43FAE"/>
    <w:rsid w:val="00B4403C"/>
    <w:rsid w:val="00B4481E"/>
    <w:rsid w:val="00B44F14"/>
    <w:rsid w:val="00B45101"/>
    <w:rsid w:val="00B4583E"/>
    <w:rsid w:val="00B45BA2"/>
    <w:rsid w:val="00B45D8D"/>
    <w:rsid w:val="00B46B3A"/>
    <w:rsid w:val="00B47656"/>
    <w:rsid w:val="00B47CCD"/>
    <w:rsid w:val="00B507E3"/>
    <w:rsid w:val="00B50F86"/>
    <w:rsid w:val="00B51743"/>
    <w:rsid w:val="00B51BFB"/>
    <w:rsid w:val="00B52A80"/>
    <w:rsid w:val="00B53973"/>
    <w:rsid w:val="00B54907"/>
    <w:rsid w:val="00B5564E"/>
    <w:rsid w:val="00B55665"/>
    <w:rsid w:val="00B557D1"/>
    <w:rsid w:val="00B55B62"/>
    <w:rsid w:val="00B56902"/>
    <w:rsid w:val="00B56A87"/>
    <w:rsid w:val="00B56BC5"/>
    <w:rsid w:val="00B5784D"/>
    <w:rsid w:val="00B57943"/>
    <w:rsid w:val="00B57A5F"/>
    <w:rsid w:val="00B6027A"/>
    <w:rsid w:val="00B60A69"/>
    <w:rsid w:val="00B611D9"/>
    <w:rsid w:val="00B61746"/>
    <w:rsid w:val="00B61D83"/>
    <w:rsid w:val="00B62714"/>
    <w:rsid w:val="00B628FC"/>
    <w:rsid w:val="00B62F2E"/>
    <w:rsid w:val="00B639C3"/>
    <w:rsid w:val="00B642B3"/>
    <w:rsid w:val="00B647DA"/>
    <w:rsid w:val="00B64AD3"/>
    <w:rsid w:val="00B650E9"/>
    <w:rsid w:val="00B655FB"/>
    <w:rsid w:val="00B6579F"/>
    <w:rsid w:val="00B65B80"/>
    <w:rsid w:val="00B663E9"/>
    <w:rsid w:val="00B66A6F"/>
    <w:rsid w:val="00B66BCD"/>
    <w:rsid w:val="00B66D2E"/>
    <w:rsid w:val="00B673B5"/>
    <w:rsid w:val="00B67D72"/>
    <w:rsid w:val="00B70C1F"/>
    <w:rsid w:val="00B711EE"/>
    <w:rsid w:val="00B714E0"/>
    <w:rsid w:val="00B715DC"/>
    <w:rsid w:val="00B717FA"/>
    <w:rsid w:val="00B71EA3"/>
    <w:rsid w:val="00B72980"/>
    <w:rsid w:val="00B73CDD"/>
    <w:rsid w:val="00B74271"/>
    <w:rsid w:val="00B74ABC"/>
    <w:rsid w:val="00B74CF8"/>
    <w:rsid w:val="00B74FC8"/>
    <w:rsid w:val="00B752E5"/>
    <w:rsid w:val="00B755ED"/>
    <w:rsid w:val="00B75D59"/>
    <w:rsid w:val="00B771C4"/>
    <w:rsid w:val="00B7721A"/>
    <w:rsid w:val="00B804C2"/>
    <w:rsid w:val="00B80BBE"/>
    <w:rsid w:val="00B80CF5"/>
    <w:rsid w:val="00B810D2"/>
    <w:rsid w:val="00B81FE4"/>
    <w:rsid w:val="00B82A60"/>
    <w:rsid w:val="00B833E3"/>
    <w:rsid w:val="00B84CB5"/>
    <w:rsid w:val="00B84E9D"/>
    <w:rsid w:val="00B85067"/>
    <w:rsid w:val="00B859E8"/>
    <w:rsid w:val="00B85B9C"/>
    <w:rsid w:val="00B86608"/>
    <w:rsid w:val="00B86752"/>
    <w:rsid w:val="00B86B53"/>
    <w:rsid w:val="00B87F1E"/>
    <w:rsid w:val="00B901AC"/>
    <w:rsid w:val="00B9044A"/>
    <w:rsid w:val="00B906C2"/>
    <w:rsid w:val="00B907B5"/>
    <w:rsid w:val="00B909F6"/>
    <w:rsid w:val="00B916FB"/>
    <w:rsid w:val="00B92196"/>
    <w:rsid w:val="00B921E1"/>
    <w:rsid w:val="00B92388"/>
    <w:rsid w:val="00B93874"/>
    <w:rsid w:val="00B94B3D"/>
    <w:rsid w:val="00B951EA"/>
    <w:rsid w:val="00B95408"/>
    <w:rsid w:val="00B95BBA"/>
    <w:rsid w:val="00B95C15"/>
    <w:rsid w:val="00B963C5"/>
    <w:rsid w:val="00B964B6"/>
    <w:rsid w:val="00B968DC"/>
    <w:rsid w:val="00B9690B"/>
    <w:rsid w:val="00B969CE"/>
    <w:rsid w:val="00B97261"/>
    <w:rsid w:val="00B973D8"/>
    <w:rsid w:val="00BA027D"/>
    <w:rsid w:val="00BA0A9D"/>
    <w:rsid w:val="00BA1152"/>
    <w:rsid w:val="00BA11CD"/>
    <w:rsid w:val="00BA353A"/>
    <w:rsid w:val="00BA3975"/>
    <w:rsid w:val="00BA39FD"/>
    <w:rsid w:val="00BA55DC"/>
    <w:rsid w:val="00BA676B"/>
    <w:rsid w:val="00BA6F39"/>
    <w:rsid w:val="00BB0002"/>
    <w:rsid w:val="00BB00A3"/>
    <w:rsid w:val="00BB1368"/>
    <w:rsid w:val="00BB17F0"/>
    <w:rsid w:val="00BB187E"/>
    <w:rsid w:val="00BB18D7"/>
    <w:rsid w:val="00BB1F81"/>
    <w:rsid w:val="00BB2D99"/>
    <w:rsid w:val="00BB4579"/>
    <w:rsid w:val="00BB4A4A"/>
    <w:rsid w:val="00BB4A5E"/>
    <w:rsid w:val="00BB4A76"/>
    <w:rsid w:val="00BB54F4"/>
    <w:rsid w:val="00BB55AF"/>
    <w:rsid w:val="00BB621C"/>
    <w:rsid w:val="00BB67CA"/>
    <w:rsid w:val="00BB6A62"/>
    <w:rsid w:val="00BB6EE3"/>
    <w:rsid w:val="00BB7C6F"/>
    <w:rsid w:val="00BC0225"/>
    <w:rsid w:val="00BC05A1"/>
    <w:rsid w:val="00BC1646"/>
    <w:rsid w:val="00BC19D3"/>
    <w:rsid w:val="00BC1FF1"/>
    <w:rsid w:val="00BC2505"/>
    <w:rsid w:val="00BC2FEB"/>
    <w:rsid w:val="00BC3654"/>
    <w:rsid w:val="00BC3C12"/>
    <w:rsid w:val="00BC3E5A"/>
    <w:rsid w:val="00BC4C26"/>
    <w:rsid w:val="00BC58CD"/>
    <w:rsid w:val="00BC5D85"/>
    <w:rsid w:val="00BC6D32"/>
    <w:rsid w:val="00BC7369"/>
    <w:rsid w:val="00BC76E5"/>
    <w:rsid w:val="00BC77ED"/>
    <w:rsid w:val="00BD0144"/>
    <w:rsid w:val="00BD0B54"/>
    <w:rsid w:val="00BD0B95"/>
    <w:rsid w:val="00BD1229"/>
    <w:rsid w:val="00BD1AC7"/>
    <w:rsid w:val="00BD1E25"/>
    <w:rsid w:val="00BD2190"/>
    <w:rsid w:val="00BD26D8"/>
    <w:rsid w:val="00BD28A6"/>
    <w:rsid w:val="00BD2C60"/>
    <w:rsid w:val="00BD305A"/>
    <w:rsid w:val="00BD38C6"/>
    <w:rsid w:val="00BD4070"/>
    <w:rsid w:val="00BD48CA"/>
    <w:rsid w:val="00BD5829"/>
    <w:rsid w:val="00BD5F83"/>
    <w:rsid w:val="00BD65D7"/>
    <w:rsid w:val="00BD67CC"/>
    <w:rsid w:val="00BD6925"/>
    <w:rsid w:val="00BD69DB"/>
    <w:rsid w:val="00BD6ACE"/>
    <w:rsid w:val="00BD7421"/>
    <w:rsid w:val="00BE231F"/>
    <w:rsid w:val="00BE23D5"/>
    <w:rsid w:val="00BE2816"/>
    <w:rsid w:val="00BE28AF"/>
    <w:rsid w:val="00BE2B98"/>
    <w:rsid w:val="00BE3745"/>
    <w:rsid w:val="00BE3B32"/>
    <w:rsid w:val="00BE50EF"/>
    <w:rsid w:val="00BE567E"/>
    <w:rsid w:val="00BE5686"/>
    <w:rsid w:val="00BE583C"/>
    <w:rsid w:val="00BE5D4A"/>
    <w:rsid w:val="00BE626E"/>
    <w:rsid w:val="00BE6497"/>
    <w:rsid w:val="00BE6786"/>
    <w:rsid w:val="00BE7466"/>
    <w:rsid w:val="00BF0578"/>
    <w:rsid w:val="00BF058B"/>
    <w:rsid w:val="00BF0751"/>
    <w:rsid w:val="00BF0C35"/>
    <w:rsid w:val="00BF2048"/>
    <w:rsid w:val="00BF2106"/>
    <w:rsid w:val="00BF3026"/>
    <w:rsid w:val="00BF44CA"/>
    <w:rsid w:val="00BF4A5E"/>
    <w:rsid w:val="00BF4EDA"/>
    <w:rsid w:val="00BF5792"/>
    <w:rsid w:val="00BF5831"/>
    <w:rsid w:val="00BF618B"/>
    <w:rsid w:val="00BF6500"/>
    <w:rsid w:val="00BF7180"/>
    <w:rsid w:val="00C00389"/>
    <w:rsid w:val="00C01CC2"/>
    <w:rsid w:val="00C0215D"/>
    <w:rsid w:val="00C0268C"/>
    <w:rsid w:val="00C028FB"/>
    <w:rsid w:val="00C02FB7"/>
    <w:rsid w:val="00C042FB"/>
    <w:rsid w:val="00C04E75"/>
    <w:rsid w:val="00C05310"/>
    <w:rsid w:val="00C056A5"/>
    <w:rsid w:val="00C05EF6"/>
    <w:rsid w:val="00C0658C"/>
    <w:rsid w:val="00C06981"/>
    <w:rsid w:val="00C06DE8"/>
    <w:rsid w:val="00C07FE1"/>
    <w:rsid w:val="00C10226"/>
    <w:rsid w:val="00C106B2"/>
    <w:rsid w:val="00C118D3"/>
    <w:rsid w:val="00C11D46"/>
    <w:rsid w:val="00C11E9B"/>
    <w:rsid w:val="00C122DF"/>
    <w:rsid w:val="00C12882"/>
    <w:rsid w:val="00C129CF"/>
    <w:rsid w:val="00C12A71"/>
    <w:rsid w:val="00C1321D"/>
    <w:rsid w:val="00C1322F"/>
    <w:rsid w:val="00C1393F"/>
    <w:rsid w:val="00C13987"/>
    <w:rsid w:val="00C13ECC"/>
    <w:rsid w:val="00C149DB"/>
    <w:rsid w:val="00C15196"/>
    <w:rsid w:val="00C17244"/>
    <w:rsid w:val="00C179AC"/>
    <w:rsid w:val="00C20934"/>
    <w:rsid w:val="00C2151E"/>
    <w:rsid w:val="00C21BCC"/>
    <w:rsid w:val="00C22C34"/>
    <w:rsid w:val="00C238B2"/>
    <w:rsid w:val="00C23BBA"/>
    <w:rsid w:val="00C242D4"/>
    <w:rsid w:val="00C2440D"/>
    <w:rsid w:val="00C24616"/>
    <w:rsid w:val="00C2556C"/>
    <w:rsid w:val="00C25708"/>
    <w:rsid w:val="00C269C8"/>
    <w:rsid w:val="00C2779F"/>
    <w:rsid w:val="00C2786D"/>
    <w:rsid w:val="00C31230"/>
    <w:rsid w:val="00C326A1"/>
    <w:rsid w:val="00C32AB0"/>
    <w:rsid w:val="00C32D03"/>
    <w:rsid w:val="00C32DCE"/>
    <w:rsid w:val="00C3304B"/>
    <w:rsid w:val="00C333ED"/>
    <w:rsid w:val="00C34B71"/>
    <w:rsid w:val="00C35049"/>
    <w:rsid w:val="00C3631B"/>
    <w:rsid w:val="00C3674B"/>
    <w:rsid w:val="00C3678C"/>
    <w:rsid w:val="00C36F41"/>
    <w:rsid w:val="00C37197"/>
    <w:rsid w:val="00C371AD"/>
    <w:rsid w:val="00C3734D"/>
    <w:rsid w:val="00C378CA"/>
    <w:rsid w:val="00C401E7"/>
    <w:rsid w:val="00C412D1"/>
    <w:rsid w:val="00C41635"/>
    <w:rsid w:val="00C4194E"/>
    <w:rsid w:val="00C419E7"/>
    <w:rsid w:val="00C421EC"/>
    <w:rsid w:val="00C4228F"/>
    <w:rsid w:val="00C42473"/>
    <w:rsid w:val="00C433F3"/>
    <w:rsid w:val="00C4345B"/>
    <w:rsid w:val="00C4362C"/>
    <w:rsid w:val="00C43892"/>
    <w:rsid w:val="00C443AA"/>
    <w:rsid w:val="00C45A9D"/>
    <w:rsid w:val="00C46021"/>
    <w:rsid w:val="00C4636E"/>
    <w:rsid w:val="00C4686F"/>
    <w:rsid w:val="00C46A2B"/>
    <w:rsid w:val="00C46EC5"/>
    <w:rsid w:val="00C471E6"/>
    <w:rsid w:val="00C47ACA"/>
    <w:rsid w:val="00C50165"/>
    <w:rsid w:val="00C50288"/>
    <w:rsid w:val="00C50421"/>
    <w:rsid w:val="00C5047E"/>
    <w:rsid w:val="00C5076B"/>
    <w:rsid w:val="00C507E6"/>
    <w:rsid w:val="00C50D96"/>
    <w:rsid w:val="00C517CC"/>
    <w:rsid w:val="00C518F7"/>
    <w:rsid w:val="00C52087"/>
    <w:rsid w:val="00C52DA4"/>
    <w:rsid w:val="00C5389A"/>
    <w:rsid w:val="00C53A7B"/>
    <w:rsid w:val="00C5518A"/>
    <w:rsid w:val="00C5547A"/>
    <w:rsid w:val="00C5598B"/>
    <w:rsid w:val="00C55EA7"/>
    <w:rsid w:val="00C55F9B"/>
    <w:rsid w:val="00C5602E"/>
    <w:rsid w:val="00C601E9"/>
    <w:rsid w:val="00C6084C"/>
    <w:rsid w:val="00C61814"/>
    <w:rsid w:val="00C61BA4"/>
    <w:rsid w:val="00C61DF8"/>
    <w:rsid w:val="00C62559"/>
    <w:rsid w:val="00C629E4"/>
    <w:rsid w:val="00C62AB5"/>
    <w:rsid w:val="00C649D4"/>
    <w:rsid w:val="00C64F6F"/>
    <w:rsid w:val="00C658A1"/>
    <w:rsid w:val="00C6676C"/>
    <w:rsid w:val="00C66879"/>
    <w:rsid w:val="00C672F3"/>
    <w:rsid w:val="00C70671"/>
    <w:rsid w:val="00C7113B"/>
    <w:rsid w:val="00C71361"/>
    <w:rsid w:val="00C71834"/>
    <w:rsid w:val="00C72BDD"/>
    <w:rsid w:val="00C7315C"/>
    <w:rsid w:val="00C73ACF"/>
    <w:rsid w:val="00C73BF8"/>
    <w:rsid w:val="00C74572"/>
    <w:rsid w:val="00C747AB"/>
    <w:rsid w:val="00C7540F"/>
    <w:rsid w:val="00C75786"/>
    <w:rsid w:val="00C75B3A"/>
    <w:rsid w:val="00C75EB6"/>
    <w:rsid w:val="00C75F1A"/>
    <w:rsid w:val="00C76160"/>
    <w:rsid w:val="00C76FEB"/>
    <w:rsid w:val="00C773EE"/>
    <w:rsid w:val="00C807E9"/>
    <w:rsid w:val="00C8083E"/>
    <w:rsid w:val="00C80AE6"/>
    <w:rsid w:val="00C8194D"/>
    <w:rsid w:val="00C822D0"/>
    <w:rsid w:val="00C82570"/>
    <w:rsid w:val="00C82833"/>
    <w:rsid w:val="00C82FD0"/>
    <w:rsid w:val="00C8322D"/>
    <w:rsid w:val="00C83803"/>
    <w:rsid w:val="00C845A6"/>
    <w:rsid w:val="00C85B40"/>
    <w:rsid w:val="00C86E93"/>
    <w:rsid w:val="00C877C4"/>
    <w:rsid w:val="00C87E4D"/>
    <w:rsid w:val="00C90CC6"/>
    <w:rsid w:val="00C90F89"/>
    <w:rsid w:val="00C91919"/>
    <w:rsid w:val="00C9207A"/>
    <w:rsid w:val="00C92255"/>
    <w:rsid w:val="00C931C3"/>
    <w:rsid w:val="00C94AFD"/>
    <w:rsid w:val="00C94EA7"/>
    <w:rsid w:val="00C966A5"/>
    <w:rsid w:val="00C9716B"/>
    <w:rsid w:val="00C973A9"/>
    <w:rsid w:val="00C9770F"/>
    <w:rsid w:val="00C97795"/>
    <w:rsid w:val="00C97AE5"/>
    <w:rsid w:val="00C97C1C"/>
    <w:rsid w:val="00CA0676"/>
    <w:rsid w:val="00CA2208"/>
    <w:rsid w:val="00CA29F0"/>
    <w:rsid w:val="00CA2F57"/>
    <w:rsid w:val="00CA33BC"/>
    <w:rsid w:val="00CA352B"/>
    <w:rsid w:val="00CA374E"/>
    <w:rsid w:val="00CA39F2"/>
    <w:rsid w:val="00CA4115"/>
    <w:rsid w:val="00CA44FF"/>
    <w:rsid w:val="00CA4828"/>
    <w:rsid w:val="00CA4A5B"/>
    <w:rsid w:val="00CA4C29"/>
    <w:rsid w:val="00CA50BE"/>
    <w:rsid w:val="00CA5668"/>
    <w:rsid w:val="00CA5907"/>
    <w:rsid w:val="00CA60DC"/>
    <w:rsid w:val="00CA6D2F"/>
    <w:rsid w:val="00CA7076"/>
    <w:rsid w:val="00CB08B8"/>
    <w:rsid w:val="00CB0BAB"/>
    <w:rsid w:val="00CB118F"/>
    <w:rsid w:val="00CB25CD"/>
    <w:rsid w:val="00CB2748"/>
    <w:rsid w:val="00CB2D6F"/>
    <w:rsid w:val="00CB31A0"/>
    <w:rsid w:val="00CB36BF"/>
    <w:rsid w:val="00CB37D6"/>
    <w:rsid w:val="00CB3B28"/>
    <w:rsid w:val="00CB3D49"/>
    <w:rsid w:val="00CB4BF0"/>
    <w:rsid w:val="00CB5748"/>
    <w:rsid w:val="00CB5BDE"/>
    <w:rsid w:val="00CB5CD0"/>
    <w:rsid w:val="00CB6540"/>
    <w:rsid w:val="00CB7796"/>
    <w:rsid w:val="00CC0893"/>
    <w:rsid w:val="00CC0EC0"/>
    <w:rsid w:val="00CC11AC"/>
    <w:rsid w:val="00CC227E"/>
    <w:rsid w:val="00CC2385"/>
    <w:rsid w:val="00CC2CFF"/>
    <w:rsid w:val="00CC3058"/>
    <w:rsid w:val="00CC3E73"/>
    <w:rsid w:val="00CC483F"/>
    <w:rsid w:val="00CC69CB"/>
    <w:rsid w:val="00CC7886"/>
    <w:rsid w:val="00CC7BED"/>
    <w:rsid w:val="00CC7EA5"/>
    <w:rsid w:val="00CC7FAA"/>
    <w:rsid w:val="00CD047E"/>
    <w:rsid w:val="00CD05CC"/>
    <w:rsid w:val="00CD0EB2"/>
    <w:rsid w:val="00CD14BC"/>
    <w:rsid w:val="00CD2407"/>
    <w:rsid w:val="00CD2751"/>
    <w:rsid w:val="00CD27FA"/>
    <w:rsid w:val="00CD290B"/>
    <w:rsid w:val="00CD30F5"/>
    <w:rsid w:val="00CD35BF"/>
    <w:rsid w:val="00CD3A11"/>
    <w:rsid w:val="00CD3DDC"/>
    <w:rsid w:val="00CD497F"/>
    <w:rsid w:val="00CD4F86"/>
    <w:rsid w:val="00CD50F3"/>
    <w:rsid w:val="00CD5194"/>
    <w:rsid w:val="00CD51A5"/>
    <w:rsid w:val="00CD5662"/>
    <w:rsid w:val="00CD7006"/>
    <w:rsid w:val="00CD7078"/>
    <w:rsid w:val="00CD726E"/>
    <w:rsid w:val="00CD760D"/>
    <w:rsid w:val="00CD7615"/>
    <w:rsid w:val="00CD7897"/>
    <w:rsid w:val="00CD7EA8"/>
    <w:rsid w:val="00CE0483"/>
    <w:rsid w:val="00CE0625"/>
    <w:rsid w:val="00CE0731"/>
    <w:rsid w:val="00CE1540"/>
    <w:rsid w:val="00CE1875"/>
    <w:rsid w:val="00CE1C76"/>
    <w:rsid w:val="00CE2327"/>
    <w:rsid w:val="00CE3331"/>
    <w:rsid w:val="00CE366D"/>
    <w:rsid w:val="00CE4343"/>
    <w:rsid w:val="00CE45BA"/>
    <w:rsid w:val="00CE4A06"/>
    <w:rsid w:val="00CE525A"/>
    <w:rsid w:val="00CE572D"/>
    <w:rsid w:val="00CE5A2F"/>
    <w:rsid w:val="00CE6029"/>
    <w:rsid w:val="00CE6144"/>
    <w:rsid w:val="00CE633C"/>
    <w:rsid w:val="00CE6BF4"/>
    <w:rsid w:val="00CE6D35"/>
    <w:rsid w:val="00CE7A2D"/>
    <w:rsid w:val="00CE7B01"/>
    <w:rsid w:val="00CE7EF4"/>
    <w:rsid w:val="00CF0283"/>
    <w:rsid w:val="00CF03B3"/>
    <w:rsid w:val="00CF062E"/>
    <w:rsid w:val="00CF161E"/>
    <w:rsid w:val="00CF1FB4"/>
    <w:rsid w:val="00CF21CF"/>
    <w:rsid w:val="00CF29DE"/>
    <w:rsid w:val="00CF3B3C"/>
    <w:rsid w:val="00CF448C"/>
    <w:rsid w:val="00CF4542"/>
    <w:rsid w:val="00CF45AE"/>
    <w:rsid w:val="00CF5507"/>
    <w:rsid w:val="00CF5B7F"/>
    <w:rsid w:val="00CF5D1F"/>
    <w:rsid w:val="00CF72ED"/>
    <w:rsid w:val="00CF77B3"/>
    <w:rsid w:val="00CF7A3D"/>
    <w:rsid w:val="00D003F1"/>
    <w:rsid w:val="00D00539"/>
    <w:rsid w:val="00D009E7"/>
    <w:rsid w:val="00D00AE4"/>
    <w:rsid w:val="00D00B03"/>
    <w:rsid w:val="00D00DD6"/>
    <w:rsid w:val="00D01312"/>
    <w:rsid w:val="00D018AC"/>
    <w:rsid w:val="00D02DA9"/>
    <w:rsid w:val="00D02F4E"/>
    <w:rsid w:val="00D0371E"/>
    <w:rsid w:val="00D03925"/>
    <w:rsid w:val="00D040EB"/>
    <w:rsid w:val="00D04FA9"/>
    <w:rsid w:val="00D05221"/>
    <w:rsid w:val="00D056B2"/>
    <w:rsid w:val="00D05A9D"/>
    <w:rsid w:val="00D05F51"/>
    <w:rsid w:val="00D06DC3"/>
    <w:rsid w:val="00D06ED7"/>
    <w:rsid w:val="00D07327"/>
    <w:rsid w:val="00D0756B"/>
    <w:rsid w:val="00D07608"/>
    <w:rsid w:val="00D0790B"/>
    <w:rsid w:val="00D07CC1"/>
    <w:rsid w:val="00D07D28"/>
    <w:rsid w:val="00D07D84"/>
    <w:rsid w:val="00D10911"/>
    <w:rsid w:val="00D10C0B"/>
    <w:rsid w:val="00D1124B"/>
    <w:rsid w:val="00D11BD8"/>
    <w:rsid w:val="00D11BF2"/>
    <w:rsid w:val="00D123DB"/>
    <w:rsid w:val="00D12881"/>
    <w:rsid w:val="00D12FCF"/>
    <w:rsid w:val="00D132FE"/>
    <w:rsid w:val="00D138B6"/>
    <w:rsid w:val="00D142C1"/>
    <w:rsid w:val="00D15D81"/>
    <w:rsid w:val="00D17821"/>
    <w:rsid w:val="00D17851"/>
    <w:rsid w:val="00D17A4F"/>
    <w:rsid w:val="00D17E14"/>
    <w:rsid w:val="00D17E55"/>
    <w:rsid w:val="00D17EDB"/>
    <w:rsid w:val="00D21006"/>
    <w:rsid w:val="00D21D78"/>
    <w:rsid w:val="00D21D8F"/>
    <w:rsid w:val="00D21DF8"/>
    <w:rsid w:val="00D225FB"/>
    <w:rsid w:val="00D22BFA"/>
    <w:rsid w:val="00D22D6E"/>
    <w:rsid w:val="00D237E0"/>
    <w:rsid w:val="00D23A2B"/>
    <w:rsid w:val="00D23B6B"/>
    <w:rsid w:val="00D24A6E"/>
    <w:rsid w:val="00D251D4"/>
    <w:rsid w:val="00D25E4B"/>
    <w:rsid w:val="00D27872"/>
    <w:rsid w:val="00D30450"/>
    <w:rsid w:val="00D30D59"/>
    <w:rsid w:val="00D317AB"/>
    <w:rsid w:val="00D32A65"/>
    <w:rsid w:val="00D32FDF"/>
    <w:rsid w:val="00D33B2D"/>
    <w:rsid w:val="00D33E44"/>
    <w:rsid w:val="00D35D2D"/>
    <w:rsid w:val="00D407B6"/>
    <w:rsid w:val="00D41440"/>
    <w:rsid w:val="00D41F00"/>
    <w:rsid w:val="00D42281"/>
    <w:rsid w:val="00D4288D"/>
    <w:rsid w:val="00D431BC"/>
    <w:rsid w:val="00D43665"/>
    <w:rsid w:val="00D441BA"/>
    <w:rsid w:val="00D44ABA"/>
    <w:rsid w:val="00D44E0B"/>
    <w:rsid w:val="00D454F5"/>
    <w:rsid w:val="00D4575D"/>
    <w:rsid w:val="00D4613D"/>
    <w:rsid w:val="00D47998"/>
    <w:rsid w:val="00D47A20"/>
    <w:rsid w:val="00D47F63"/>
    <w:rsid w:val="00D50791"/>
    <w:rsid w:val="00D519AA"/>
    <w:rsid w:val="00D52005"/>
    <w:rsid w:val="00D52A40"/>
    <w:rsid w:val="00D52BFA"/>
    <w:rsid w:val="00D53689"/>
    <w:rsid w:val="00D53C40"/>
    <w:rsid w:val="00D53E23"/>
    <w:rsid w:val="00D542BA"/>
    <w:rsid w:val="00D548C6"/>
    <w:rsid w:val="00D54D27"/>
    <w:rsid w:val="00D55A8A"/>
    <w:rsid w:val="00D55C74"/>
    <w:rsid w:val="00D55D82"/>
    <w:rsid w:val="00D55EF2"/>
    <w:rsid w:val="00D561EA"/>
    <w:rsid w:val="00D56516"/>
    <w:rsid w:val="00D56595"/>
    <w:rsid w:val="00D6049E"/>
    <w:rsid w:val="00D60E58"/>
    <w:rsid w:val="00D61F79"/>
    <w:rsid w:val="00D622AC"/>
    <w:rsid w:val="00D62A2C"/>
    <w:rsid w:val="00D633F4"/>
    <w:rsid w:val="00D64735"/>
    <w:rsid w:val="00D64E25"/>
    <w:rsid w:val="00D65A6B"/>
    <w:rsid w:val="00D66AC7"/>
    <w:rsid w:val="00D67CDC"/>
    <w:rsid w:val="00D7107B"/>
    <w:rsid w:val="00D71283"/>
    <w:rsid w:val="00D71928"/>
    <w:rsid w:val="00D71C62"/>
    <w:rsid w:val="00D720B3"/>
    <w:rsid w:val="00D72875"/>
    <w:rsid w:val="00D73BF4"/>
    <w:rsid w:val="00D73EAA"/>
    <w:rsid w:val="00D752C5"/>
    <w:rsid w:val="00D7562C"/>
    <w:rsid w:val="00D756F9"/>
    <w:rsid w:val="00D7621C"/>
    <w:rsid w:val="00D7778B"/>
    <w:rsid w:val="00D778BF"/>
    <w:rsid w:val="00D77BAA"/>
    <w:rsid w:val="00D77E01"/>
    <w:rsid w:val="00D8048F"/>
    <w:rsid w:val="00D8078C"/>
    <w:rsid w:val="00D81211"/>
    <w:rsid w:val="00D81477"/>
    <w:rsid w:val="00D81C43"/>
    <w:rsid w:val="00D83F57"/>
    <w:rsid w:val="00D8473D"/>
    <w:rsid w:val="00D84E77"/>
    <w:rsid w:val="00D84FC3"/>
    <w:rsid w:val="00D853D0"/>
    <w:rsid w:val="00D863A2"/>
    <w:rsid w:val="00D866DF"/>
    <w:rsid w:val="00D86D53"/>
    <w:rsid w:val="00D86FEB"/>
    <w:rsid w:val="00D90AD1"/>
    <w:rsid w:val="00D90CC3"/>
    <w:rsid w:val="00D9106E"/>
    <w:rsid w:val="00D91390"/>
    <w:rsid w:val="00D91536"/>
    <w:rsid w:val="00D92850"/>
    <w:rsid w:val="00D92869"/>
    <w:rsid w:val="00D9292B"/>
    <w:rsid w:val="00D92CA5"/>
    <w:rsid w:val="00D92D5C"/>
    <w:rsid w:val="00D92E2D"/>
    <w:rsid w:val="00D934C0"/>
    <w:rsid w:val="00D9371F"/>
    <w:rsid w:val="00D95825"/>
    <w:rsid w:val="00D95A10"/>
    <w:rsid w:val="00D96C5D"/>
    <w:rsid w:val="00D97B77"/>
    <w:rsid w:val="00D97E12"/>
    <w:rsid w:val="00DA00D4"/>
    <w:rsid w:val="00DA0F5E"/>
    <w:rsid w:val="00DA137C"/>
    <w:rsid w:val="00DA155E"/>
    <w:rsid w:val="00DA1E80"/>
    <w:rsid w:val="00DA2038"/>
    <w:rsid w:val="00DA2E8E"/>
    <w:rsid w:val="00DA37B9"/>
    <w:rsid w:val="00DA380C"/>
    <w:rsid w:val="00DA387C"/>
    <w:rsid w:val="00DA3ACD"/>
    <w:rsid w:val="00DA3F56"/>
    <w:rsid w:val="00DA4C57"/>
    <w:rsid w:val="00DA510A"/>
    <w:rsid w:val="00DA5737"/>
    <w:rsid w:val="00DA6028"/>
    <w:rsid w:val="00DA6548"/>
    <w:rsid w:val="00DA6771"/>
    <w:rsid w:val="00DA6EF1"/>
    <w:rsid w:val="00DA7373"/>
    <w:rsid w:val="00DA73B9"/>
    <w:rsid w:val="00DA7D93"/>
    <w:rsid w:val="00DA7FDA"/>
    <w:rsid w:val="00DB06D7"/>
    <w:rsid w:val="00DB1530"/>
    <w:rsid w:val="00DB1D4F"/>
    <w:rsid w:val="00DB2389"/>
    <w:rsid w:val="00DB2A0E"/>
    <w:rsid w:val="00DB317C"/>
    <w:rsid w:val="00DB3B89"/>
    <w:rsid w:val="00DB3D2C"/>
    <w:rsid w:val="00DB4097"/>
    <w:rsid w:val="00DB464F"/>
    <w:rsid w:val="00DB4B34"/>
    <w:rsid w:val="00DB4EBF"/>
    <w:rsid w:val="00DB50D1"/>
    <w:rsid w:val="00DB54B6"/>
    <w:rsid w:val="00DB55A5"/>
    <w:rsid w:val="00DB5698"/>
    <w:rsid w:val="00DB5E55"/>
    <w:rsid w:val="00DC000E"/>
    <w:rsid w:val="00DC003B"/>
    <w:rsid w:val="00DC0211"/>
    <w:rsid w:val="00DC036A"/>
    <w:rsid w:val="00DC095E"/>
    <w:rsid w:val="00DC0F21"/>
    <w:rsid w:val="00DC1426"/>
    <w:rsid w:val="00DC1850"/>
    <w:rsid w:val="00DC3B3F"/>
    <w:rsid w:val="00DC3D31"/>
    <w:rsid w:val="00DC42A9"/>
    <w:rsid w:val="00DC5AD0"/>
    <w:rsid w:val="00DC6897"/>
    <w:rsid w:val="00DC7171"/>
    <w:rsid w:val="00DC7231"/>
    <w:rsid w:val="00DD002A"/>
    <w:rsid w:val="00DD029B"/>
    <w:rsid w:val="00DD08E4"/>
    <w:rsid w:val="00DD10B6"/>
    <w:rsid w:val="00DD12A1"/>
    <w:rsid w:val="00DD180E"/>
    <w:rsid w:val="00DD1858"/>
    <w:rsid w:val="00DD1A07"/>
    <w:rsid w:val="00DD31B9"/>
    <w:rsid w:val="00DD37FD"/>
    <w:rsid w:val="00DD3D7C"/>
    <w:rsid w:val="00DD4BCD"/>
    <w:rsid w:val="00DD5F1A"/>
    <w:rsid w:val="00DD7567"/>
    <w:rsid w:val="00DD78C4"/>
    <w:rsid w:val="00DD7F3F"/>
    <w:rsid w:val="00DE08FA"/>
    <w:rsid w:val="00DE1B4E"/>
    <w:rsid w:val="00DE1B92"/>
    <w:rsid w:val="00DE1C02"/>
    <w:rsid w:val="00DE239D"/>
    <w:rsid w:val="00DE2CCD"/>
    <w:rsid w:val="00DE30E9"/>
    <w:rsid w:val="00DE3490"/>
    <w:rsid w:val="00DE37E2"/>
    <w:rsid w:val="00DE3835"/>
    <w:rsid w:val="00DE38D2"/>
    <w:rsid w:val="00DE414D"/>
    <w:rsid w:val="00DE54EA"/>
    <w:rsid w:val="00DE5D17"/>
    <w:rsid w:val="00DE6280"/>
    <w:rsid w:val="00DE6284"/>
    <w:rsid w:val="00DE70DC"/>
    <w:rsid w:val="00DE7985"/>
    <w:rsid w:val="00DE7AB9"/>
    <w:rsid w:val="00DE7EFC"/>
    <w:rsid w:val="00DF0ED4"/>
    <w:rsid w:val="00DF1630"/>
    <w:rsid w:val="00DF1EBA"/>
    <w:rsid w:val="00DF21FE"/>
    <w:rsid w:val="00DF266B"/>
    <w:rsid w:val="00DF2B57"/>
    <w:rsid w:val="00DF2D88"/>
    <w:rsid w:val="00DF36D1"/>
    <w:rsid w:val="00DF42CA"/>
    <w:rsid w:val="00DF54B5"/>
    <w:rsid w:val="00DF63E7"/>
    <w:rsid w:val="00DF7128"/>
    <w:rsid w:val="00DF72B4"/>
    <w:rsid w:val="00DF72E3"/>
    <w:rsid w:val="00DF7CAA"/>
    <w:rsid w:val="00E005E1"/>
    <w:rsid w:val="00E00988"/>
    <w:rsid w:val="00E01A25"/>
    <w:rsid w:val="00E034DE"/>
    <w:rsid w:val="00E035E1"/>
    <w:rsid w:val="00E03D18"/>
    <w:rsid w:val="00E04853"/>
    <w:rsid w:val="00E04A31"/>
    <w:rsid w:val="00E050CC"/>
    <w:rsid w:val="00E05E09"/>
    <w:rsid w:val="00E05E1B"/>
    <w:rsid w:val="00E061E6"/>
    <w:rsid w:val="00E075CA"/>
    <w:rsid w:val="00E07DFA"/>
    <w:rsid w:val="00E07FB2"/>
    <w:rsid w:val="00E1090D"/>
    <w:rsid w:val="00E11CB2"/>
    <w:rsid w:val="00E11E6C"/>
    <w:rsid w:val="00E122CF"/>
    <w:rsid w:val="00E126CB"/>
    <w:rsid w:val="00E12B98"/>
    <w:rsid w:val="00E14A96"/>
    <w:rsid w:val="00E15398"/>
    <w:rsid w:val="00E156BB"/>
    <w:rsid w:val="00E15FA1"/>
    <w:rsid w:val="00E162AC"/>
    <w:rsid w:val="00E164F1"/>
    <w:rsid w:val="00E16B06"/>
    <w:rsid w:val="00E17166"/>
    <w:rsid w:val="00E17177"/>
    <w:rsid w:val="00E17737"/>
    <w:rsid w:val="00E1776D"/>
    <w:rsid w:val="00E17799"/>
    <w:rsid w:val="00E208BE"/>
    <w:rsid w:val="00E21233"/>
    <w:rsid w:val="00E21336"/>
    <w:rsid w:val="00E213EF"/>
    <w:rsid w:val="00E2147F"/>
    <w:rsid w:val="00E21C39"/>
    <w:rsid w:val="00E22034"/>
    <w:rsid w:val="00E2215D"/>
    <w:rsid w:val="00E2326B"/>
    <w:rsid w:val="00E23DD9"/>
    <w:rsid w:val="00E24AD8"/>
    <w:rsid w:val="00E2505E"/>
    <w:rsid w:val="00E2564E"/>
    <w:rsid w:val="00E25836"/>
    <w:rsid w:val="00E25FA8"/>
    <w:rsid w:val="00E26737"/>
    <w:rsid w:val="00E26A3A"/>
    <w:rsid w:val="00E26F1F"/>
    <w:rsid w:val="00E27691"/>
    <w:rsid w:val="00E3020B"/>
    <w:rsid w:val="00E31214"/>
    <w:rsid w:val="00E319B9"/>
    <w:rsid w:val="00E32ABB"/>
    <w:rsid w:val="00E32B8C"/>
    <w:rsid w:val="00E32C79"/>
    <w:rsid w:val="00E33408"/>
    <w:rsid w:val="00E336CA"/>
    <w:rsid w:val="00E345EF"/>
    <w:rsid w:val="00E34B1C"/>
    <w:rsid w:val="00E35DED"/>
    <w:rsid w:val="00E3631D"/>
    <w:rsid w:val="00E3632B"/>
    <w:rsid w:val="00E36475"/>
    <w:rsid w:val="00E364E7"/>
    <w:rsid w:val="00E36534"/>
    <w:rsid w:val="00E367CA"/>
    <w:rsid w:val="00E3700C"/>
    <w:rsid w:val="00E40238"/>
    <w:rsid w:val="00E41256"/>
    <w:rsid w:val="00E416ED"/>
    <w:rsid w:val="00E424DC"/>
    <w:rsid w:val="00E425A2"/>
    <w:rsid w:val="00E43219"/>
    <w:rsid w:val="00E442F2"/>
    <w:rsid w:val="00E447DC"/>
    <w:rsid w:val="00E44C0C"/>
    <w:rsid w:val="00E44D1C"/>
    <w:rsid w:val="00E45523"/>
    <w:rsid w:val="00E45CC1"/>
    <w:rsid w:val="00E45EB1"/>
    <w:rsid w:val="00E46054"/>
    <w:rsid w:val="00E46429"/>
    <w:rsid w:val="00E46DC7"/>
    <w:rsid w:val="00E474F1"/>
    <w:rsid w:val="00E47855"/>
    <w:rsid w:val="00E50070"/>
    <w:rsid w:val="00E50654"/>
    <w:rsid w:val="00E50A21"/>
    <w:rsid w:val="00E50CC7"/>
    <w:rsid w:val="00E51590"/>
    <w:rsid w:val="00E5273E"/>
    <w:rsid w:val="00E52DF2"/>
    <w:rsid w:val="00E53105"/>
    <w:rsid w:val="00E5326E"/>
    <w:rsid w:val="00E532F3"/>
    <w:rsid w:val="00E5345A"/>
    <w:rsid w:val="00E53A1A"/>
    <w:rsid w:val="00E53B9D"/>
    <w:rsid w:val="00E54744"/>
    <w:rsid w:val="00E54EB7"/>
    <w:rsid w:val="00E5549F"/>
    <w:rsid w:val="00E5610E"/>
    <w:rsid w:val="00E5726B"/>
    <w:rsid w:val="00E5762C"/>
    <w:rsid w:val="00E576E2"/>
    <w:rsid w:val="00E606E4"/>
    <w:rsid w:val="00E60C25"/>
    <w:rsid w:val="00E60C75"/>
    <w:rsid w:val="00E6126E"/>
    <w:rsid w:val="00E62D43"/>
    <w:rsid w:val="00E62E4A"/>
    <w:rsid w:val="00E63604"/>
    <w:rsid w:val="00E63AF2"/>
    <w:rsid w:val="00E63DCC"/>
    <w:rsid w:val="00E63E08"/>
    <w:rsid w:val="00E6436B"/>
    <w:rsid w:val="00E64652"/>
    <w:rsid w:val="00E64FBF"/>
    <w:rsid w:val="00E66219"/>
    <w:rsid w:val="00E664DE"/>
    <w:rsid w:val="00E668DC"/>
    <w:rsid w:val="00E66EE1"/>
    <w:rsid w:val="00E675C9"/>
    <w:rsid w:val="00E67AAE"/>
    <w:rsid w:val="00E7040A"/>
    <w:rsid w:val="00E70900"/>
    <w:rsid w:val="00E70B2A"/>
    <w:rsid w:val="00E70C89"/>
    <w:rsid w:val="00E7135F"/>
    <w:rsid w:val="00E71685"/>
    <w:rsid w:val="00E72976"/>
    <w:rsid w:val="00E72FA5"/>
    <w:rsid w:val="00E73C96"/>
    <w:rsid w:val="00E73F7F"/>
    <w:rsid w:val="00E7531A"/>
    <w:rsid w:val="00E75E10"/>
    <w:rsid w:val="00E75FD6"/>
    <w:rsid w:val="00E7649F"/>
    <w:rsid w:val="00E7692D"/>
    <w:rsid w:val="00E76CEC"/>
    <w:rsid w:val="00E76E83"/>
    <w:rsid w:val="00E76FD2"/>
    <w:rsid w:val="00E80351"/>
    <w:rsid w:val="00E808B9"/>
    <w:rsid w:val="00E80B06"/>
    <w:rsid w:val="00E81AE2"/>
    <w:rsid w:val="00E82101"/>
    <w:rsid w:val="00E831C3"/>
    <w:rsid w:val="00E83F86"/>
    <w:rsid w:val="00E840D7"/>
    <w:rsid w:val="00E8467F"/>
    <w:rsid w:val="00E8484F"/>
    <w:rsid w:val="00E8632B"/>
    <w:rsid w:val="00E869E9"/>
    <w:rsid w:val="00E878A1"/>
    <w:rsid w:val="00E87921"/>
    <w:rsid w:val="00E90F95"/>
    <w:rsid w:val="00E91553"/>
    <w:rsid w:val="00E916B2"/>
    <w:rsid w:val="00E920E0"/>
    <w:rsid w:val="00E9374B"/>
    <w:rsid w:val="00E93A95"/>
    <w:rsid w:val="00E94CF1"/>
    <w:rsid w:val="00E94F55"/>
    <w:rsid w:val="00E94FE2"/>
    <w:rsid w:val="00E96194"/>
    <w:rsid w:val="00EA008B"/>
    <w:rsid w:val="00EA0FD9"/>
    <w:rsid w:val="00EA156B"/>
    <w:rsid w:val="00EA1D7E"/>
    <w:rsid w:val="00EA2F9C"/>
    <w:rsid w:val="00EA3F1B"/>
    <w:rsid w:val="00EA4070"/>
    <w:rsid w:val="00EA4DD0"/>
    <w:rsid w:val="00EA5429"/>
    <w:rsid w:val="00EA54DF"/>
    <w:rsid w:val="00EA6614"/>
    <w:rsid w:val="00EA66FD"/>
    <w:rsid w:val="00EA68D7"/>
    <w:rsid w:val="00EA7CF2"/>
    <w:rsid w:val="00EA7ED5"/>
    <w:rsid w:val="00EB0158"/>
    <w:rsid w:val="00EB0BEB"/>
    <w:rsid w:val="00EB0CE0"/>
    <w:rsid w:val="00EB0D96"/>
    <w:rsid w:val="00EB1145"/>
    <w:rsid w:val="00EB14AC"/>
    <w:rsid w:val="00EB1DD4"/>
    <w:rsid w:val="00EB1E54"/>
    <w:rsid w:val="00EB235F"/>
    <w:rsid w:val="00EB280C"/>
    <w:rsid w:val="00EB2EC1"/>
    <w:rsid w:val="00EB2F55"/>
    <w:rsid w:val="00EB39C6"/>
    <w:rsid w:val="00EB4C0D"/>
    <w:rsid w:val="00EB4E73"/>
    <w:rsid w:val="00EB5569"/>
    <w:rsid w:val="00EB5F48"/>
    <w:rsid w:val="00EB77F2"/>
    <w:rsid w:val="00EB7DEC"/>
    <w:rsid w:val="00EB7E0D"/>
    <w:rsid w:val="00EC028A"/>
    <w:rsid w:val="00EC0419"/>
    <w:rsid w:val="00EC109B"/>
    <w:rsid w:val="00EC1A23"/>
    <w:rsid w:val="00EC3173"/>
    <w:rsid w:val="00EC325F"/>
    <w:rsid w:val="00EC3262"/>
    <w:rsid w:val="00EC47D6"/>
    <w:rsid w:val="00EC4AEF"/>
    <w:rsid w:val="00EC4E50"/>
    <w:rsid w:val="00EC55C0"/>
    <w:rsid w:val="00EC58F4"/>
    <w:rsid w:val="00EC5AD7"/>
    <w:rsid w:val="00EC63A6"/>
    <w:rsid w:val="00EC687C"/>
    <w:rsid w:val="00EC68BC"/>
    <w:rsid w:val="00EC6EAC"/>
    <w:rsid w:val="00EC745A"/>
    <w:rsid w:val="00EC74FC"/>
    <w:rsid w:val="00ED1CAD"/>
    <w:rsid w:val="00ED2B03"/>
    <w:rsid w:val="00ED2FAE"/>
    <w:rsid w:val="00ED4811"/>
    <w:rsid w:val="00ED4F45"/>
    <w:rsid w:val="00ED4F7B"/>
    <w:rsid w:val="00ED5106"/>
    <w:rsid w:val="00ED5343"/>
    <w:rsid w:val="00ED5EB9"/>
    <w:rsid w:val="00ED5F01"/>
    <w:rsid w:val="00ED65A3"/>
    <w:rsid w:val="00ED6A5A"/>
    <w:rsid w:val="00ED75A8"/>
    <w:rsid w:val="00ED78C5"/>
    <w:rsid w:val="00ED7F80"/>
    <w:rsid w:val="00EE066E"/>
    <w:rsid w:val="00EE0BB4"/>
    <w:rsid w:val="00EE0F0E"/>
    <w:rsid w:val="00EE1551"/>
    <w:rsid w:val="00EE2B16"/>
    <w:rsid w:val="00EE3599"/>
    <w:rsid w:val="00EE3601"/>
    <w:rsid w:val="00EE4ACE"/>
    <w:rsid w:val="00EE5F90"/>
    <w:rsid w:val="00EE5FC6"/>
    <w:rsid w:val="00EE61E9"/>
    <w:rsid w:val="00EE6845"/>
    <w:rsid w:val="00EE6C11"/>
    <w:rsid w:val="00EE7A2A"/>
    <w:rsid w:val="00EF01C8"/>
    <w:rsid w:val="00EF0888"/>
    <w:rsid w:val="00EF130F"/>
    <w:rsid w:val="00EF1C59"/>
    <w:rsid w:val="00EF1E33"/>
    <w:rsid w:val="00EF210F"/>
    <w:rsid w:val="00EF2960"/>
    <w:rsid w:val="00EF3027"/>
    <w:rsid w:val="00EF31DF"/>
    <w:rsid w:val="00EF33AC"/>
    <w:rsid w:val="00EF3924"/>
    <w:rsid w:val="00EF3A02"/>
    <w:rsid w:val="00EF3F89"/>
    <w:rsid w:val="00EF4357"/>
    <w:rsid w:val="00EF4AF1"/>
    <w:rsid w:val="00EF4BD1"/>
    <w:rsid w:val="00EF522C"/>
    <w:rsid w:val="00EF5B2C"/>
    <w:rsid w:val="00EF5D27"/>
    <w:rsid w:val="00EF5D71"/>
    <w:rsid w:val="00EF5D96"/>
    <w:rsid w:val="00EF66C8"/>
    <w:rsid w:val="00EF6780"/>
    <w:rsid w:val="00EF71AD"/>
    <w:rsid w:val="00EF72BE"/>
    <w:rsid w:val="00EF75DA"/>
    <w:rsid w:val="00F006AD"/>
    <w:rsid w:val="00F009A4"/>
    <w:rsid w:val="00F00B1B"/>
    <w:rsid w:val="00F00CC2"/>
    <w:rsid w:val="00F013CB"/>
    <w:rsid w:val="00F015E4"/>
    <w:rsid w:val="00F03329"/>
    <w:rsid w:val="00F03BDD"/>
    <w:rsid w:val="00F03C38"/>
    <w:rsid w:val="00F03DE2"/>
    <w:rsid w:val="00F04759"/>
    <w:rsid w:val="00F05966"/>
    <w:rsid w:val="00F060EB"/>
    <w:rsid w:val="00F10328"/>
    <w:rsid w:val="00F10EB7"/>
    <w:rsid w:val="00F12458"/>
    <w:rsid w:val="00F125A4"/>
    <w:rsid w:val="00F12900"/>
    <w:rsid w:val="00F12C5B"/>
    <w:rsid w:val="00F13896"/>
    <w:rsid w:val="00F145B2"/>
    <w:rsid w:val="00F14A11"/>
    <w:rsid w:val="00F14F9A"/>
    <w:rsid w:val="00F158F4"/>
    <w:rsid w:val="00F15CEE"/>
    <w:rsid w:val="00F16BF5"/>
    <w:rsid w:val="00F16D23"/>
    <w:rsid w:val="00F16E37"/>
    <w:rsid w:val="00F174BE"/>
    <w:rsid w:val="00F179C9"/>
    <w:rsid w:val="00F20596"/>
    <w:rsid w:val="00F205EA"/>
    <w:rsid w:val="00F2116C"/>
    <w:rsid w:val="00F2131C"/>
    <w:rsid w:val="00F2165A"/>
    <w:rsid w:val="00F21906"/>
    <w:rsid w:val="00F21EDB"/>
    <w:rsid w:val="00F22129"/>
    <w:rsid w:val="00F22366"/>
    <w:rsid w:val="00F242EA"/>
    <w:rsid w:val="00F253E8"/>
    <w:rsid w:val="00F261D0"/>
    <w:rsid w:val="00F2694D"/>
    <w:rsid w:val="00F2760B"/>
    <w:rsid w:val="00F3103D"/>
    <w:rsid w:val="00F32361"/>
    <w:rsid w:val="00F327F2"/>
    <w:rsid w:val="00F33744"/>
    <w:rsid w:val="00F33790"/>
    <w:rsid w:val="00F3379A"/>
    <w:rsid w:val="00F337AD"/>
    <w:rsid w:val="00F34191"/>
    <w:rsid w:val="00F3447D"/>
    <w:rsid w:val="00F348F3"/>
    <w:rsid w:val="00F35164"/>
    <w:rsid w:val="00F3540F"/>
    <w:rsid w:val="00F358C6"/>
    <w:rsid w:val="00F35997"/>
    <w:rsid w:val="00F36026"/>
    <w:rsid w:val="00F366B8"/>
    <w:rsid w:val="00F37A49"/>
    <w:rsid w:val="00F40171"/>
    <w:rsid w:val="00F40ACD"/>
    <w:rsid w:val="00F40CAE"/>
    <w:rsid w:val="00F40DF7"/>
    <w:rsid w:val="00F40FB8"/>
    <w:rsid w:val="00F418AD"/>
    <w:rsid w:val="00F41A47"/>
    <w:rsid w:val="00F42744"/>
    <w:rsid w:val="00F427F1"/>
    <w:rsid w:val="00F42D6C"/>
    <w:rsid w:val="00F42E95"/>
    <w:rsid w:val="00F432CF"/>
    <w:rsid w:val="00F4433C"/>
    <w:rsid w:val="00F45806"/>
    <w:rsid w:val="00F45811"/>
    <w:rsid w:val="00F47E61"/>
    <w:rsid w:val="00F50207"/>
    <w:rsid w:val="00F50BC9"/>
    <w:rsid w:val="00F50E1A"/>
    <w:rsid w:val="00F50E26"/>
    <w:rsid w:val="00F51A21"/>
    <w:rsid w:val="00F51A47"/>
    <w:rsid w:val="00F51EC6"/>
    <w:rsid w:val="00F51F91"/>
    <w:rsid w:val="00F5288F"/>
    <w:rsid w:val="00F5297B"/>
    <w:rsid w:val="00F533B5"/>
    <w:rsid w:val="00F54BA1"/>
    <w:rsid w:val="00F557E4"/>
    <w:rsid w:val="00F575BB"/>
    <w:rsid w:val="00F57797"/>
    <w:rsid w:val="00F579AB"/>
    <w:rsid w:val="00F57C0D"/>
    <w:rsid w:val="00F60330"/>
    <w:rsid w:val="00F60B31"/>
    <w:rsid w:val="00F60D68"/>
    <w:rsid w:val="00F61054"/>
    <w:rsid w:val="00F612FB"/>
    <w:rsid w:val="00F615FF"/>
    <w:rsid w:val="00F6169B"/>
    <w:rsid w:val="00F617D1"/>
    <w:rsid w:val="00F619B8"/>
    <w:rsid w:val="00F6259D"/>
    <w:rsid w:val="00F628D5"/>
    <w:rsid w:val="00F62D4C"/>
    <w:rsid w:val="00F6493F"/>
    <w:rsid w:val="00F64E48"/>
    <w:rsid w:val="00F650E1"/>
    <w:rsid w:val="00F65AB0"/>
    <w:rsid w:val="00F65B99"/>
    <w:rsid w:val="00F65F2E"/>
    <w:rsid w:val="00F662A1"/>
    <w:rsid w:val="00F67472"/>
    <w:rsid w:val="00F67DF0"/>
    <w:rsid w:val="00F7077E"/>
    <w:rsid w:val="00F70D55"/>
    <w:rsid w:val="00F71679"/>
    <w:rsid w:val="00F719D8"/>
    <w:rsid w:val="00F71D6A"/>
    <w:rsid w:val="00F72315"/>
    <w:rsid w:val="00F72894"/>
    <w:rsid w:val="00F732D9"/>
    <w:rsid w:val="00F73B81"/>
    <w:rsid w:val="00F73C00"/>
    <w:rsid w:val="00F7435A"/>
    <w:rsid w:val="00F7496C"/>
    <w:rsid w:val="00F763E4"/>
    <w:rsid w:val="00F768B3"/>
    <w:rsid w:val="00F778D4"/>
    <w:rsid w:val="00F778FB"/>
    <w:rsid w:val="00F779BB"/>
    <w:rsid w:val="00F8002A"/>
    <w:rsid w:val="00F8026B"/>
    <w:rsid w:val="00F8030B"/>
    <w:rsid w:val="00F80BB7"/>
    <w:rsid w:val="00F80D90"/>
    <w:rsid w:val="00F8111E"/>
    <w:rsid w:val="00F819A3"/>
    <w:rsid w:val="00F81C83"/>
    <w:rsid w:val="00F81F5B"/>
    <w:rsid w:val="00F829FB"/>
    <w:rsid w:val="00F82BBC"/>
    <w:rsid w:val="00F82C78"/>
    <w:rsid w:val="00F8360C"/>
    <w:rsid w:val="00F842F3"/>
    <w:rsid w:val="00F84CD6"/>
    <w:rsid w:val="00F85DAD"/>
    <w:rsid w:val="00F85F6A"/>
    <w:rsid w:val="00F86327"/>
    <w:rsid w:val="00F86899"/>
    <w:rsid w:val="00F87B7E"/>
    <w:rsid w:val="00F9002C"/>
    <w:rsid w:val="00F90886"/>
    <w:rsid w:val="00F90C91"/>
    <w:rsid w:val="00F91515"/>
    <w:rsid w:val="00F91C0C"/>
    <w:rsid w:val="00F91CB2"/>
    <w:rsid w:val="00F9200C"/>
    <w:rsid w:val="00F926A1"/>
    <w:rsid w:val="00F92BF8"/>
    <w:rsid w:val="00F92CC3"/>
    <w:rsid w:val="00F932AA"/>
    <w:rsid w:val="00F93B37"/>
    <w:rsid w:val="00F94A4E"/>
    <w:rsid w:val="00F95083"/>
    <w:rsid w:val="00F950FE"/>
    <w:rsid w:val="00F95638"/>
    <w:rsid w:val="00F9588F"/>
    <w:rsid w:val="00F95971"/>
    <w:rsid w:val="00F95D05"/>
    <w:rsid w:val="00F96189"/>
    <w:rsid w:val="00F9640D"/>
    <w:rsid w:val="00F96427"/>
    <w:rsid w:val="00F96773"/>
    <w:rsid w:val="00F97A19"/>
    <w:rsid w:val="00F97BA5"/>
    <w:rsid w:val="00F97CC1"/>
    <w:rsid w:val="00FA012B"/>
    <w:rsid w:val="00FA0230"/>
    <w:rsid w:val="00FA05E1"/>
    <w:rsid w:val="00FA0724"/>
    <w:rsid w:val="00FA08E2"/>
    <w:rsid w:val="00FA0947"/>
    <w:rsid w:val="00FA09CB"/>
    <w:rsid w:val="00FA0F6B"/>
    <w:rsid w:val="00FA0FEC"/>
    <w:rsid w:val="00FA1EB2"/>
    <w:rsid w:val="00FA29AC"/>
    <w:rsid w:val="00FA2BD1"/>
    <w:rsid w:val="00FA33AE"/>
    <w:rsid w:val="00FA359C"/>
    <w:rsid w:val="00FA3932"/>
    <w:rsid w:val="00FA395C"/>
    <w:rsid w:val="00FA3B6D"/>
    <w:rsid w:val="00FA49DE"/>
    <w:rsid w:val="00FA5362"/>
    <w:rsid w:val="00FA578F"/>
    <w:rsid w:val="00FA6F2A"/>
    <w:rsid w:val="00FA7799"/>
    <w:rsid w:val="00FA7B6A"/>
    <w:rsid w:val="00FB0872"/>
    <w:rsid w:val="00FB0C8D"/>
    <w:rsid w:val="00FB0F6B"/>
    <w:rsid w:val="00FB31A8"/>
    <w:rsid w:val="00FB378D"/>
    <w:rsid w:val="00FB3C2B"/>
    <w:rsid w:val="00FB3DB1"/>
    <w:rsid w:val="00FB3E93"/>
    <w:rsid w:val="00FB3F3B"/>
    <w:rsid w:val="00FB4D12"/>
    <w:rsid w:val="00FB6C74"/>
    <w:rsid w:val="00FB7C24"/>
    <w:rsid w:val="00FC0018"/>
    <w:rsid w:val="00FC07D9"/>
    <w:rsid w:val="00FC09F3"/>
    <w:rsid w:val="00FC0EE4"/>
    <w:rsid w:val="00FC12DD"/>
    <w:rsid w:val="00FC183B"/>
    <w:rsid w:val="00FC22FD"/>
    <w:rsid w:val="00FC29AF"/>
    <w:rsid w:val="00FC29E4"/>
    <w:rsid w:val="00FC2D32"/>
    <w:rsid w:val="00FC3CC5"/>
    <w:rsid w:val="00FC4EB9"/>
    <w:rsid w:val="00FC4F15"/>
    <w:rsid w:val="00FC4FE2"/>
    <w:rsid w:val="00FC6312"/>
    <w:rsid w:val="00FC6956"/>
    <w:rsid w:val="00FC6AD3"/>
    <w:rsid w:val="00FC6C29"/>
    <w:rsid w:val="00FC71ED"/>
    <w:rsid w:val="00FC7D56"/>
    <w:rsid w:val="00FD067F"/>
    <w:rsid w:val="00FD0B96"/>
    <w:rsid w:val="00FD0BCD"/>
    <w:rsid w:val="00FD1220"/>
    <w:rsid w:val="00FD214B"/>
    <w:rsid w:val="00FD29BB"/>
    <w:rsid w:val="00FD2D07"/>
    <w:rsid w:val="00FD4296"/>
    <w:rsid w:val="00FD49DC"/>
    <w:rsid w:val="00FD5391"/>
    <w:rsid w:val="00FD5ACF"/>
    <w:rsid w:val="00FD5F7E"/>
    <w:rsid w:val="00FD6069"/>
    <w:rsid w:val="00FD60DA"/>
    <w:rsid w:val="00FD7078"/>
    <w:rsid w:val="00FD7BCA"/>
    <w:rsid w:val="00FE0393"/>
    <w:rsid w:val="00FE0636"/>
    <w:rsid w:val="00FE093E"/>
    <w:rsid w:val="00FE0D70"/>
    <w:rsid w:val="00FE141B"/>
    <w:rsid w:val="00FE1FAE"/>
    <w:rsid w:val="00FE2C0A"/>
    <w:rsid w:val="00FE2DE6"/>
    <w:rsid w:val="00FE30A1"/>
    <w:rsid w:val="00FE3447"/>
    <w:rsid w:val="00FE3783"/>
    <w:rsid w:val="00FE3D23"/>
    <w:rsid w:val="00FE41DC"/>
    <w:rsid w:val="00FE4B96"/>
    <w:rsid w:val="00FE68AF"/>
    <w:rsid w:val="00FE6959"/>
    <w:rsid w:val="00FF016E"/>
    <w:rsid w:val="00FF05E5"/>
    <w:rsid w:val="00FF0F80"/>
    <w:rsid w:val="00FF10B4"/>
    <w:rsid w:val="00FF1120"/>
    <w:rsid w:val="00FF12A0"/>
    <w:rsid w:val="00FF1ABA"/>
    <w:rsid w:val="00FF279A"/>
    <w:rsid w:val="00FF29FA"/>
    <w:rsid w:val="00FF3404"/>
    <w:rsid w:val="00FF3579"/>
    <w:rsid w:val="00FF3A81"/>
    <w:rsid w:val="00FF3B5F"/>
    <w:rsid w:val="00FF3DE9"/>
    <w:rsid w:val="00FF4695"/>
    <w:rsid w:val="00FF4B69"/>
    <w:rsid w:val="00FF53CD"/>
    <w:rsid w:val="00FF583B"/>
    <w:rsid w:val="00FF58E7"/>
    <w:rsid w:val="00FF5B41"/>
    <w:rsid w:val="00FF6DAE"/>
    <w:rsid w:val="00FF75C2"/>
    <w:rsid w:val="00FF79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CC3C52E"/>
  <w15:docId w15:val="{E2FE0BFB-0203-4591-9BE7-D47279F4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qFormat="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qFormat="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0"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40C"/>
    <w:pPr>
      <w:spacing w:after="120" w:line="276" w:lineRule="auto"/>
    </w:pPr>
    <w:rPr>
      <w:rFonts w:ascii="Times New Roman" w:hAnsi="Times New Roman"/>
      <w:sz w:val="24"/>
      <w:szCs w:val="22"/>
      <w:lang w:val="en-US"/>
    </w:rPr>
  </w:style>
  <w:style w:type="paragraph" w:styleId="Heading1">
    <w:name w:val="heading 1"/>
    <w:basedOn w:val="Normal"/>
    <w:next w:val="Normal"/>
    <w:link w:val="Heading1Char"/>
    <w:uiPriority w:val="9"/>
    <w:qFormat/>
    <w:rsid w:val="00720471"/>
    <w:pPr>
      <w:keepNext/>
      <w:keepLines/>
      <w:spacing w:before="240" w:after="240"/>
      <w:ind w:left="720" w:hanging="720"/>
      <w:outlineLvl w:val="0"/>
    </w:pPr>
    <w:rPr>
      <w:rFonts w:eastAsia="Times New Roman"/>
      <w:b/>
      <w:bCs/>
      <w:color w:val="800000"/>
      <w:kern w:val="32"/>
      <w:sz w:val="32"/>
      <w:szCs w:val="28"/>
      <w:lang w:val="en-GB"/>
    </w:rPr>
  </w:style>
  <w:style w:type="paragraph" w:styleId="Heading2">
    <w:name w:val="heading 2"/>
    <w:basedOn w:val="Normal"/>
    <w:next w:val="Normal"/>
    <w:link w:val="Heading2Char"/>
    <w:uiPriority w:val="99"/>
    <w:qFormat/>
    <w:rsid w:val="003E5366"/>
    <w:pPr>
      <w:keepNext/>
      <w:keepLines/>
      <w:spacing w:before="240" w:after="240"/>
      <w:outlineLvl w:val="1"/>
    </w:pPr>
    <w:rPr>
      <w:rFonts w:eastAsia="Times New Roman"/>
      <w:b/>
      <w:bCs/>
      <w:iCs/>
      <w:color w:val="0000FF"/>
      <w:sz w:val="28"/>
      <w:szCs w:val="28"/>
    </w:rPr>
  </w:style>
  <w:style w:type="paragraph" w:styleId="Heading3">
    <w:name w:val="heading 3"/>
    <w:basedOn w:val="Normal"/>
    <w:next w:val="Normal"/>
    <w:link w:val="Heading3Char"/>
    <w:uiPriority w:val="9"/>
    <w:qFormat/>
    <w:rsid w:val="00AE7A4D"/>
    <w:pPr>
      <w:keepNext/>
      <w:keepLines/>
      <w:spacing w:before="240"/>
      <w:ind w:left="720" w:hanging="720"/>
      <w:outlineLvl w:val="2"/>
    </w:pPr>
    <w:rPr>
      <w:rFonts w:eastAsia="Times New Roman"/>
      <w:b/>
      <w:bCs/>
      <w:color w:val="660066"/>
      <w:szCs w:val="24"/>
      <w:lang w:val="en-GB"/>
    </w:rPr>
  </w:style>
  <w:style w:type="paragraph" w:styleId="Heading4">
    <w:name w:val="heading 4"/>
    <w:basedOn w:val="Normal"/>
    <w:next w:val="Normal"/>
    <w:link w:val="Heading4Char"/>
    <w:uiPriority w:val="9"/>
    <w:qFormat/>
    <w:rsid w:val="009A3946"/>
    <w:pPr>
      <w:keepNext/>
      <w:numPr>
        <w:ilvl w:val="3"/>
        <w:numId w:val="5"/>
      </w:numPr>
      <w:outlineLvl w:val="3"/>
    </w:pPr>
    <w:rPr>
      <w:rFonts w:eastAsia="Times New Roman"/>
      <w:bCs/>
      <w:szCs w:val="28"/>
    </w:rPr>
  </w:style>
  <w:style w:type="paragraph" w:styleId="Heading5">
    <w:name w:val="heading 5"/>
    <w:basedOn w:val="Heading1"/>
    <w:next w:val="Normal"/>
    <w:link w:val="Heading5Char"/>
    <w:uiPriority w:val="9"/>
    <w:qFormat/>
    <w:rsid w:val="007F19C4"/>
    <w:pPr>
      <w:ind w:left="431" w:hanging="431"/>
      <w:outlineLvl w:val="4"/>
    </w:pPr>
  </w:style>
  <w:style w:type="paragraph" w:styleId="Heading6">
    <w:name w:val="heading 6"/>
    <w:basedOn w:val="Normal"/>
    <w:next w:val="Normal"/>
    <w:link w:val="Heading6Char"/>
    <w:uiPriority w:val="9"/>
    <w:qFormat/>
    <w:rsid w:val="003A6724"/>
    <w:pPr>
      <w:numPr>
        <w:ilvl w:val="5"/>
        <w:numId w:val="5"/>
      </w:numPr>
      <w:spacing w:before="240" w:after="60"/>
      <w:outlineLvl w:val="5"/>
    </w:pPr>
    <w:rPr>
      <w:rFonts w:ascii="Calibri" w:eastAsia="Times New Roman" w:hAnsi="Calibri"/>
      <w:b/>
      <w:bCs/>
      <w:sz w:val="20"/>
      <w:szCs w:val="20"/>
    </w:rPr>
  </w:style>
  <w:style w:type="paragraph" w:styleId="Heading7">
    <w:name w:val="heading 7"/>
    <w:basedOn w:val="Normal"/>
    <w:next w:val="Normal"/>
    <w:link w:val="Heading7Char"/>
    <w:uiPriority w:val="9"/>
    <w:qFormat/>
    <w:rsid w:val="003A6724"/>
    <w:pPr>
      <w:numPr>
        <w:ilvl w:val="6"/>
        <w:numId w:val="5"/>
      </w:numPr>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qFormat/>
    <w:rsid w:val="003A6724"/>
    <w:pPr>
      <w:numPr>
        <w:ilvl w:val="7"/>
        <w:numId w:val="5"/>
      </w:numPr>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qFormat/>
    <w:rsid w:val="003A6724"/>
    <w:pPr>
      <w:numPr>
        <w:ilvl w:val="8"/>
        <w:numId w:val="5"/>
      </w:numPr>
      <w:spacing w:before="240" w:after="60"/>
      <w:outlineLvl w:val="8"/>
    </w:pPr>
    <w:rPr>
      <w:rFonts w:ascii="Cambria" w:eastAsia="Times New Roma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720471"/>
    <w:rPr>
      <w:rFonts w:ascii="Times New Roman" w:eastAsia="Times New Roman" w:hAnsi="Times New Roman"/>
      <w:b/>
      <w:bCs/>
      <w:color w:val="800000"/>
      <w:kern w:val="32"/>
      <w:sz w:val="32"/>
      <w:szCs w:val="28"/>
    </w:rPr>
  </w:style>
  <w:style w:type="character" w:customStyle="1" w:styleId="Heading2Char">
    <w:name w:val="Heading 2 Char"/>
    <w:link w:val="Heading2"/>
    <w:uiPriority w:val="99"/>
    <w:locked/>
    <w:rsid w:val="003E5366"/>
    <w:rPr>
      <w:rFonts w:ascii="Times New Roman" w:eastAsia="Times New Roman" w:hAnsi="Times New Roman"/>
      <w:b/>
      <w:bCs/>
      <w:iCs/>
      <w:color w:val="0000FF"/>
      <w:sz w:val="28"/>
      <w:szCs w:val="28"/>
      <w:lang w:val="en-US"/>
    </w:rPr>
  </w:style>
  <w:style w:type="character" w:customStyle="1" w:styleId="Heading3Char">
    <w:name w:val="Heading 3 Char"/>
    <w:link w:val="Heading3"/>
    <w:uiPriority w:val="9"/>
    <w:locked/>
    <w:rsid w:val="00AE7A4D"/>
    <w:rPr>
      <w:rFonts w:ascii="Times New Roman" w:eastAsia="Times New Roman" w:hAnsi="Times New Roman"/>
      <w:b/>
      <w:bCs/>
      <w:color w:val="660066"/>
      <w:sz w:val="24"/>
      <w:szCs w:val="24"/>
    </w:rPr>
  </w:style>
  <w:style w:type="character" w:customStyle="1" w:styleId="Heading4Char">
    <w:name w:val="Heading 4 Char"/>
    <w:link w:val="Heading4"/>
    <w:uiPriority w:val="9"/>
    <w:locked/>
    <w:rsid w:val="009A3946"/>
    <w:rPr>
      <w:rFonts w:ascii="Helvetica" w:eastAsia="Times New Roman" w:hAnsi="Helvetica"/>
      <w:bCs/>
      <w:sz w:val="22"/>
      <w:szCs w:val="28"/>
      <w:lang w:val="en-US"/>
    </w:rPr>
  </w:style>
  <w:style w:type="character" w:customStyle="1" w:styleId="Heading5Char">
    <w:name w:val="Heading 5 Char"/>
    <w:link w:val="Heading5"/>
    <w:uiPriority w:val="9"/>
    <w:locked/>
    <w:rsid w:val="007F19C4"/>
    <w:rPr>
      <w:rFonts w:ascii="Times New Roman" w:eastAsia="Times New Roman" w:hAnsi="Times New Roman"/>
      <w:b/>
      <w:bCs/>
      <w:kern w:val="32"/>
      <w:sz w:val="28"/>
      <w:szCs w:val="28"/>
      <w:lang w:val="en-GB" w:eastAsia="en-GB"/>
    </w:rPr>
  </w:style>
  <w:style w:type="character" w:customStyle="1" w:styleId="Heading6Char">
    <w:name w:val="Heading 6 Char"/>
    <w:link w:val="Heading6"/>
    <w:uiPriority w:val="9"/>
    <w:locked/>
    <w:rsid w:val="003A6724"/>
    <w:rPr>
      <w:rFonts w:eastAsia="Times New Roman"/>
      <w:b/>
      <w:bCs/>
      <w:lang w:val="en-US"/>
    </w:rPr>
  </w:style>
  <w:style w:type="character" w:customStyle="1" w:styleId="Heading7Char">
    <w:name w:val="Heading 7 Char"/>
    <w:link w:val="Heading7"/>
    <w:uiPriority w:val="9"/>
    <w:locked/>
    <w:rsid w:val="003A6724"/>
    <w:rPr>
      <w:rFonts w:eastAsia="Times New Roman"/>
      <w:sz w:val="22"/>
      <w:szCs w:val="24"/>
      <w:lang w:val="en-US"/>
    </w:rPr>
  </w:style>
  <w:style w:type="character" w:customStyle="1" w:styleId="Heading8Char">
    <w:name w:val="Heading 8 Char"/>
    <w:link w:val="Heading8"/>
    <w:uiPriority w:val="9"/>
    <w:locked/>
    <w:rsid w:val="003A6724"/>
    <w:rPr>
      <w:rFonts w:eastAsia="Times New Roman"/>
      <w:i/>
      <w:iCs/>
      <w:sz w:val="22"/>
      <w:szCs w:val="24"/>
      <w:lang w:val="en-US"/>
    </w:rPr>
  </w:style>
  <w:style w:type="character" w:customStyle="1" w:styleId="Heading9Char">
    <w:name w:val="Heading 9 Char"/>
    <w:link w:val="Heading9"/>
    <w:uiPriority w:val="9"/>
    <w:locked/>
    <w:rsid w:val="003A6724"/>
    <w:rPr>
      <w:rFonts w:ascii="Cambria" w:eastAsia="Times New Roman" w:hAnsi="Cambria"/>
      <w:lang w:val="en-US"/>
    </w:rPr>
  </w:style>
  <w:style w:type="paragraph" w:customStyle="1" w:styleId="Normalboldhead">
    <w:name w:val="Normal bold head"/>
    <w:basedOn w:val="Normal"/>
    <w:qFormat/>
    <w:rsid w:val="00A5640C"/>
    <w:pPr>
      <w:keepNext/>
      <w:keepLines/>
      <w:spacing w:before="240"/>
    </w:pPr>
    <w:rPr>
      <w:b/>
      <w:lang w:val="en-GB" w:eastAsia="ja-JP"/>
    </w:rPr>
  </w:style>
  <w:style w:type="paragraph" w:customStyle="1" w:styleId="Headgeneral14">
    <w:name w:val="Head general 14"/>
    <w:basedOn w:val="Normalboldhead"/>
    <w:qFormat/>
    <w:rsid w:val="00321D50"/>
    <w:pPr>
      <w:spacing w:after="240"/>
    </w:pPr>
    <w:rPr>
      <w:sz w:val="28"/>
    </w:rPr>
  </w:style>
  <w:style w:type="character" w:styleId="Hyperlink">
    <w:name w:val="Hyperlink"/>
    <w:uiPriority w:val="99"/>
    <w:rsid w:val="00073B2F"/>
    <w:rPr>
      <w:noProof/>
      <w:color w:val="0000FF"/>
      <w:u w:val="single"/>
    </w:rPr>
  </w:style>
  <w:style w:type="paragraph" w:styleId="TOC2">
    <w:name w:val="toc 2"/>
    <w:basedOn w:val="Normal"/>
    <w:next w:val="Normal"/>
    <w:uiPriority w:val="39"/>
    <w:qFormat/>
    <w:rsid w:val="00291AF5"/>
    <w:pPr>
      <w:tabs>
        <w:tab w:val="left" w:pos="993"/>
        <w:tab w:val="right" w:leader="dot" w:pos="9072"/>
      </w:tabs>
      <w:spacing w:after="60" w:line="240" w:lineRule="auto"/>
      <w:ind w:left="227"/>
    </w:pPr>
    <w:rPr>
      <w:rFonts w:eastAsia="Times New Roman"/>
      <w:noProof/>
      <w:szCs w:val="24"/>
    </w:rPr>
  </w:style>
  <w:style w:type="paragraph" w:customStyle="1" w:styleId="smalltabletext">
    <w:name w:val="small table text"/>
    <w:basedOn w:val="Normal"/>
    <w:link w:val="smalltabletextChar"/>
    <w:uiPriority w:val="99"/>
    <w:rsid w:val="00913572"/>
    <w:pPr>
      <w:keepNext/>
      <w:keepLines/>
      <w:numPr>
        <w:numId w:val="1"/>
      </w:numPr>
      <w:tabs>
        <w:tab w:val="clear" w:pos="360"/>
      </w:tabs>
      <w:ind w:left="0" w:firstLine="0"/>
    </w:pPr>
    <w:rPr>
      <w:rFonts w:eastAsia="Times New Roman"/>
      <w:sz w:val="20"/>
      <w:szCs w:val="24"/>
    </w:rPr>
  </w:style>
  <w:style w:type="character" w:customStyle="1" w:styleId="smalltabletextChar">
    <w:name w:val="small table text Char"/>
    <w:link w:val="smalltabletext"/>
    <w:uiPriority w:val="99"/>
    <w:locked/>
    <w:rsid w:val="00913572"/>
    <w:rPr>
      <w:rFonts w:ascii="Helvetica" w:eastAsia="Times New Roman" w:hAnsi="Helvetica"/>
      <w:szCs w:val="24"/>
      <w:lang w:val="en-US"/>
    </w:rPr>
  </w:style>
  <w:style w:type="paragraph" w:styleId="ListBullet">
    <w:name w:val="List Bullet"/>
    <w:basedOn w:val="Normal"/>
    <w:uiPriority w:val="99"/>
    <w:rsid w:val="00913572"/>
    <w:pPr>
      <w:tabs>
        <w:tab w:val="num" w:pos="360"/>
      </w:tabs>
      <w:ind w:left="360" w:hanging="360"/>
    </w:pPr>
    <w:rPr>
      <w:rFonts w:eastAsia="Times New Roman"/>
      <w:szCs w:val="24"/>
    </w:rPr>
  </w:style>
  <w:style w:type="table" w:styleId="TableGrid">
    <w:name w:val="Table Grid"/>
    <w:basedOn w:val="TableNormal"/>
    <w:uiPriority w:val="59"/>
    <w:rsid w:val="009135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aptionCentered">
    <w:name w:val="Style Caption + Centered"/>
    <w:basedOn w:val="Normal"/>
    <w:uiPriority w:val="99"/>
    <w:rsid w:val="00321D50"/>
    <w:pPr>
      <w:keepNext/>
      <w:keepLines/>
      <w:spacing w:before="80" w:after="80"/>
    </w:pPr>
    <w:rPr>
      <w:rFonts w:eastAsia="Times New Roman"/>
      <w:b/>
      <w:bCs/>
      <w:sz w:val="20"/>
      <w:szCs w:val="20"/>
    </w:rPr>
  </w:style>
  <w:style w:type="paragraph" w:styleId="ListParagraph">
    <w:name w:val="List Paragraph"/>
    <w:basedOn w:val="Normal"/>
    <w:link w:val="ListParagraphChar"/>
    <w:uiPriority w:val="34"/>
    <w:qFormat/>
    <w:rsid w:val="00545E51"/>
    <w:pPr>
      <w:numPr>
        <w:numId w:val="7"/>
      </w:numPr>
      <w:spacing w:after="0"/>
    </w:pPr>
    <w:rPr>
      <w:lang w:val="en-GB"/>
    </w:rPr>
  </w:style>
  <w:style w:type="character" w:customStyle="1" w:styleId="ListParagraphChar">
    <w:name w:val="List Paragraph Char"/>
    <w:basedOn w:val="DefaultParagraphFont"/>
    <w:link w:val="ListParagraph"/>
    <w:uiPriority w:val="34"/>
    <w:rsid w:val="00545E51"/>
    <w:rPr>
      <w:rFonts w:ascii="Helvetica" w:hAnsi="Helvetica"/>
      <w:sz w:val="22"/>
      <w:szCs w:val="22"/>
    </w:rPr>
  </w:style>
  <w:style w:type="paragraph" w:styleId="Header">
    <w:name w:val="header"/>
    <w:basedOn w:val="Normal"/>
    <w:link w:val="HeaderChar"/>
    <w:unhideWhenUsed/>
    <w:locked/>
    <w:rsid w:val="00CE4343"/>
    <w:pPr>
      <w:tabs>
        <w:tab w:val="center" w:pos="4320"/>
        <w:tab w:val="right" w:pos="8640"/>
      </w:tabs>
      <w:spacing w:after="0" w:line="240" w:lineRule="auto"/>
    </w:pPr>
  </w:style>
  <w:style w:type="paragraph" w:styleId="Subtitle">
    <w:name w:val="Subtitle"/>
    <w:basedOn w:val="Normal"/>
    <w:next w:val="Normal"/>
    <w:link w:val="SubtitleChar"/>
    <w:uiPriority w:val="99"/>
    <w:rsid w:val="003A6724"/>
    <w:pPr>
      <w:spacing w:after="60"/>
      <w:jc w:val="center"/>
      <w:outlineLvl w:val="1"/>
    </w:pPr>
    <w:rPr>
      <w:rFonts w:ascii="Cambria" w:eastAsia="Times New Roman" w:hAnsi="Cambria"/>
      <w:szCs w:val="24"/>
    </w:rPr>
  </w:style>
  <w:style w:type="character" w:customStyle="1" w:styleId="SubtitleChar">
    <w:name w:val="Subtitle Char"/>
    <w:link w:val="Subtitle"/>
    <w:uiPriority w:val="99"/>
    <w:locked/>
    <w:rsid w:val="003A6724"/>
    <w:rPr>
      <w:rFonts w:ascii="Cambria" w:eastAsia="Times New Roman" w:hAnsi="Cambria" w:cs="Times New Roman"/>
      <w:sz w:val="24"/>
      <w:szCs w:val="24"/>
      <w:lang w:val="en-US" w:eastAsia="en-GB"/>
    </w:rPr>
  </w:style>
  <w:style w:type="character" w:styleId="Strong">
    <w:name w:val="Strong"/>
    <w:uiPriority w:val="22"/>
    <w:qFormat/>
    <w:rsid w:val="003A6724"/>
    <w:rPr>
      <w:rFonts w:cs="Times New Roman"/>
      <w:b/>
      <w:bCs/>
    </w:rPr>
  </w:style>
  <w:style w:type="paragraph" w:styleId="TOCHeading">
    <w:name w:val="TOC Heading"/>
    <w:basedOn w:val="Heading1"/>
    <w:next w:val="Normal"/>
    <w:uiPriority w:val="39"/>
    <w:semiHidden/>
    <w:unhideWhenUsed/>
    <w:qFormat/>
    <w:rsid w:val="00913572"/>
    <w:pPr>
      <w:spacing w:after="60"/>
      <w:ind w:left="0" w:firstLine="0"/>
      <w:outlineLvl w:val="9"/>
    </w:pPr>
    <w:rPr>
      <w:rFonts w:ascii="Cambria" w:eastAsia="SimSun" w:hAnsi="Cambria"/>
      <w:lang w:eastAsia="en-US"/>
    </w:rPr>
  </w:style>
  <w:style w:type="paragraph" w:styleId="TOC1">
    <w:name w:val="toc 1"/>
    <w:basedOn w:val="Normal"/>
    <w:next w:val="Normal"/>
    <w:uiPriority w:val="39"/>
    <w:qFormat/>
    <w:rsid w:val="00291AF5"/>
    <w:pPr>
      <w:tabs>
        <w:tab w:val="left" w:pos="426"/>
        <w:tab w:val="right" w:leader="dot" w:pos="9072"/>
      </w:tabs>
      <w:spacing w:after="60"/>
    </w:pPr>
    <w:rPr>
      <w:rFonts w:eastAsia="Times New Roman"/>
      <w:b/>
      <w:noProof/>
      <w:szCs w:val="24"/>
    </w:rPr>
  </w:style>
  <w:style w:type="paragraph" w:styleId="TOC3">
    <w:name w:val="toc 3"/>
    <w:basedOn w:val="Normal"/>
    <w:next w:val="Normal"/>
    <w:uiPriority w:val="39"/>
    <w:qFormat/>
    <w:rsid w:val="00291AF5"/>
    <w:pPr>
      <w:tabs>
        <w:tab w:val="left" w:pos="2127"/>
        <w:tab w:val="right" w:leader="dot" w:pos="9072"/>
      </w:tabs>
      <w:spacing w:after="60" w:line="240" w:lineRule="auto"/>
      <w:ind w:left="454"/>
    </w:pPr>
    <w:rPr>
      <w:rFonts w:eastAsia="Times New Roman"/>
      <w:noProof/>
      <w:szCs w:val="24"/>
    </w:rPr>
  </w:style>
  <w:style w:type="character" w:customStyle="1" w:styleId="BalloonTextChar">
    <w:name w:val="Balloon Text Char"/>
    <w:uiPriority w:val="99"/>
    <w:locked/>
    <w:rsid w:val="00913572"/>
    <w:rPr>
      <w:rFonts w:ascii="Tahoma" w:hAnsi="Tahoma"/>
      <w:sz w:val="16"/>
      <w:lang w:val="en-US" w:eastAsia="en-GB"/>
    </w:rPr>
  </w:style>
  <w:style w:type="paragraph" w:styleId="BalloonText">
    <w:name w:val="Balloon Text"/>
    <w:basedOn w:val="Normal"/>
    <w:link w:val="BalloonTextChar1"/>
    <w:uiPriority w:val="99"/>
    <w:rsid w:val="008D5710"/>
    <w:rPr>
      <w:szCs w:val="20"/>
      <w:lang w:eastAsia="en-US"/>
    </w:rPr>
  </w:style>
  <w:style w:type="character" w:customStyle="1" w:styleId="BalloonTextChar1">
    <w:name w:val="Balloon Text Char1"/>
    <w:link w:val="BalloonText"/>
    <w:uiPriority w:val="99"/>
    <w:locked/>
    <w:rsid w:val="008D5710"/>
    <w:rPr>
      <w:rFonts w:ascii="Times New Roman" w:hAnsi="Times New Roman"/>
      <w:sz w:val="24"/>
      <w:lang w:eastAsia="en-US"/>
    </w:rPr>
  </w:style>
  <w:style w:type="character" w:customStyle="1" w:styleId="BodyTextIndentChar">
    <w:name w:val="Body Text Indent Char"/>
    <w:uiPriority w:val="99"/>
    <w:locked/>
    <w:rsid w:val="00913572"/>
    <w:rPr>
      <w:rFonts w:ascii="Times New Roman" w:hAnsi="Times New Roman"/>
      <w:sz w:val="24"/>
      <w:lang w:val="en-US"/>
    </w:rPr>
  </w:style>
  <w:style w:type="paragraph" w:styleId="BodyTextIndent">
    <w:name w:val="Body Text Indent"/>
    <w:basedOn w:val="Normal"/>
    <w:link w:val="BodyTextIndentChar1"/>
    <w:uiPriority w:val="99"/>
    <w:rsid w:val="00913572"/>
    <w:pPr>
      <w:ind w:left="360"/>
    </w:pPr>
    <w:rPr>
      <w:rFonts w:ascii="Arial" w:hAnsi="Arial"/>
      <w:sz w:val="20"/>
      <w:szCs w:val="20"/>
      <w:lang w:eastAsia="en-US"/>
    </w:rPr>
  </w:style>
  <w:style w:type="character" w:customStyle="1" w:styleId="BodyTextIndentChar1">
    <w:name w:val="Body Text Indent Char1"/>
    <w:link w:val="BodyTextIndent"/>
    <w:uiPriority w:val="99"/>
    <w:locked/>
    <w:rsid w:val="001D084F"/>
    <w:rPr>
      <w:rFonts w:ascii="Arial" w:hAnsi="Arial" w:cs="Times New Roman"/>
      <w:lang w:val="en-GB" w:eastAsia="en-US"/>
    </w:rPr>
  </w:style>
  <w:style w:type="paragraph" w:styleId="TOC4">
    <w:name w:val="toc 4"/>
    <w:basedOn w:val="TOC3"/>
    <w:next w:val="Normal"/>
    <w:autoRedefine/>
    <w:uiPriority w:val="39"/>
    <w:qFormat/>
    <w:rsid w:val="007F19C4"/>
  </w:style>
  <w:style w:type="paragraph" w:styleId="BodyText2">
    <w:name w:val="Body Text 2"/>
    <w:basedOn w:val="Normal"/>
    <w:link w:val="BodyText2Char"/>
    <w:uiPriority w:val="99"/>
    <w:rsid w:val="00913572"/>
    <w:rPr>
      <w:sz w:val="20"/>
      <w:szCs w:val="20"/>
    </w:rPr>
  </w:style>
  <w:style w:type="character" w:customStyle="1" w:styleId="BodyText2Char">
    <w:name w:val="Body Text 2 Char"/>
    <w:link w:val="BodyText2"/>
    <w:uiPriority w:val="99"/>
    <w:locked/>
    <w:rsid w:val="00913572"/>
    <w:rPr>
      <w:rFonts w:ascii="Times New Roman" w:hAnsi="Times New Roman" w:cs="Times New Roman"/>
      <w:sz w:val="20"/>
      <w:szCs w:val="20"/>
      <w:lang w:val="en-US"/>
    </w:rPr>
  </w:style>
  <w:style w:type="paragraph" w:styleId="FootnoteText">
    <w:name w:val="footnote text"/>
    <w:basedOn w:val="Normal"/>
    <w:link w:val="FootnoteTextChar"/>
    <w:uiPriority w:val="99"/>
    <w:rsid w:val="00913572"/>
    <w:rPr>
      <w:sz w:val="20"/>
      <w:szCs w:val="20"/>
    </w:rPr>
  </w:style>
  <w:style w:type="character" w:customStyle="1" w:styleId="FootnoteTextChar">
    <w:name w:val="Footnote Text Char"/>
    <w:link w:val="FootnoteText"/>
    <w:uiPriority w:val="99"/>
    <w:locked/>
    <w:rsid w:val="00913572"/>
    <w:rPr>
      <w:rFonts w:ascii="Times New Roman" w:hAnsi="Times New Roman" w:cs="Times New Roman"/>
      <w:sz w:val="20"/>
      <w:szCs w:val="20"/>
      <w:lang w:val="en-US" w:eastAsia="en-GB"/>
    </w:rPr>
  </w:style>
  <w:style w:type="paragraph" w:styleId="BodyText">
    <w:name w:val="Body Text"/>
    <w:basedOn w:val="Normal"/>
    <w:link w:val="BodyTextChar"/>
    <w:uiPriority w:val="99"/>
    <w:rsid w:val="00913572"/>
    <w:rPr>
      <w:szCs w:val="24"/>
    </w:rPr>
  </w:style>
  <w:style w:type="character" w:customStyle="1" w:styleId="BodyTextChar">
    <w:name w:val="Body Text Char"/>
    <w:link w:val="BodyText"/>
    <w:uiPriority w:val="99"/>
    <w:locked/>
    <w:rsid w:val="00913572"/>
    <w:rPr>
      <w:rFonts w:ascii="Times New Roman" w:hAnsi="Times New Roman" w:cs="Times New Roman"/>
      <w:sz w:val="24"/>
      <w:szCs w:val="24"/>
      <w:lang w:val="en-US"/>
    </w:rPr>
  </w:style>
  <w:style w:type="paragraph" w:customStyle="1" w:styleId="TableText">
    <w:name w:val="Table Text"/>
    <w:basedOn w:val="Normal"/>
    <w:uiPriority w:val="99"/>
    <w:rsid w:val="00913572"/>
    <w:pPr>
      <w:spacing w:before="40" w:after="40"/>
      <w:contextualSpacing/>
    </w:pPr>
    <w:rPr>
      <w:rFonts w:eastAsia="Times New Roman"/>
      <w:sz w:val="18"/>
      <w:szCs w:val="20"/>
      <w:lang w:val="en-CA"/>
    </w:rPr>
  </w:style>
  <w:style w:type="character" w:styleId="Emphasis">
    <w:name w:val="Emphasis"/>
    <w:uiPriority w:val="20"/>
    <w:rsid w:val="003A6724"/>
    <w:rPr>
      <w:rFonts w:cs="Times New Roman"/>
      <w:b/>
      <w:bCs/>
    </w:rPr>
  </w:style>
  <w:style w:type="character" w:customStyle="1" w:styleId="CommentTextChar">
    <w:name w:val="Comment Text Char"/>
    <w:uiPriority w:val="99"/>
    <w:locked/>
    <w:rsid w:val="00913572"/>
    <w:rPr>
      <w:rFonts w:ascii="Times New Roman" w:hAnsi="Times New Roman"/>
      <w:sz w:val="20"/>
      <w:lang w:val="en-US" w:eastAsia="en-GB"/>
    </w:rPr>
  </w:style>
  <w:style w:type="paragraph" w:styleId="CommentText">
    <w:name w:val="annotation text"/>
    <w:basedOn w:val="Normal"/>
    <w:link w:val="CommentTextChar1"/>
    <w:uiPriority w:val="99"/>
    <w:rsid w:val="00230B6D"/>
    <w:rPr>
      <w:sz w:val="20"/>
      <w:szCs w:val="20"/>
      <w:lang w:eastAsia="en-US"/>
    </w:rPr>
  </w:style>
  <w:style w:type="character" w:customStyle="1" w:styleId="CommentTextChar1">
    <w:name w:val="Comment Text Char1"/>
    <w:link w:val="CommentText"/>
    <w:uiPriority w:val="99"/>
    <w:locked/>
    <w:rsid w:val="00230B6D"/>
    <w:rPr>
      <w:rFonts w:ascii="Times New Roman" w:hAnsi="Times New Roman"/>
      <w:lang w:val="en-US" w:eastAsia="en-US"/>
    </w:rPr>
  </w:style>
  <w:style w:type="character" w:customStyle="1" w:styleId="CommentSubjectChar">
    <w:name w:val="Comment Subject Char"/>
    <w:uiPriority w:val="99"/>
    <w:semiHidden/>
    <w:locked/>
    <w:rsid w:val="00913572"/>
    <w:rPr>
      <w:rFonts w:ascii="Times New Roman" w:hAnsi="Times New Roman"/>
      <w:b/>
      <w:sz w:val="20"/>
      <w:lang w:val="en-US" w:eastAsia="en-GB"/>
    </w:rPr>
  </w:style>
  <w:style w:type="paragraph" w:styleId="CommentSubject">
    <w:name w:val="annotation subject"/>
    <w:basedOn w:val="CommentText"/>
    <w:next w:val="CommentText"/>
    <w:link w:val="CommentSubjectChar1"/>
    <w:uiPriority w:val="99"/>
    <w:semiHidden/>
    <w:rsid w:val="00913572"/>
    <w:rPr>
      <w:b/>
      <w:bCs/>
    </w:rPr>
  </w:style>
  <w:style w:type="character" w:customStyle="1" w:styleId="CommentSubjectChar1">
    <w:name w:val="Comment Subject Char1"/>
    <w:link w:val="CommentSubject"/>
    <w:uiPriority w:val="99"/>
    <w:semiHidden/>
    <w:locked/>
    <w:rsid w:val="001D084F"/>
    <w:rPr>
      <w:rFonts w:ascii="Arial" w:hAnsi="Arial" w:cs="Times New Roman"/>
      <w:b/>
      <w:bCs/>
      <w:sz w:val="20"/>
      <w:szCs w:val="20"/>
      <w:lang w:val="en-GB" w:eastAsia="en-US"/>
    </w:rPr>
  </w:style>
  <w:style w:type="character" w:customStyle="1" w:styleId="mcontent">
    <w:name w:val="mcontent"/>
    <w:uiPriority w:val="99"/>
    <w:rsid w:val="00913572"/>
    <w:rPr>
      <w:rFonts w:cs="Times New Roman"/>
    </w:rPr>
  </w:style>
  <w:style w:type="character" w:customStyle="1" w:styleId="yellowfadeinnerspan">
    <w:name w:val="yellowfadeinnerspan"/>
    <w:uiPriority w:val="99"/>
    <w:rsid w:val="00913572"/>
    <w:rPr>
      <w:rFonts w:cs="Times New Roman"/>
    </w:rPr>
  </w:style>
  <w:style w:type="character" w:customStyle="1" w:styleId="spelle">
    <w:name w:val="spelle"/>
    <w:uiPriority w:val="99"/>
    <w:rsid w:val="00913572"/>
    <w:rPr>
      <w:rFonts w:cs="Times New Roman"/>
    </w:rPr>
  </w:style>
  <w:style w:type="paragraph" w:styleId="NormalWeb">
    <w:name w:val="Normal (Web)"/>
    <w:basedOn w:val="Normal"/>
    <w:uiPriority w:val="99"/>
    <w:rsid w:val="00913572"/>
    <w:pPr>
      <w:spacing w:before="100" w:beforeAutospacing="1" w:after="100" w:afterAutospacing="1"/>
    </w:pPr>
    <w:rPr>
      <w:rFonts w:eastAsia="Times New Roman"/>
      <w:szCs w:val="24"/>
    </w:rPr>
  </w:style>
  <w:style w:type="character" w:styleId="PageNumber">
    <w:name w:val="page number"/>
    <w:uiPriority w:val="99"/>
    <w:rsid w:val="00913572"/>
    <w:rPr>
      <w:rFonts w:cs="Times New Roman"/>
    </w:rPr>
  </w:style>
  <w:style w:type="paragraph" w:styleId="TOC5">
    <w:name w:val="toc 5"/>
    <w:basedOn w:val="TOC2"/>
    <w:next w:val="Normal"/>
    <w:autoRedefine/>
    <w:uiPriority w:val="39"/>
    <w:qFormat/>
    <w:rsid w:val="007F19C4"/>
    <w:pPr>
      <w:tabs>
        <w:tab w:val="clear" w:pos="993"/>
      </w:tabs>
      <w:ind w:left="0"/>
    </w:pPr>
  </w:style>
  <w:style w:type="paragraph" w:styleId="TOC6">
    <w:name w:val="toc 6"/>
    <w:basedOn w:val="Normal"/>
    <w:next w:val="Normal"/>
    <w:autoRedefine/>
    <w:uiPriority w:val="39"/>
    <w:rsid w:val="00276768"/>
    <w:pPr>
      <w:spacing w:after="100"/>
      <w:ind w:left="1100"/>
    </w:pPr>
    <w:rPr>
      <w:rFonts w:ascii="Calibri" w:eastAsia="Times New Roman" w:hAnsi="Calibri"/>
    </w:rPr>
  </w:style>
  <w:style w:type="paragraph" w:styleId="TOC7">
    <w:name w:val="toc 7"/>
    <w:basedOn w:val="Normal"/>
    <w:next w:val="Normal"/>
    <w:autoRedefine/>
    <w:uiPriority w:val="39"/>
    <w:rsid w:val="00276768"/>
    <w:pPr>
      <w:spacing w:after="100"/>
      <w:ind w:left="1320"/>
    </w:pPr>
    <w:rPr>
      <w:rFonts w:ascii="Calibri" w:eastAsia="Times New Roman" w:hAnsi="Calibri"/>
    </w:rPr>
  </w:style>
  <w:style w:type="paragraph" w:styleId="TOC8">
    <w:name w:val="toc 8"/>
    <w:basedOn w:val="Normal"/>
    <w:next w:val="Normal"/>
    <w:autoRedefine/>
    <w:uiPriority w:val="39"/>
    <w:rsid w:val="00276768"/>
    <w:pPr>
      <w:spacing w:after="100"/>
      <w:ind w:left="1540"/>
    </w:pPr>
    <w:rPr>
      <w:rFonts w:ascii="Calibri" w:eastAsia="Times New Roman" w:hAnsi="Calibri"/>
    </w:rPr>
  </w:style>
  <w:style w:type="paragraph" w:styleId="TOC9">
    <w:name w:val="toc 9"/>
    <w:basedOn w:val="Normal"/>
    <w:next w:val="Normal"/>
    <w:autoRedefine/>
    <w:uiPriority w:val="39"/>
    <w:qFormat/>
    <w:rsid w:val="00276768"/>
    <w:pPr>
      <w:spacing w:after="100"/>
      <w:ind w:left="1760"/>
    </w:pPr>
    <w:rPr>
      <w:rFonts w:ascii="Calibri" w:eastAsia="Times New Roman" w:hAnsi="Calibri"/>
    </w:rPr>
  </w:style>
  <w:style w:type="character" w:customStyle="1" w:styleId="eight-content">
    <w:name w:val="eight-content"/>
    <w:uiPriority w:val="99"/>
    <w:rsid w:val="000529AD"/>
    <w:rPr>
      <w:rFonts w:cs="Times New Roman"/>
    </w:rPr>
  </w:style>
  <w:style w:type="paragraph" w:customStyle="1" w:styleId="Bulletlist">
    <w:name w:val="Bullet list"/>
    <w:basedOn w:val="Normal"/>
    <w:qFormat/>
    <w:rsid w:val="00337BFD"/>
    <w:pPr>
      <w:numPr>
        <w:numId w:val="33"/>
      </w:numPr>
    </w:pPr>
    <w:rPr>
      <w:lang w:val="en-GB" w:eastAsia="de-DE"/>
    </w:rPr>
  </w:style>
  <w:style w:type="character" w:styleId="FootnoteReference">
    <w:name w:val="footnote reference"/>
    <w:uiPriority w:val="99"/>
    <w:semiHidden/>
    <w:rsid w:val="00F3103D"/>
    <w:rPr>
      <w:rFonts w:cs="Times New Roman"/>
      <w:vertAlign w:val="superscript"/>
    </w:rPr>
  </w:style>
  <w:style w:type="character" w:styleId="CommentReference">
    <w:name w:val="annotation reference"/>
    <w:uiPriority w:val="99"/>
    <w:semiHidden/>
    <w:rsid w:val="00F3103D"/>
    <w:rPr>
      <w:rFonts w:cs="Times New Roman"/>
      <w:sz w:val="16"/>
      <w:szCs w:val="16"/>
    </w:rPr>
  </w:style>
  <w:style w:type="character" w:customStyle="1" w:styleId="authors5">
    <w:name w:val="authors5"/>
    <w:uiPriority w:val="99"/>
    <w:rsid w:val="00EC028A"/>
    <w:rPr>
      <w:rFonts w:cs="Times New Roman"/>
    </w:rPr>
  </w:style>
  <w:style w:type="paragraph" w:customStyle="1" w:styleId="CES3">
    <w:name w:val="CES3"/>
    <w:basedOn w:val="Normal"/>
    <w:autoRedefine/>
    <w:uiPriority w:val="99"/>
    <w:locked/>
    <w:rsid w:val="004019EB"/>
    <w:pPr>
      <w:keepNext/>
      <w:keepLines/>
      <w:numPr>
        <w:numId w:val="2"/>
      </w:numPr>
      <w:tabs>
        <w:tab w:val="left" w:pos="1701"/>
        <w:tab w:val="left" w:pos="2552"/>
        <w:tab w:val="left" w:pos="3402"/>
        <w:tab w:val="left" w:pos="4253"/>
        <w:tab w:val="left" w:pos="4366"/>
        <w:tab w:val="left" w:pos="5103"/>
      </w:tabs>
      <w:outlineLvl w:val="2"/>
    </w:pPr>
    <w:rPr>
      <w:rFonts w:eastAsia="Times New Roman"/>
      <w:b/>
      <w:bCs/>
      <w:i/>
      <w:szCs w:val="24"/>
      <w:lang w:val="en-ZA"/>
    </w:rPr>
  </w:style>
  <w:style w:type="paragraph" w:customStyle="1" w:styleId="Normalitalic">
    <w:name w:val="Normal italic"/>
    <w:basedOn w:val="Normal"/>
    <w:qFormat/>
    <w:rsid w:val="00321D50"/>
    <w:rPr>
      <w:i/>
      <w:lang w:val="en-GB"/>
    </w:rPr>
  </w:style>
  <w:style w:type="paragraph" w:customStyle="1" w:styleId="Body">
    <w:name w:val="Body"/>
    <w:uiPriority w:val="99"/>
    <w:rsid w:val="008412B6"/>
    <w:rPr>
      <w:rFonts w:ascii="Helvetica" w:eastAsia="ヒラギノ角ゴ Pro W3" w:hAnsi="Helvetica"/>
      <w:color w:val="000000"/>
      <w:sz w:val="24"/>
      <w:lang w:val="en-US" w:eastAsia="en-US"/>
    </w:rPr>
  </w:style>
  <w:style w:type="character" w:customStyle="1" w:styleId="citationbook">
    <w:name w:val="citation book"/>
    <w:uiPriority w:val="99"/>
    <w:rsid w:val="00D07D28"/>
    <w:rPr>
      <w:rFonts w:cs="Times New Roman"/>
    </w:rPr>
  </w:style>
  <w:style w:type="character" w:styleId="FollowedHyperlink">
    <w:name w:val="FollowedHyperlink"/>
    <w:uiPriority w:val="99"/>
    <w:rsid w:val="008B4C8B"/>
    <w:rPr>
      <w:rFonts w:cs="Times New Roman"/>
      <w:color w:val="800080"/>
      <w:u w:val="single"/>
    </w:rPr>
  </w:style>
  <w:style w:type="paragraph" w:customStyle="1" w:styleId="tableau">
    <w:name w:val="tableau"/>
    <w:basedOn w:val="Normal"/>
    <w:uiPriority w:val="99"/>
    <w:rsid w:val="00261916"/>
    <w:pPr>
      <w:numPr>
        <w:numId w:val="3"/>
      </w:numPr>
      <w:tabs>
        <w:tab w:val="clear" w:pos="360"/>
      </w:tabs>
      <w:spacing w:before="20" w:after="20"/>
      <w:ind w:left="0" w:firstLine="0"/>
      <w:jc w:val="center"/>
    </w:pPr>
    <w:rPr>
      <w:rFonts w:ascii="Tahoma" w:eastAsia="Times New Roman" w:hAnsi="Tahoma" w:cs="Tahoma"/>
      <w:sz w:val="16"/>
      <w:szCs w:val="24"/>
      <w:lang w:eastAsia="fr-FR"/>
    </w:rPr>
  </w:style>
  <w:style w:type="character" w:customStyle="1" w:styleId="ipa1">
    <w:name w:val="ipa1"/>
    <w:uiPriority w:val="99"/>
    <w:rsid w:val="00EC68BC"/>
    <w:rPr>
      <w:rFonts w:ascii="Arial Unicode MS" w:eastAsia="Arial Unicode MS" w:hAnsi="Arial Unicode MS" w:cs="Arial Unicode MS"/>
    </w:rPr>
  </w:style>
  <w:style w:type="paragraph" w:customStyle="1" w:styleId="astrid">
    <w:name w:val="astrid"/>
    <w:basedOn w:val="ListParagraph"/>
    <w:link w:val="astridChar"/>
    <w:uiPriority w:val="99"/>
    <w:rsid w:val="005826A8"/>
    <w:pPr>
      <w:numPr>
        <w:numId w:val="4"/>
      </w:numPr>
      <w:contextualSpacing/>
    </w:pPr>
  </w:style>
  <w:style w:type="character" w:customStyle="1" w:styleId="astridChar">
    <w:name w:val="astrid Char"/>
    <w:link w:val="astrid"/>
    <w:uiPriority w:val="99"/>
    <w:locked/>
    <w:rsid w:val="005826A8"/>
    <w:rPr>
      <w:rFonts w:ascii="Helvetica" w:hAnsi="Helvetica"/>
      <w:sz w:val="22"/>
      <w:szCs w:val="22"/>
    </w:rPr>
  </w:style>
  <w:style w:type="character" w:customStyle="1" w:styleId="CharChar">
    <w:name w:val="Char Char"/>
    <w:uiPriority w:val="99"/>
    <w:rsid w:val="00654B16"/>
    <w:rPr>
      <w:rFonts w:cs="Times New Roman"/>
      <w:lang w:val="en-US" w:eastAsia="en-GB" w:bidi="ar-SA"/>
    </w:rPr>
  </w:style>
  <w:style w:type="character" w:customStyle="1" w:styleId="CharChar3">
    <w:name w:val="Char Char3"/>
    <w:uiPriority w:val="99"/>
    <w:rsid w:val="0016029E"/>
    <w:rPr>
      <w:rFonts w:ascii="Times New Roman" w:eastAsia="Times New Roman" w:hAnsi="Times New Roman" w:cs="Times New Roman"/>
      <w:sz w:val="20"/>
      <w:szCs w:val="20"/>
      <w:lang w:val="en-US" w:eastAsia="en-GB"/>
    </w:rPr>
  </w:style>
  <w:style w:type="paragraph" w:customStyle="1" w:styleId="Inhaltsverzeichnisberschrift1">
    <w:name w:val="Inhaltsverzeichnisüberschrift1"/>
    <w:basedOn w:val="Heading1"/>
    <w:next w:val="Normal"/>
    <w:uiPriority w:val="99"/>
    <w:rsid w:val="003A6724"/>
    <w:pPr>
      <w:spacing w:before="480"/>
      <w:ind w:left="0" w:firstLine="0"/>
      <w:outlineLvl w:val="9"/>
    </w:pPr>
    <w:rPr>
      <w:rFonts w:ascii="Cambria" w:hAnsi="Cambria"/>
      <w:color w:val="365F91"/>
      <w:kern w:val="0"/>
      <w:lang w:eastAsia="en-US"/>
    </w:rPr>
  </w:style>
  <w:style w:type="paragraph" w:customStyle="1" w:styleId="KeinLeerraum1">
    <w:name w:val="Kein Leerraum1"/>
    <w:uiPriority w:val="99"/>
    <w:rsid w:val="003A6724"/>
    <w:rPr>
      <w:sz w:val="22"/>
      <w:szCs w:val="22"/>
      <w:lang w:val="en-US" w:eastAsia="en-US"/>
    </w:rPr>
  </w:style>
  <w:style w:type="table" w:styleId="ColorfulList-Accent1">
    <w:name w:val="Colorful List Accent 1"/>
    <w:basedOn w:val="TableNormal"/>
    <w:uiPriority w:val="72"/>
    <w:rsid w:val="001E27FC"/>
    <w:rPr>
      <w:rFonts w:eastAsia="SimSu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Revision">
    <w:name w:val="Revision"/>
    <w:hidden/>
    <w:uiPriority w:val="99"/>
    <w:semiHidden/>
    <w:rsid w:val="00C06DE8"/>
    <w:rPr>
      <w:rFonts w:ascii="Arial" w:hAnsi="Arial"/>
      <w:sz w:val="22"/>
      <w:szCs w:val="22"/>
      <w:lang w:eastAsia="en-US"/>
    </w:rPr>
  </w:style>
  <w:style w:type="paragraph" w:customStyle="1" w:styleId="Normalbold">
    <w:name w:val="Normal + bold"/>
    <w:basedOn w:val="Normal"/>
    <w:next w:val="Normal"/>
    <w:uiPriority w:val="99"/>
    <w:rsid w:val="00EC325F"/>
    <w:pPr>
      <w:overflowPunct w:val="0"/>
      <w:autoSpaceDE w:val="0"/>
      <w:autoSpaceDN w:val="0"/>
      <w:adjustRightInd w:val="0"/>
      <w:spacing w:line="480" w:lineRule="atLeast"/>
      <w:textAlignment w:val="baseline"/>
    </w:pPr>
    <w:rPr>
      <w:rFonts w:eastAsia="Times New Roman"/>
      <w:b/>
      <w:bCs/>
      <w:szCs w:val="24"/>
      <w:lang w:eastAsia="en-US"/>
    </w:rPr>
  </w:style>
  <w:style w:type="paragraph" w:styleId="TOAHeading">
    <w:name w:val="toa heading"/>
    <w:basedOn w:val="Normal"/>
    <w:next w:val="Normal"/>
    <w:uiPriority w:val="99"/>
    <w:semiHidden/>
    <w:locked/>
    <w:rsid w:val="00EC325F"/>
    <w:pPr>
      <w:tabs>
        <w:tab w:val="left" w:pos="-720"/>
        <w:tab w:val="left" w:pos="720"/>
        <w:tab w:val="left" w:pos="1440"/>
        <w:tab w:val="left" w:pos="9000"/>
        <w:tab w:val="right" w:pos="9360"/>
        <w:tab w:val="left" w:pos="10080"/>
      </w:tabs>
      <w:suppressAutoHyphens/>
      <w:spacing w:line="480" w:lineRule="auto"/>
    </w:pPr>
    <w:rPr>
      <w:rFonts w:eastAsia="Times New Roman"/>
      <w:szCs w:val="24"/>
      <w:lang w:eastAsia="en-US"/>
    </w:rPr>
  </w:style>
  <w:style w:type="paragraph" w:customStyle="1" w:styleId="Indent1">
    <w:name w:val="Indent 1"/>
    <w:basedOn w:val="Normal"/>
    <w:next w:val="Normal"/>
    <w:uiPriority w:val="99"/>
    <w:rsid w:val="00EC325F"/>
    <w:pPr>
      <w:overflowPunct w:val="0"/>
      <w:autoSpaceDE w:val="0"/>
      <w:autoSpaceDN w:val="0"/>
      <w:adjustRightInd w:val="0"/>
      <w:spacing w:before="120" w:line="360" w:lineRule="atLeast"/>
      <w:ind w:left="561" w:hanging="561"/>
      <w:textAlignment w:val="baseline"/>
    </w:pPr>
    <w:rPr>
      <w:rFonts w:eastAsia="Times New Roman"/>
      <w:szCs w:val="24"/>
      <w:lang w:eastAsia="en-US"/>
    </w:rPr>
  </w:style>
  <w:style w:type="paragraph" w:customStyle="1" w:styleId="Figurehead">
    <w:name w:val="Figure head"/>
    <w:basedOn w:val="Normal"/>
    <w:qFormat/>
    <w:rsid w:val="001E6E52"/>
    <w:pPr>
      <w:keepNext/>
      <w:keepLines/>
      <w:spacing w:before="240"/>
    </w:pPr>
    <w:rPr>
      <w:b/>
      <w:lang w:val="en-GB"/>
    </w:rPr>
  </w:style>
  <w:style w:type="paragraph" w:styleId="HTMLPreformatted">
    <w:name w:val="HTML Preformatted"/>
    <w:basedOn w:val="Normal"/>
    <w:link w:val="HTMLPreformattedChar"/>
    <w:uiPriority w:val="99"/>
    <w:unhideWhenUsed/>
    <w:locked/>
    <w:rsid w:val="00335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5968"/>
    <w:rPr>
      <w:rFonts w:ascii="Courier New" w:eastAsia="Times New Roman" w:hAnsi="Courier New" w:cs="Courier New"/>
      <w:lang w:val="en-GB" w:eastAsia="en-GB"/>
    </w:rPr>
  </w:style>
  <w:style w:type="character" w:customStyle="1" w:styleId="A1">
    <w:name w:val="A1"/>
    <w:uiPriority w:val="99"/>
    <w:rsid w:val="00270A1A"/>
    <w:rPr>
      <w:rFonts w:cs="Myriad Pro Cond"/>
      <w:b/>
      <w:bCs/>
      <w:color w:val="1F358C"/>
      <w:sz w:val="40"/>
      <w:szCs w:val="40"/>
    </w:rPr>
  </w:style>
  <w:style w:type="paragraph" w:customStyle="1" w:styleId="Tabletext0">
    <w:name w:val="Table text"/>
    <w:basedOn w:val="Normal"/>
    <w:qFormat/>
    <w:rsid w:val="00F04759"/>
    <w:pPr>
      <w:spacing w:after="60"/>
    </w:pPr>
    <w:rPr>
      <w:sz w:val="22"/>
      <w:lang w:val="en-GB"/>
    </w:rPr>
  </w:style>
  <w:style w:type="paragraph" w:styleId="z-TopofForm">
    <w:name w:val="HTML Top of Form"/>
    <w:basedOn w:val="Normal"/>
    <w:next w:val="Normal"/>
    <w:link w:val="z-TopofFormChar"/>
    <w:hidden/>
    <w:uiPriority w:val="99"/>
    <w:semiHidden/>
    <w:unhideWhenUsed/>
    <w:locked/>
    <w:rsid w:val="00BB0002"/>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B000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locked/>
    <w:rsid w:val="00BB0002"/>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B0002"/>
    <w:rPr>
      <w:rFonts w:ascii="Arial" w:eastAsia="Times New Roman" w:hAnsi="Arial" w:cs="Arial"/>
      <w:vanish/>
      <w:sz w:val="16"/>
      <w:szCs w:val="16"/>
    </w:rPr>
  </w:style>
  <w:style w:type="paragraph" w:styleId="Title">
    <w:name w:val="Title"/>
    <w:basedOn w:val="Normal"/>
    <w:next w:val="Normal"/>
    <w:link w:val="TitleChar"/>
    <w:uiPriority w:val="10"/>
    <w:qFormat/>
    <w:rsid w:val="00A5640C"/>
    <w:pPr>
      <w:keepNext/>
      <w:keepLines/>
      <w:spacing w:before="240" w:after="240" w:line="360" w:lineRule="auto"/>
      <w:jc w:val="center"/>
    </w:pPr>
    <w:rPr>
      <w:rFonts w:eastAsia="MS Gothic" w:cstheme="minorBidi"/>
      <w:b/>
      <w:spacing w:val="5"/>
      <w:kern w:val="28"/>
      <w:sz w:val="32"/>
      <w:szCs w:val="220"/>
      <w:lang w:val="de-CH" w:eastAsia="ja-JP"/>
    </w:rPr>
  </w:style>
  <w:style w:type="character" w:customStyle="1" w:styleId="TitleChar">
    <w:name w:val="Title Char"/>
    <w:basedOn w:val="DefaultParagraphFont"/>
    <w:link w:val="Title"/>
    <w:uiPriority w:val="10"/>
    <w:rsid w:val="00A5640C"/>
    <w:rPr>
      <w:rFonts w:ascii="Times New Roman" w:eastAsia="MS Gothic" w:hAnsi="Times New Roman" w:cstheme="minorBidi"/>
      <w:b/>
      <w:spacing w:val="5"/>
      <w:kern w:val="28"/>
      <w:sz w:val="32"/>
      <w:szCs w:val="220"/>
      <w:lang w:val="de-CH" w:eastAsia="ja-JP"/>
    </w:rPr>
  </w:style>
  <w:style w:type="character" w:customStyle="1" w:styleId="HeaderChar">
    <w:name w:val="Header Char"/>
    <w:basedOn w:val="DefaultParagraphFont"/>
    <w:link w:val="Header"/>
    <w:rsid w:val="00CE4343"/>
    <w:rPr>
      <w:rFonts w:ascii="Times New Roman" w:hAnsi="Times New Roman"/>
      <w:sz w:val="24"/>
      <w:szCs w:val="22"/>
      <w:lang w:val="en-US"/>
    </w:rPr>
  </w:style>
  <w:style w:type="paragraph" w:customStyle="1" w:styleId="Pa7">
    <w:name w:val="Pa7"/>
    <w:basedOn w:val="Normal"/>
    <w:next w:val="Normal"/>
    <w:uiPriority w:val="99"/>
    <w:rsid w:val="00A17287"/>
    <w:pPr>
      <w:autoSpaceDE w:val="0"/>
      <w:autoSpaceDN w:val="0"/>
      <w:adjustRightInd w:val="0"/>
      <w:spacing w:after="0" w:line="201" w:lineRule="atLeast"/>
    </w:pPr>
    <w:rPr>
      <w:rFonts w:ascii="Myriad Pro" w:hAnsi="Myriad Pro"/>
      <w:szCs w:val="24"/>
      <w:lang w:val="de-CH"/>
    </w:rPr>
  </w:style>
  <w:style w:type="table" w:customStyle="1" w:styleId="TableGrid1">
    <w:name w:val="Table Grid1"/>
    <w:basedOn w:val="TableNormal"/>
    <w:next w:val="TableGrid"/>
    <w:uiPriority w:val="59"/>
    <w:rsid w:val="00867B51"/>
    <w:rPr>
      <w:sz w:val="22"/>
      <w:szCs w:val="22"/>
      <w:lang w:val="de-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next w:val="Normal"/>
    <w:uiPriority w:val="99"/>
    <w:rsid w:val="00A17287"/>
    <w:pPr>
      <w:autoSpaceDE w:val="0"/>
      <w:autoSpaceDN w:val="0"/>
      <w:adjustRightInd w:val="0"/>
      <w:spacing w:after="0" w:line="281" w:lineRule="atLeast"/>
    </w:pPr>
    <w:rPr>
      <w:rFonts w:ascii="Myriad Pro" w:hAnsi="Myriad Pro"/>
      <w:szCs w:val="24"/>
      <w:lang w:val="de-CH"/>
    </w:rPr>
  </w:style>
  <w:style w:type="paragraph" w:customStyle="1" w:styleId="Pa6">
    <w:name w:val="Pa6"/>
    <w:basedOn w:val="Normal"/>
    <w:next w:val="Normal"/>
    <w:uiPriority w:val="99"/>
    <w:rsid w:val="00A17287"/>
    <w:pPr>
      <w:autoSpaceDE w:val="0"/>
      <w:autoSpaceDN w:val="0"/>
      <w:adjustRightInd w:val="0"/>
      <w:spacing w:after="0" w:line="201" w:lineRule="atLeast"/>
    </w:pPr>
    <w:rPr>
      <w:rFonts w:ascii="Myriad Pro" w:hAnsi="Myriad Pro"/>
      <w:szCs w:val="24"/>
      <w:lang w:val="de-CH"/>
    </w:rPr>
  </w:style>
  <w:style w:type="paragraph" w:customStyle="1" w:styleId="Pa22">
    <w:name w:val="Pa22"/>
    <w:basedOn w:val="Normal"/>
    <w:next w:val="Normal"/>
    <w:uiPriority w:val="99"/>
    <w:rsid w:val="00A17287"/>
    <w:pPr>
      <w:autoSpaceDE w:val="0"/>
      <w:autoSpaceDN w:val="0"/>
      <w:adjustRightInd w:val="0"/>
      <w:spacing w:after="0" w:line="241" w:lineRule="atLeast"/>
    </w:pPr>
    <w:rPr>
      <w:rFonts w:ascii="Myriad Pro" w:hAnsi="Myriad Pro"/>
      <w:szCs w:val="24"/>
      <w:lang w:val="de-CH"/>
    </w:rPr>
  </w:style>
  <w:style w:type="paragraph" w:customStyle="1" w:styleId="Pa10">
    <w:name w:val="Pa10"/>
    <w:basedOn w:val="Normal"/>
    <w:next w:val="Normal"/>
    <w:uiPriority w:val="99"/>
    <w:rsid w:val="00A17287"/>
    <w:pPr>
      <w:autoSpaceDE w:val="0"/>
      <w:autoSpaceDN w:val="0"/>
      <w:adjustRightInd w:val="0"/>
      <w:spacing w:after="0" w:line="201" w:lineRule="atLeast"/>
    </w:pPr>
    <w:rPr>
      <w:rFonts w:ascii="Myriad Pro" w:hAnsi="Myriad Pro"/>
      <w:szCs w:val="24"/>
      <w:lang w:val="de-CH"/>
    </w:rPr>
  </w:style>
  <w:style w:type="character" w:customStyle="1" w:styleId="NichtaufgelsteErwhnung1">
    <w:name w:val="Nicht aufgelöste Erwähnung1"/>
    <w:basedOn w:val="DefaultParagraphFont"/>
    <w:uiPriority w:val="99"/>
    <w:semiHidden/>
    <w:unhideWhenUsed/>
    <w:rsid w:val="00277FA3"/>
    <w:rPr>
      <w:color w:val="605E5C"/>
      <w:shd w:val="clear" w:color="auto" w:fill="E1DFDD"/>
    </w:rPr>
  </w:style>
  <w:style w:type="paragraph" w:customStyle="1" w:styleId="Annexsubhead">
    <w:name w:val="Annex subhead"/>
    <w:basedOn w:val="Heading2"/>
    <w:qFormat/>
    <w:rsid w:val="000144F9"/>
    <w:pPr>
      <w:spacing w:after="120"/>
      <w:ind w:left="720" w:hanging="720"/>
    </w:pPr>
    <w:rPr>
      <w:lang w:val="en-GB"/>
    </w:rPr>
  </w:style>
  <w:style w:type="paragraph" w:customStyle="1" w:styleId="Undertext">
    <w:name w:val="Undertext"/>
    <w:basedOn w:val="Normal"/>
    <w:qFormat/>
    <w:rsid w:val="008E4408"/>
    <w:pPr>
      <w:spacing w:before="120"/>
    </w:pPr>
    <w:rPr>
      <w:sz w:val="20"/>
      <w:lang w:val="en-GB"/>
    </w:rPr>
  </w:style>
  <w:style w:type="paragraph" w:customStyle="1" w:styleId="Tablehead">
    <w:name w:val="Table head"/>
    <w:basedOn w:val="Figurehead"/>
    <w:qFormat/>
    <w:rsid w:val="008E4408"/>
  </w:style>
  <w:style w:type="paragraph" w:customStyle="1" w:styleId="Normal12before">
    <w:name w:val="Normal 12 before"/>
    <w:basedOn w:val="Normal"/>
    <w:qFormat/>
    <w:rsid w:val="00D32A65"/>
    <w:pPr>
      <w:spacing w:before="240"/>
    </w:pPr>
    <w:rPr>
      <w:szCs w:val="24"/>
      <w:lang w:val="en-GB"/>
    </w:rPr>
  </w:style>
  <w:style w:type="paragraph" w:styleId="Footer">
    <w:name w:val="footer"/>
    <w:basedOn w:val="Normal"/>
    <w:link w:val="FooterChar"/>
    <w:uiPriority w:val="99"/>
    <w:unhideWhenUsed/>
    <w:locked/>
    <w:rsid w:val="00CE434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E4343"/>
    <w:rPr>
      <w:rFonts w:ascii="Times New Roman" w:hAnsi="Times New Roman"/>
      <w:sz w:val="24"/>
      <w:szCs w:val="22"/>
      <w:lang w:val="en-US"/>
    </w:rPr>
  </w:style>
  <w:style w:type="paragraph" w:customStyle="1" w:styleId="Bulletlist2">
    <w:name w:val="Bullet list2"/>
    <w:basedOn w:val="Normal"/>
    <w:qFormat/>
    <w:rsid w:val="00DC1850"/>
    <w:pPr>
      <w:numPr>
        <w:numId w:val="38"/>
      </w:numPr>
    </w:pPr>
    <w:rPr>
      <w:lang w:val="en-GB"/>
    </w:rPr>
  </w:style>
  <w:style w:type="paragraph" w:customStyle="1" w:styleId="Listnumbered">
    <w:name w:val="List numbered"/>
    <w:basedOn w:val="Normal"/>
    <w:qFormat/>
    <w:rsid w:val="00C20934"/>
    <w:pPr>
      <w:numPr>
        <w:numId w:val="39"/>
      </w:numPr>
    </w:pPr>
    <w:rPr>
      <w:lang w:val="en-GB"/>
    </w:rPr>
  </w:style>
  <w:style w:type="paragraph" w:customStyle="1" w:styleId="Referencelist">
    <w:name w:val="Reference list"/>
    <w:basedOn w:val="Normal"/>
    <w:qFormat/>
    <w:rsid w:val="00662FC6"/>
    <w:pPr>
      <w:ind w:left="720" w:hanging="720"/>
    </w:pPr>
    <w:rPr>
      <w:rFonts w:eastAsiaTheme="minorHAnsi" w:cstheme="minorBidi"/>
      <w:lang w:val="en-GB" w:eastAsia="en-US"/>
    </w:rPr>
  </w:style>
  <w:style w:type="paragraph" w:customStyle="1" w:styleId="SGabbrevs">
    <w:name w:val="SG abbrevs"/>
    <w:basedOn w:val="Normal"/>
    <w:qFormat/>
    <w:rsid w:val="006703F4"/>
    <w:pPr>
      <w:spacing w:after="60" w:line="240" w:lineRule="auto"/>
      <w:ind w:left="1985" w:hanging="1985"/>
    </w:pPr>
    <w:rPr>
      <w:rFonts w:eastAsia="Times New Roman"/>
      <w:szCs w:val="24"/>
      <w:lang w:val="en-GB" w:eastAsia="en-US"/>
    </w:rPr>
  </w:style>
  <w:style w:type="paragraph" w:styleId="TableofFigures">
    <w:name w:val="table of figures"/>
    <w:basedOn w:val="Normal"/>
    <w:next w:val="Normal"/>
    <w:uiPriority w:val="99"/>
    <w:unhideWhenUsed/>
    <w:locked/>
    <w:rsid w:val="00516C62"/>
    <w:pPr>
      <w:spacing w:after="60"/>
    </w:pPr>
  </w:style>
  <w:style w:type="character" w:customStyle="1" w:styleId="UnresolvedMention1">
    <w:name w:val="Unresolved Mention1"/>
    <w:basedOn w:val="DefaultParagraphFont"/>
    <w:uiPriority w:val="99"/>
    <w:semiHidden/>
    <w:unhideWhenUsed/>
    <w:rsid w:val="008E3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9639">
      <w:bodyDiv w:val="1"/>
      <w:marLeft w:val="0"/>
      <w:marRight w:val="0"/>
      <w:marTop w:val="0"/>
      <w:marBottom w:val="0"/>
      <w:divBdr>
        <w:top w:val="none" w:sz="0" w:space="0" w:color="auto"/>
        <w:left w:val="none" w:sz="0" w:space="0" w:color="auto"/>
        <w:bottom w:val="none" w:sz="0" w:space="0" w:color="auto"/>
        <w:right w:val="none" w:sz="0" w:space="0" w:color="auto"/>
      </w:divBdr>
      <w:divsChild>
        <w:div w:id="544029577">
          <w:marLeft w:val="0"/>
          <w:marRight w:val="0"/>
          <w:marTop w:val="0"/>
          <w:marBottom w:val="0"/>
          <w:divBdr>
            <w:top w:val="none" w:sz="0" w:space="0" w:color="auto"/>
            <w:left w:val="none" w:sz="0" w:space="0" w:color="auto"/>
            <w:bottom w:val="none" w:sz="0" w:space="0" w:color="auto"/>
            <w:right w:val="none" w:sz="0" w:space="0" w:color="auto"/>
          </w:divBdr>
          <w:divsChild>
            <w:div w:id="43085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6242">
      <w:bodyDiv w:val="1"/>
      <w:marLeft w:val="0"/>
      <w:marRight w:val="0"/>
      <w:marTop w:val="0"/>
      <w:marBottom w:val="0"/>
      <w:divBdr>
        <w:top w:val="none" w:sz="0" w:space="0" w:color="auto"/>
        <w:left w:val="none" w:sz="0" w:space="0" w:color="auto"/>
        <w:bottom w:val="none" w:sz="0" w:space="0" w:color="auto"/>
        <w:right w:val="none" w:sz="0" w:space="0" w:color="auto"/>
      </w:divBdr>
    </w:div>
    <w:div w:id="193662743">
      <w:bodyDiv w:val="1"/>
      <w:marLeft w:val="0"/>
      <w:marRight w:val="0"/>
      <w:marTop w:val="0"/>
      <w:marBottom w:val="0"/>
      <w:divBdr>
        <w:top w:val="none" w:sz="0" w:space="0" w:color="auto"/>
        <w:left w:val="none" w:sz="0" w:space="0" w:color="auto"/>
        <w:bottom w:val="none" w:sz="0" w:space="0" w:color="auto"/>
        <w:right w:val="none" w:sz="0" w:space="0" w:color="auto"/>
      </w:divBdr>
    </w:div>
    <w:div w:id="403067829">
      <w:bodyDiv w:val="1"/>
      <w:marLeft w:val="0"/>
      <w:marRight w:val="0"/>
      <w:marTop w:val="0"/>
      <w:marBottom w:val="0"/>
      <w:divBdr>
        <w:top w:val="none" w:sz="0" w:space="0" w:color="auto"/>
        <w:left w:val="none" w:sz="0" w:space="0" w:color="auto"/>
        <w:bottom w:val="none" w:sz="0" w:space="0" w:color="auto"/>
        <w:right w:val="none" w:sz="0" w:space="0" w:color="auto"/>
      </w:divBdr>
    </w:div>
    <w:div w:id="552040419">
      <w:bodyDiv w:val="1"/>
      <w:marLeft w:val="0"/>
      <w:marRight w:val="0"/>
      <w:marTop w:val="0"/>
      <w:marBottom w:val="0"/>
      <w:divBdr>
        <w:top w:val="none" w:sz="0" w:space="0" w:color="auto"/>
        <w:left w:val="none" w:sz="0" w:space="0" w:color="auto"/>
        <w:bottom w:val="none" w:sz="0" w:space="0" w:color="auto"/>
        <w:right w:val="none" w:sz="0" w:space="0" w:color="auto"/>
      </w:divBdr>
      <w:divsChild>
        <w:div w:id="1105493779">
          <w:marLeft w:val="0"/>
          <w:marRight w:val="0"/>
          <w:marTop w:val="0"/>
          <w:marBottom w:val="0"/>
          <w:divBdr>
            <w:top w:val="none" w:sz="0" w:space="0" w:color="auto"/>
            <w:left w:val="none" w:sz="0" w:space="0" w:color="auto"/>
            <w:bottom w:val="none" w:sz="0" w:space="0" w:color="auto"/>
            <w:right w:val="none" w:sz="0" w:space="0" w:color="auto"/>
          </w:divBdr>
          <w:divsChild>
            <w:div w:id="101943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4270">
      <w:bodyDiv w:val="1"/>
      <w:marLeft w:val="0"/>
      <w:marRight w:val="0"/>
      <w:marTop w:val="0"/>
      <w:marBottom w:val="0"/>
      <w:divBdr>
        <w:top w:val="none" w:sz="0" w:space="0" w:color="auto"/>
        <w:left w:val="none" w:sz="0" w:space="0" w:color="auto"/>
        <w:bottom w:val="none" w:sz="0" w:space="0" w:color="auto"/>
        <w:right w:val="none" w:sz="0" w:space="0" w:color="auto"/>
      </w:divBdr>
    </w:div>
    <w:div w:id="623776096">
      <w:bodyDiv w:val="1"/>
      <w:marLeft w:val="0"/>
      <w:marRight w:val="0"/>
      <w:marTop w:val="0"/>
      <w:marBottom w:val="0"/>
      <w:divBdr>
        <w:top w:val="none" w:sz="0" w:space="0" w:color="auto"/>
        <w:left w:val="none" w:sz="0" w:space="0" w:color="auto"/>
        <w:bottom w:val="none" w:sz="0" w:space="0" w:color="auto"/>
        <w:right w:val="none" w:sz="0" w:space="0" w:color="auto"/>
      </w:divBdr>
    </w:div>
    <w:div w:id="670717928">
      <w:bodyDiv w:val="1"/>
      <w:marLeft w:val="0"/>
      <w:marRight w:val="0"/>
      <w:marTop w:val="0"/>
      <w:marBottom w:val="0"/>
      <w:divBdr>
        <w:top w:val="none" w:sz="0" w:space="0" w:color="auto"/>
        <w:left w:val="none" w:sz="0" w:space="0" w:color="auto"/>
        <w:bottom w:val="none" w:sz="0" w:space="0" w:color="auto"/>
        <w:right w:val="none" w:sz="0" w:space="0" w:color="auto"/>
      </w:divBdr>
    </w:div>
    <w:div w:id="1000616138">
      <w:bodyDiv w:val="1"/>
      <w:marLeft w:val="0"/>
      <w:marRight w:val="0"/>
      <w:marTop w:val="0"/>
      <w:marBottom w:val="0"/>
      <w:divBdr>
        <w:top w:val="none" w:sz="0" w:space="0" w:color="auto"/>
        <w:left w:val="none" w:sz="0" w:space="0" w:color="auto"/>
        <w:bottom w:val="none" w:sz="0" w:space="0" w:color="auto"/>
        <w:right w:val="none" w:sz="0" w:space="0" w:color="auto"/>
      </w:divBdr>
    </w:div>
    <w:div w:id="1057163931">
      <w:bodyDiv w:val="1"/>
      <w:marLeft w:val="0"/>
      <w:marRight w:val="0"/>
      <w:marTop w:val="0"/>
      <w:marBottom w:val="0"/>
      <w:divBdr>
        <w:top w:val="none" w:sz="0" w:space="0" w:color="auto"/>
        <w:left w:val="none" w:sz="0" w:space="0" w:color="auto"/>
        <w:bottom w:val="none" w:sz="0" w:space="0" w:color="auto"/>
        <w:right w:val="none" w:sz="0" w:space="0" w:color="auto"/>
      </w:divBdr>
    </w:div>
    <w:div w:id="1105879000">
      <w:bodyDiv w:val="1"/>
      <w:marLeft w:val="0"/>
      <w:marRight w:val="0"/>
      <w:marTop w:val="0"/>
      <w:marBottom w:val="0"/>
      <w:divBdr>
        <w:top w:val="none" w:sz="0" w:space="0" w:color="auto"/>
        <w:left w:val="none" w:sz="0" w:space="0" w:color="auto"/>
        <w:bottom w:val="none" w:sz="0" w:space="0" w:color="auto"/>
        <w:right w:val="none" w:sz="0" w:space="0" w:color="auto"/>
      </w:divBdr>
    </w:div>
    <w:div w:id="1190725350">
      <w:bodyDiv w:val="1"/>
      <w:marLeft w:val="0"/>
      <w:marRight w:val="0"/>
      <w:marTop w:val="0"/>
      <w:marBottom w:val="0"/>
      <w:divBdr>
        <w:top w:val="none" w:sz="0" w:space="0" w:color="auto"/>
        <w:left w:val="none" w:sz="0" w:space="0" w:color="auto"/>
        <w:bottom w:val="none" w:sz="0" w:space="0" w:color="auto"/>
        <w:right w:val="none" w:sz="0" w:space="0" w:color="auto"/>
      </w:divBdr>
      <w:divsChild>
        <w:div w:id="1001391823">
          <w:marLeft w:val="0"/>
          <w:marRight w:val="0"/>
          <w:marTop w:val="0"/>
          <w:marBottom w:val="0"/>
          <w:divBdr>
            <w:top w:val="none" w:sz="0" w:space="0" w:color="auto"/>
            <w:left w:val="none" w:sz="0" w:space="0" w:color="auto"/>
            <w:bottom w:val="none" w:sz="0" w:space="0" w:color="auto"/>
            <w:right w:val="none" w:sz="0" w:space="0" w:color="auto"/>
          </w:divBdr>
        </w:div>
        <w:div w:id="1122187862">
          <w:marLeft w:val="0"/>
          <w:marRight w:val="0"/>
          <w:marTop w:val="0"/>
          <w:marBottom w:val="0"/>
          <w:divBdr>
            <w:top w:val="none" w:sz="0" w:space="0" w:color="auto"/>
            <w:left w:val="none" w:sz="0" w:space="0" w:color="auto"/>
            <w:bottom w:val="none" w:sz="0" w:space="0" w:color="auto"/>
            <w:right w:val="none" w:sz="0" w:space="0" w:color="auto"/>
          </w:divBdr>
        </w:div>
        <w:div w:id="470640061">
          <w:marLeft w:val="0"/>
          <w:marRight w:val="0"/>
          <w:marTop w:val="0"/>
          <w:marBottom w:val="0"/>
          <w:divBdr>
            <w:top w:val="none" w:sz="0" w:space="0" w:color="auto"/>
            <w:left w:val="none" w:sz="0" w:space="0" w:color="auto"/>
            <w:bottom w:val="none" w:sz="0" w:space="0" w:color="auto"/>
            <w:right w:val="none" w:sz="0" w:space="0" w:color="auto"/>
          </w:divBdr>
        </w:div>
        <w:div w:id="765536080">
          <w:marLeft w:val="0"/>
          <w:marRight w:val="0"/>
          <w:marTop w:val="0"/>
          <w:marBottom w:val="0"/>
          <w:divBdr>
            <w:top w:val="none" w:sz="0" w:space="0" w:color="auto"/>
            <w:left w:val="none" w:sz="0" w:space="0" w:color="auto"/>
            <w:bottom w:val="none" w:sz="0" w:space="0" w:color="auto"/>
            <w:right w:val="none" w:sz="0" w:space="0" w:color="auto"/>
          </w:divBdr>
        </w:div>
        <w:div w:id="1088694909">
          <w:marLeft w:val="0"/>
          <w:marRight w:val="0"/>
          <w:marTop w:val="0"/>
          <w:marBottom w:val="0"/>
          <w:divBdr>
            <w:top w:val="none" w:sz="0" w:space="0" w:color="auto"/>
            <w:left w:val="none" w:sz="0" w:space="0" w:color="auto"/>
            <w:bottom w:val="none" w:sz="0" w:space="0" w:color="auto"/>
            <w:right w:val="none" w:sz="0" w:space="0" w:color="auto"/>
          </w:divBdr>
        </w:div>
        <w:div w:id="125393457">
          <w:marLeft w:val="0"/>
          <w:marRight w:val="0"/>
          <w:marTop w:val="0"/>
          <w:marBottom w:val="0"/>
          <w:divBdr>
            <w:top w:val="none" w:sz="0" w:space="0" w:color="auto"/>
            <w:left w:val="none" w:sz="0" w:space="0" w:color="auto"/>
            <w:bottom w:val="none" w:sz="0" w:space="0" w:color="auto"/>
            <w:right w:val="none" w:sz="0" w:space="0" w:color="auto"/>
          </w:divBdr>
        </w:div>
        <w:div w:id="874586780">
          <w:marLeft w:val="0"/>
          <w:marRight w:val="0"/>
          <w:marTop w:val="0"/>
          <w:marBottom w:val="0"/>
          <w:divBdr>
            <w:top w:val="none" w:sz="0" w:space="0" w:color="auto"/>
            <w:left w:val="none" w:sz="0" w:space="0" w:color="auto"/>
            <w:bottom w:val="none" w:sz="0" w:space="0" w:color="auto"/>
            <w:right w:val="none" w:sz="0" w:space="0" w:color="auto"/>
          </w:divBdr>
        </w:div>
        <w:div w:id="1447774560">
          <w:marLeft w:val="0"/>
          <w:marRight w:val="0"/>
          <w:marTop w:val="0"/>
          <w:marBottom w:val="0"/>
          <w:divBdr>
            <w:top w:val="none" w:sz="0" w:space="0" w:color="auto"/>
            <w:left w:val="none" w:sz="0" w:space="0" w:color="auto"/>
            <w:bottom w:val="none" w:sz="0" w:space="0" w:color="auto"/>
            <w:right w:val="none" w:sz="0" w:space="0" w:color="auto"/>
          </w:divBdr>
        </w:div>
        <w:div w:id="93792717">
          <w:marLeft w:val="0"/>
          <w:marRight w:val="0"/>
          <w:marTop w:val="0"/>
          <w:marBottom w:val="0"/>
          <w:divBdr>
            <w:top w:val="none" w:sz="0" w:space="0" w:color="auto"/>
            <w:left w:val="none" w:sz="0" w:space="0" w:color="auto"/>
            <w:bottom w:val="none" w:sz="0" w:space="0" w:color="auto"/>
            <w:right w:val="none" w:sz="0" w:space="0" w:color="auto"/>
          </w:divBdr>
        </w:div>
        <w:div w:id="744960129">
          <w:marLeft w:val="0"/>
          <w:marRight w:val="0"/>
          <w:marTop w:val="0"/>
          <w:marBottom w:val="0"/>
          <w:divBdr>
            <w:top w:val="none" w:sz="0" w:space="0" w:color="auto"/>
            <w:left w:val="none" w:sz="0" w:space="0" w:color="auto"/>
            <w:bottom w:val="none" w:sz="0" w:space="0" w:color="auto"/>
            <w:right w:val="none" w:sz="0" w:space="0" w:color="auto"/>
          </w:divBdr>
        </w:div>
        <w:div w:id="1438677940">
          <w:marLeft w:val="0"/>
          <w:marRight w:val="0"/>
          <w:marTop w:val="0"/>
          <w:marBottom w:val="0"/>
          <w:divBdr>
            <w:top w:val="none" w:sz="0" w:space="0" w:color="auto"/>
            <w:left w:val="none" w:sz="0" w:space="0" w:color="auto"/>
            <w:bottom w:val="none" w:sz="0" w:space="0" w:color="auto"/>
            <w:right w:val="none" w:sz="0" w:space="0" w:color="auto"/>
          </w:divBdr>
        </w:div>
        <w:div w:id="1162115238">
          <w:marLeft w:val="0"/>
          <w:marRight w:val="0"/>
          <w:marTop w:val="0"/>
          <w:marBottom w:val="0"/>
          <w:divBdr>
            <w:top w:val="none" w:sz="0" w:space="0" w:color="auto"/>
            <w:left w:val="none" w:sz="0" w:space="0" w:color="auto"/>
            <w:bottom w:val="none" w:sz="0" w:space="0" w:color="auto"/>
            <w:right w:val="none" w:sz="0" w:space="0" w:color="auto"/>
          </w:divBdr>
        </w:div>
        <w:div w:id="368722609">
          <w:marLeft w:val="0"/>
          <w:marRight w:val="0"/>
          <w:marTop w:val="0"/>
          <w:marBottom w:val="0"/>
          <w:divBdr>
            <w:top w:val="none" w:sz="0" w:space="0" w:color="auto"/>
            <w:left w:val="none" w:sz="0" w:space="0" w:color="auto"/>
            <w:bottom w:val="none" w:sz="0" w:space="0" w:color="auto"/>
            <w:right w:val="none" w:sz="0" w:space="0" w:color="auto"/>
          </w:divBdr>
        </w:div>
        <w:div w:id="222839608">
          <w:marLeft w:val="0"/>
          <w:marRight w:val="0"/>
          <w:marTop w:val="0"/>
          <w:marBottom w:val="0"/>
          <w:divBdr>
            <w:top w:val="none" w:sz="0" w:space="0" w:color="auto"/>
            <w:left w:val="none" w:sz="0" w:space="0" w:color="auto"/>
            <w:bottom w:val="none" w:sz="0" w:space="0" w:color="auto"/>
            <w:right w:val="none" w:sz="0" w:space="0" w:color="auto"/>
          </w:divBdr>
        </w:div>
        <w:div w:id="1197042617">
          <w:marLeft w:val="0"/>
          <w:marRight w:val="0"/>
          <w:marTop w:val="0"/>
          <w:marBottom w:val="0"/>
          <w:divBdr>
            <w:top w:val="none" w:sz="0" w:space="0" w:color="auto"/>
            <w:left w:val="none" w:sz="0" w:space="0" w:color="auto"/>
            <w:bottom w:val="none" w:sz="0" w:space="0" w:color="auto"/>
            <w:right w:val="none" w:sz="0" w:space="0" w:color="auto"/>
          </w:divBdr>
        </w:div>
        <w:div w:id="1112167962">
          <w:marLeft w:val="0"/>
          <w:marRight w:val="0"/>
          <w:marTop w:val="0"/>
          <w:marBottom w:val="0"/>
          <w:divBdr>
            <w:top w:val="none" w:sz="0" w:space="0" w:color="auto"/>
            <w:left w:val="none" w:sz="0" w:space="0" w:color="auto"/>
            <w:bottom w:val="none" w:sz="0" w:space="0" w:color="auto"/>
            <w:right w:val="none" w:sz="0" w:space="0" w:color="auto"/>
          </w:divBdr>
        </w:div>
        <w:div w:id="1184056675">
          <w:marLeft w:val="0"/>
          <w:marRight w:val="0"/>
          <w:marTop w:val="0"/>
          <w:marBottom w:val="0"/>
          <w:divBdr>
            <w:top w:val="none" w:sz="0" w:space="0" w:color="auto"/>
            <w:left w:val="none" w:sz="0" w:space="0" w:color="auto"/>
            <w:bottom w:val="none" w:sz="0" w:space="0" w:color="auto"/>
            <w:right w:val="none" w:sz="0" w:space="0" w:color="auto"/>
          </w:divBdr>
        </w:div>
        <w:div w:id="2019111683">
          <w:marLeft w:val="0"/>
          <w:marRight w:val="0"/>
          <w:marTop w:val="0"/>
          <w:marBottom w:val="0"/>
          <w:divBdr>
            <w:top w:val="none" w:sz="0" w:space="0" w:color="auto"/>
            <w:left w:val="none" w:sz="0" w:space="0" w:color="auto"/>
            <w:bottom w:val="none" w:sz="0" w:space="0" w:color="auto"/>
            <w:right w:val="none" w:sz="0" w:space="0" w:color="auto"/>
          </w:divBdr>
        </w:div>
        <w:div w:id="485517229">
          <w:marLeft w:val="0"/>
          <w:marRight w:val="0"/>
          <w:marTop w:val="0"/>
          <w:marBottom w:val="0"/>
          <w:divBdr>
            <w:top w:val="none" w:sz="0" w:space="0" w:color="auto"/>
            <w:left w:val="none" w:sz="0" w:space="0" w:color="auto"/>
            <w:bottom w:val="none" w:sz="0" w:space="0" w:color="auto"/>
            <w:right w:val="none" w:sz="0" w:space="0" w:color="auto"/>
          </w:divBdr>
        </w:div>
        <w:div w:id="1870948139">
          <w:marLeft w:val="0"/>
          <w:marRight w:val="0"/>
          <w:marTop w:val="0"/>
          <w:marBottom w:val="0"/>
          <w:divBdr>
            <w:top w:val="none" w:sz="0" w:space="0" w:color="auto"/>
            <w:left w:val="none" w:sz="0" w:space="0" w:color="auto"/>
            <w:bottom w:val="none" w:sz="0" w:space="0" w:color="auto"/>
            <w:right w:val="none" w:sz="0" w:space="0" w:color="auto"/>
          </w:divBdr>
        </w:div>
        <w:div w:id="2080325786">
          <w:marLeft w:val="0"/>
          <w:marRight w:val="0"/>
          <w:marTop w:val="0"/>
          <w:marBottom w:val="0"/>
          <w:divBdr>
            <w:top w:val="none" w:sz="0" w:space="0" w:color="auto"/>
            <w:left w:val="none" w:sz="0" w:space="0" w:color="auto"/>
            <w:bottom w:val="none" w:sz="0" w:space="0" w:color="auto"/>
            <w:right w:val="none" w:sz="0" w:space="0" w:color="auto"/>
          </w:divBdr>
        </w:div>
        <w:div w:id="1740209114">
          <w:marLeft w:val="0"/>
          <w:marRight w:val="0"/>
          <w:marTop w:val="0"/>
          <w:marBottom w:val="0"/>
          <w:divBdr>
            <w:top w:val="none" w:sz="0" w:space="0" w:color="auto"/>
            <w:left w:val="none" w:sz="0" w:space="0" w:color="auto"/>
            <w:bottom w:val="none" w:sz="0" w:space="0" w:color="auto"/>
            <w:right w:val="none" w:sz="0" w:space="0" w:color="auto"/>
          </w:divBdr>
        </w:div>
        <w:div w:id="2089231878">
          <w:marLeft w:val="0"/>
          <w:marRight w:val="0"/>
          <w:marTop w:val="0"/>
          <w:marBottom w:val="0"/>
          <w:divBdr>
            <w:top w:val="none" w:sz="0" w:space="0" w:color="auto"/>
            <w:left w:val="none" w:sz="0" w:space="0" w:color="auto"/>
            <w:bottom w:val="none" w:sz="0" w:space="0" w:color="auto"/>
            <w:right w:val="none" w:sz="0" w:space="0" w:color="auto"/>
          </w:divBdr>
        </w:div>
        <w:div w:id="1040743762">
          <w:marLeft w:val="0"/>
          <w:marRight w:val="0"/>
          <w:marTop w:val="0"/>
          <w:marBottom w:val="0"/>
          <w:divBdr>
            <w:top w:val="none" w:sz="0" w:space="0" w:color="auto"/>
            <w:left w:val="none" w:sz="0" w:space="0" w:color="auto"/>
            <w:bottom w:val="none" w:sz="0" w:space="0" w:color="auto"/>
            <w:right w:val="none" w:sz="0" w:space="0" w:color="auto"/>
          </w:divBdr>
        </w:div>
        <w:div w:id="1665813938">
          <w:marLeft w:val="0"/>
          <w:marRight w:val="0"/>
          <w:marTop w:val="0"/>
          <w:marBottom w:val="0"/>
          <w:divBdr>
            <w:top w:val="none" w:sz="0" w:space="0" w:color="auto"/>
            <w:left w:val="none" w:sz="0" w:space="0" w:color="auto"/>
            <w:bottom w:val="none" w:sz="0" w:space="0" w:color="auto"/>
            <w:right w:val="none" w:sz="0" w:space="0" w:color="auto"/>
          </w:divBdr>
        </w:div>
        <w:div w:id="1419669000">
          <w:marLeft w:val="0"/>
          <w:marRight w:val="0"/>
          <w:marTop w:val="0"/>
          <w:marBottom w:val="0"/>
          <w:divBdr>
            <w:top w:val="none" w:sz="0" w:space="0" w:color="auto"/>
            <w:left w:val="none" w:sz="0" w:space="0" w:color="auto"/>
            <w:bottom w:val="none" w:sz="0" w:space="0" w:color="auto"/>
            <w:right w:val="none" w:sz="0" w:space="0" w:color="auto"/>
          </w:divBdr>
        </w:div>
        <w:div w:id="1320842969">
          <w:marLeft w:val="0"/>
          <w:marRight w:val="0"/>
          <w:marTop w:val="0"/>
          <w:marBottom w:val="0"/>
          <w:divBdr>
            <w:top w:val="none" w:sz="0" w:space="0" w:color="auto"/>
            <w:left w:val="none" w:sz="0" w:space="0" w:color="auto"/>
            <w:bottom w:val="none" w:sz="0" w:space="0" w:color="auto"/>
            <w:right w:val="none" w:sz="0" w:space="0" w:color="auto"/>
          </w:divBdr>
        </w:div>
        <w:div w:id="92481460">
          <w:marLeft w:val="0"/>
          <w:marRight w:val="0"/>
          <w:marTop w:val="0"/>
          <w:marBottom w:val="0"/>
          <w:divBdr>
            <w:top w:val="none" w:sz="0" w:space="0" w:color="auto"/>
            <w:left w:val="none" w:sz="0" w:space="0" w:color="auto"/>
            <w:bottom w:val="none" w:sz="0" w:space="0" w:color="auto"/>
            <w:right w:val="none" w:sz="0" w:space="0" w:color="auto"/>
          </w:divBdr>
        </w:div>
      </w:divsChild>
    </w:div>
    <w:div w:id="1617171605">
      <w:marLeft w:val="0"/>
      <w:marRight w:val="0"/>
      <w:marTop w:val="0"/>
      <w:marBottom w:val="0"/>
      <w:divBdr>
        <w:top w:val="none" w:sz="0" w:space="0" w:color="auto"/>
        <w:left w:val="none" w:sz="0" w:space="0" w:color="auto"/>
        <w:bottom w:val="none" w:sz="0" w:space="0" w:color="auto"/>
        <w:right w:val="none" w:sz="0" w:space="0" w:color="auto"/>
      </w:divBdr>
    </w:div>
    <w:div w:id="1617171609">
      <w:marLeft w:val="0"/>
      <w:marRight w:val="0"/>
      <w:marTop w:val="0"/>
      <w:marBottom w:val="0"/>
      <w:divBdr>
        <w:top w:val="none" w:sz="0" w:space="0" w:color="auto"/>
        <w:left w:val="none" w:sz="0" w:space="0" w:color="auto"/>
        <w:bottom w:val="none" w:sz="0" w:space="0" w:color="auto"/>
        <w:right w:val="none" w:sz="0" w:space="0" w:color="auto"/>
      </w:divBdr>
    </w:div>
    <w:div w:id="1617171610">
      <w:marLeft w:val="0"/>
      <w:marRight w:val="0"/>
      <w:marTop w:val="0"/>
      <w:marBottom w:val="0"/>
      <w:divBdr>
        <w:top w:val="none" w:sz="0" w:space="0" w:color="auto"/>
        <w:left w:val="none" w:sz="0" w:space="0" w:color="auto"/>
        <w:bottom w:val="none" w:sz="0" w:space="0" w:color="auto"/>
        <w:right w:val="none" w:sz="0" w:space="0" w:color="auto"/>
      </w:divBdr>
      <w:divsChild>
        <w:div w:id="1617171632">
          <w:marLeft w:val="0"/>
          <w:marRight w:val="0"/>
          <w:marTop w:val="0"/>
          <w:marBottom w:val="0"/>
          <w:divBdr>
            <w:top w:val="none" w:sz="0" w:space="0" w:color="auto"/>
            <w:left w:val="none" w:sz="0" w:space="0" w:color="auto"/>
            <w:bottom w:val="none" w:sz="0" w:space="0" w:color="auto"/>
            <w:right w:val="none" w:sz="0" w:space="0" w:color="auto"/>
          </w:divBdr>
          <w:divsChild>
            <w:div w:id="1617171604">
              <w:marLeft w:val="0"/>
              <w:marRight w:val="0"/>
              <w:marTop w:val="0"/>
              <w:marBottom w:val="0"/>
              <w:divBdr>
                <w:top w:val="none" w:sz="0" w:space="0" w:color="auto"/>
                <w:left w:val="none" w:sz="0" w:space="0" w:color="auto"/>
                <w:bottom w:val="none" w:sz="0" w:space="0" w:color="auto"/>
                <w:right w:val="none" w:sz="0" w:space="0" w:color="auto"/>
              </w:divBdr>
            </w:div>
            <w:div w:id="1617171606">
              <w:marLeft w:val="0"/>
              <w:marRight w:val="0"/>
              <w:marTop w:val="0"/>
              <w:marBottom w:val="0"/>
              <w:divBdr>
                <w:top w:val="none" w:sz="0" w:space="0" w:color="auto"/>
                <w:left w:val="none" w:sz="0" w:space="0" w:color="auto"/>
                <w:bottom w:val="none" w:sz="0" w:space="0" w:color="auto"/>
                <w:right w:val="none" w:sz="0" w:space="0" w:color="auto"/>
              </w:divBdr>
            </w:div>
            <w:div w:id="1617171607">
              <w:marLeft w:val="0"/>
              <w:marRight w:val="0"/>
              <w:marTop w:val="0"/>
              <w:marBottom w:val="0"/>
              <w:divBdr>
                <w:top w:val="none" w:sz="0" w:space="0" w:color="auto"/>
                <w:left w:val="none" w:sz="0" w:space="0" w:color="auto"/>
                <w:bottom w:val="none" w:sz="0" w:space="0" w:color="auto"/>
                <w:right w:val="none" w:sz="0" w:space="0" w:color="auto"/>
              </w:divBdr>
            </w:div>
            <w:div w:id="1617171619">
              <w:marLeft w:val="0"/>
              <w:marRight w:val="0"/>
              <w:marTop w:val="0"/>
              <w:marBottom w:val="0"/>
              <w:divBdr>
                <w:top w:val="none" w:sz="0" w:space="0" w:color="auto"/>
                <w:left w:val="none" w:sz="0" w:space="0" w:color="auto"/>
                <w:bottom w:val="none" w:sz="0" w:space="0" w:color="auto"/>
                <w:right w:val="none" w:sz="0" w:space="0" w:color="auto"/>
              </w:divBdr>
            </w:div>
            <w:div w:id="1617171634">
              <w:marLeft w:val="0"/>
              <w:marRight w:val="0"/>
              <w:marTop w:val="0"/>
              <w:marBottom w:val="0"/>
              <w:divBdr>
                <w:top w:val="none" w:sz="0" w:space="0" w:color="auto"/>
                <w:left w:val="none" w:sz="0" w:space="0" w:color="auto"/>
                <w:bottom w:val="none" w:sz="0" w:space="0" w:color="auto"/>
                <w:right w:val="none" w:sz="0" w:space="0" w:color="auto"/>
              </w:divBdr>
            </w:div>
            <w:div w:id="1617171635">
              <w:marLeft w:val="0"/>
              <w:marRight w:val="0"/>
              <w:marTop w:val="0"/>
              <w:marBottom w:val="0"/>
              <w:divBdr>
                <w:top w:val="none" w:sz="0" w:space="0" w:color="auto"/>
                <w:left w:val="none" w:sz="0" w:space="0" w:color="auto"/>
                <w:bottom w:val="none" w:sz="0" w:space="0" w:color="auto"/>
                <w:right w:val="none" w:sz="0" w:space="0" w:color="auto"/>
              </w:divBdr>
            </w:div>
            <w:div w:id="1617171641">
              <w:marLeft w:val="0"/>
              <w:marRight w:val="0"/>
              <w:marTop w:val="0"/>
              <w:marBottom w:val="0"/>
              <w:divBdr>
                <w:top w:val="none" w:sz="0" w:space="0" w:color="auto"/>
                <w:left w:val="none" w:sz="0" w:space="0" w:color="auto"/>
                <w:bottom w:val="none" w:sz="0" w:space="0" w:color="auto"/>
                <w:right w:val="none" w:sz="0" w:space="0" w:color="auto"/>
              </w:divBdr>
            </w:div>
            <w:div w:id="16171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1611">
      <w:marLeft w:val="0"/>
      <w:marRight w:val="0"/>
      <w:marTop w:val="0"/>
      <w:marBottom w:val="0"/>
      <w:divBdr>
        <w:top w:val="none" w:sz="0" w:space="0" w:color="auto"/>
        <w:left w:val="none" w:sz="0" w:space="0" w:color="auto"/>
        <w:bottom w:val="none" w:sz="0" w:space="0" w:color="auto"/>
        <w:right w:val="none" w:sz="0" w:space="0" w:color="auto"/>
      </w:divBdr>
    </w:div>
    <w:div w:id="1617171612">
      <w:marLeft w:val="0"/>
      <w:marRight w:val="0"/>
      <w:marTop w:val="0"/>
      <w:marBottom w:val="0"/>
      <w:divBdr>
        <w:top w:val="none" w:sz="0" w:space="0" w:color="auto"/>
        <w:left w:val="none" w:sz="0" w:space="0" w:color="auto"/>
        <w:bottom w:val="none" w:sz="0" w:space="0" w:color="auto"/>
        <w:right w:val="none" w:sz="0" w:space="0" w:color="auto"/>
      </w:divBdr>
    </w:div>
    <w:div w:id="1617171613">
      <w:marLeft w:val="0"/>
      <w:marRight w:val="0"/>
      <w:marTop w:val="0"/>
      <w:marBottom w:val="0"/>
      <w:divBdr>
        <w:top w:val="none" w:sz="0" w:space="0" w:color="auto"/>
        <w:left w:val="none" w:sz="0" w:space="0" w:color="auto"/>
        <w:bottom w:val="none" w:sz="0" w:space="0" w:color="auto"/>
        <w:right w:val="none" w:sz="0" w:space="0" w:color="auto"/>
      </w:divBdr>
    </w:div>
    <w:div w:id="1617171618">
      <w:marLeft w:val="0"/>
      <w:marRight w:val="0"/>
      <w:marTop w:val="0"/>
      <w:marBottom w:val="0"/>
      <w:divBdr>
        <w:top w:val="none" w:sz="0" w:space="0" w:color="auto"/>
        <w:left w:val="none" w:sz="0" w:space="0" w:color="auto"/>
        <w:bottom w:val="none" w:sz="0" w:space="0" w:color="auto"/>
        <w:right w:val="none" w:sz="0" w:space="0" w:color="auto"/>
      </w:divBdr>
    </w:div>
    <w:div w:id="1617171620">
      <w:marLeft w:val="0"/>
      <w:marRight w:val="0"/>
      <w:marTop w:val="0"/>
      <w:marBottom w:val="0"/>
      <w:divBdr>
        <w:top w:val="none" w:sz="0" w:space="0" w:color="auto"/>
        <w:left w:val="none" w:sz="0" w:space="0" w:color="auto"/>
        <w:bottom w:val="none" w:sz="0" w:space="0" w:color="auto"/>
        <w:right w:val="none" w:sz="0" w:space="0" w:color="auto"/>
      </w:divBdr>
      <w:divsChild>
        <w:div w:id="1617171650">
          <w:marLeft w:val="547"/>
          <w:marRight w:val="0"/>
          <w:marTop w:val="134"/>
          <w:marBottom w:val="0"/>
          <w:divBdr>
            <w:top w:val="none" w:sz="0" w:space="0" w:color="auto"/>
            <w:left w:val="none" w:sz="0" w:space="0" w:color="auto"/>
            <w:bottom w:val="none" w:sz="0" w:space="0" w:color="auto"/>
            <w:right w:val="none" w:sz="0" w:space="0" w:color="auto"/>
          </w:divBdr>
        </w:div>
      </w:divsChild>
    </w:div>
    <w:div w:id="1617171622">
      <w:marLeft w:val="0"/>
      <w:marRight w:val="0"/>
      <w:marTop w:val="0"/>
      <w:marBottom w:val="0"/>
      <w:divBdr>
        <w:top w:val="none" w:sz="0" w:space="0" w:color="auto"/>
        <w:left w:val="none" w:sz="0" w:space="0" w:color="auto"/>
        <w:bottom w:val="none" w:sz="0" w:space="0" w:color="auto"/>
        <w:right w:val="none" w:sz="0" w:space="0" w:color="auto"/>
      </w:divBdr>
    </w:div>
    <w:div w:id="1617171623">
      <w:marLeft w:val="0"/>
      <w:marRight w:val="0"/>
      <w:marTop w:val="0"/>
      <w:marBottom w:val="0"/>
      <w:divBdr>
        <w:top w:val="none" w:sz="0" w:space="0" w:color="auto"/>
        <w:left w:val="none" w:sz="0" w:space="0" w:color="auto"/>
        <w:bottom w:val="none" w:sz="0" w:space="0" w:color="auto"/>
        <w:right w:val="none" w:sz="0" w:space="0" w:color="auto"/>
      </w:divBdr>
    </w:div>
    <w:div w:id="1617171624">
      <w:marLeft w:val="0"/>
      <w:marRight w:val="0"/>
      <w:marTop w:val="0"/>
      <w:marBottom w:val="0"/>
      <w:divBdr>
        <w:top w:val="none" w:sz="0" w:space="0" w:color="auto"/>
        <w:left w:val="none" w:sz="0" w:space="0" w:color="auto"/>
        <w:bottom w:val="none" w:sz="0" w:space="0" w:color="auto"/>
        <w:right w:val="none" w:sz="0" w:space="0" w:color="auto"/>
      </w:divBdr>
    </w:div>
    <w:div w:id="1617171625">
      <w:marLeft w:val="0"/>
      <w:marRight w:val="0"/>
      <w:marTop w:val="0"/>
      <w:marBottom w:val="0"/>
      <w:divBdr>
        <w:top w:val="none" w:sz="0" w:space="0" w:color="auto"/>
        <w:left w:val="none" w:sz="0" w:space="0" w:color="auto"/>
        <w:bottom w:val="none" w:sz="0" w:space="0" w:color="auto"/>
        <w:right w:val="none" w:sz="0" w:space="0" w:color="auto"/>
      </w:divBdr>
    </w:div>
    <w:div w:id="1617171626">
      <w:marLeft w:val="0"/>
      <w:marRight w:val="0"/>
      <w:marTop w:val="0"/>
      <w:marBottom w:val="0"/>
      <w:divBdr>
        <w:top w:val="none" w:sz="0" w:space="0" w:color="auto"/>
        <w:left w:val="none" w:sz="0" w:space="0" w:color="auto"/>
        <w:bottom w:val="none" w:sz="0" w:space="0" w:color="auto"/>
        <w:right w:val="none" w:sz="0" w:space="0" w:color="auto"/>
      </w:divBdr>
    </w:div>
    <w:div w:id="1617171627">
      <w:marLeft w:val="0"/>
      <w:marRight w:val="0"/>
      <w:marTop w:val="0"/>
      <w:marBottom w:val="0"/>
      <w:divBdr>
        <w:top w:val="none" w:sz="0" w:space="0" w:color="auto"/>
        <w:left w:val="none" w:sz="0" w:space="0" w:color="auto"/>
        <w:bottom w:val="none" w:sz="0" w:space="0" w:color="auto"/>
        <w:right w:val="none" w:sz="0" w:space="0" w:color="auto"/>
      </w:divBdr>
    </w:div>
    <w:div w:id="1617171628">
      <w:marLeft w:val="0"/>
      <w:marRight w:val="0"/>
      <w:marTop w:val="0"/>
      <w:marBottom w:val="0"/>
      <w:divBdr>
        <w:top w:val="none" w:sz="0" w:space="0" w:color="auto"/>
        <w:left w:val="none" w:sz="0" w:space="0" w:color="auto"/>
        <w:bottom w:val="none" w:sz="0" w:space="0" w:color="auto"/>
        <w:right w:val="none" w:sz="0" w:space="0" w:color="auto"/>
      </w:divBdr>
    </w:div>
    <w:div w:id="1617171631">
      <w:marLeft w:val="0"/>
      <w:marRight w:val="0"/>
      <w:marTop w:val="0"/>
      <w:marBottom w:val="0"/>
      <w:divBdr>
        <w:top w:val="none" w:sz="0" w:space="0" w:color="auto"/>
        <w:left w:val="none" w:sz="0" w:space="0" w:color="auto"/>
        <w:bottom w:val="none" w:sz="0" w:space="0" w:color="auto"/>
        <w:right w:val="none" w:sz="0" w:space="0" w:color="auto"/>
      </w:divBdr>
    </w:div>
    <w:div w:id="1617171636">
      <w:marLeft w:val="0"/>
      <w:marRight w:val="0"/>
      <w:marTop w:val="0"/>
      <w:marBottom w:val="0"/>
      <w:divBdr>
        <w:top w:val="none" w:sz="0" w:space="0" w:color="auto"/>
        <w:left w:val="none" w:sz="0" w:space="0" w:color="auto"/>
        <w:bottom w:val="none" w:sz="0" w:space="0" w:color="auto"/>
        <w:right w:val="none" w:sz="0" w:space="0" w:color="auto"/>
      </w:divBdr>
    </w:div>
    <w:div w:id="1617171637">
      <w:marLeft w:val="0"/>
      <w:marRight w:val="0"/>
      <w:marTop w:val="0"/>
      <w:marBottom w:val="0"/>
      <w:divBdr>
        <w:top w:val="none" w:sz="0" w:space="0" w:color="auto"/>
        <w:left w:val="none" w:sz="0" w:space="0" w:color="auto"/>
        <w:bottom w:val="none" w:sz="0" w:space="0" w:color="auto"/>
        <w:right w:val="none" w:sz="0" w:space="0" w:color="auto"/>
      </w:divBdr>
      <w:divsChild>
        <w:div w:id="1617171617">
          <w:marLeft w:val="0"/>
          <w:marRight w:val="0"/>
          <w:marTop w:val="0"/>
          <w:marBottom w:val="0"/>
          <w:divBdr>
            <w:top w:val="none" w:sz="0" w:space="0" w:color="auto"/>
            <w:left w:val="none" w:sz="0" w:space="0" w:color="auto"/>
            <w:bottom w:val="none" w:sz="0" w:space="0" w:color="auto"/>
            <w:right w:val="none" w:sz="0" w:space="0" w:color="auto"/>
          </w:divBdr>
          <w:divsChild>
            <w:div w:id="16171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1640">
      <w:marLeft w:val="0"/>
      <w:marRight w:val="0"/>
      <w:marTop w:val="0"/>
      <w:marBottom w:val="0"/>
      <w:divBdr>
        <w:top w:val="none" w:sz="0" w:space="0" w:color="auto"/>
        <w:left w:val="none" w:sz="0" w:space="0" w:color="auto"/>
        <w:bottom w:val="none" w:sz="0" w:space="0" w:color="auto"/>
        <w:right w:val="none" w:sz="0" w:space="0" w:color="auto"/>
      </w:divBdr>
    </w:div>
    <w:div w:id="1617171642">
      <w:marLeft w:val="0"/>
      <w:marRight w:val="0"/>
      <w:marTop w:val="0"/>
      <w:marBottom w:val="0"/>
      <w:divBdr>
        <w:top w:val="none" w:sz="0" w:space="0" w:color="auto"/>
        <w:left w:val="none" w:sz="0" w:space="0" w:color="auto"/>
        <w:bottom w:val="none" w:sz="0" w:space="0" w:color="auto"/>
        <w:right w:val="none" w:sz="0" w:space="0" w:color="auto"/>
      </w:divBdr>
    </w:div>
    <w:div w:id="1617171643">
      <w:marLeft w:val="0"/>
      <w:marRight w:val="0"/>
      <w:marTop w:val="0"/>
      <w:marBottom w:val="0"/>
      <w:divBdr>
        <w:top w:val="none" w:sz="0" w:space="0" w:color="auto"/>
        <w:left w:val="none" w:sz="0" w:space="0" w:color="auto"/>
        <w:bottom w:val="none" w:sz="0" w:space="0" w:color="auto"/>
        <w:right w:val="none" w:sz="0" w:space="0" w:color="auto"/>
      </w:divBdr>
    </w:div>
    <w:div w:id="1617171644">
      <w:marLeft w:val="0"/>
      <w:marRight w:val="0"/>
      <w:marTop w:val="0"/>
      <w:marBottom w:val="0"/>
      <w:divBdr>
        <w:top w:val="none" w:sz="0" w:space="0" w:color="auto"/>
        <w:left w:val="none" w:sz="0" w:space="0" w:color="auto"/>
        <w:bottom w:val="none" w:sz="0" w:space="0" w:color="auto"/>
        <w:right w:val="none" w:sz="0" w:space="0" w:color="auto"/>
      </w:divBdr>
    </w:div>
    <w:div w:id="1617171646">
      <w:marLeft w:val="0"/>
      <w:marRight w:val="0"/>
      <w:marTop w:val="0"/>
      <w:marBottom w:val="0"/>
      <w:divBdr>
        <w:top w:val="none" w:sz="0" w:space="0" w:color="auto"/>
        <w:left w:val="none" w:sz="0" w:space="0" w:color="auto"/>
        <w:bottom w:val="none" w:sz="0" w:space="0" w:color="auto"/>
        <w:right w:val="none" w:sz="0" w:space="0" w:color="auto"/>
      </w:divBdr>
    </w:div>
    <w:div w:id="1617171648">
      <w:marLeft w:val="0"/>
      <w:marRight w:val="0"/>
      <w:marTop w:val="0"/>
      <w:marBottom w:val="0"/>
      <w:divBdr>
        <w:top w:val="none" w:sz="0" w:space="0" w:color="auto"/>
        <w:left w:val="none" w:sz="0" w:space="0" w:color="auto"/>
        <w:bottom w:val="none" w:sz="0" w:space="0" w:color="auto"/>
        <w:right w:val="none" w:sz="0" w:space="0" w:color="auto"/>
      </w:divBdr>
      <w:divsChild>
        <w:div w:id="1617171616">
          <w:marLeft w:val="0"/>
          <w:marRight w:val="0"/>
          <w:marTop w:val="0"/>
          <w:marBottom w:val="0"/>
          <w:divBdr>
            <w:top w:val="none" w:sz="0" w:space="0" w:color="auto"/>
            <w:left w:val="none" w:sz="0" w:space="0" w:color="auto"/>
            <w:bottom w:val="none" w:sz="0" w:space="0" w:color="auto"/>
            <w:right w:val="none" w:sz="0" w:space="0" w:color="auto"/>
          </w:divBdr>
          <w:divsChild>
            <w:div w:id="1617171614">
              <w:marLeft w:val="0"/>
              <w:marRight w:val="0"/>
              <w:marTop w:val="0"/>
              <w:marBottom w:val="0"/>
              <w:divBdr>
                <w:top w:val="none" w:sz="0" w:space="0" w:color="auto"/>
                <w:left w:val="none" w:sz="0" w:space="0" w:color="auto"/>
                <w:bottom w:val="none" w:sz="0" w:space="0" w:color="auto"/>
                <w:right w:val="none" w:sz="0" w:space="0" w:color="auto"/>
              </w:divBdr>
            </w:div>
            <w:div w:id="1617171615">
              <w:marLeft w:val="0"/>
              <w:marRight w:val="0"/>
              <w:marTop w:val="0"/>
              <w:marBottom w:val="0"/>
              <w:divBdr>
                <w:top w:val="none" w:sz="0" w:space="0" w:color="auto"/>
                <w:left w:val="none" w:sz="0" w:space="0" w:color="auto"/>
                <w:bottom w:val="none" w:sz="0" w:space="0" w:color="auto"/>
                <w:right w:val="none" w:sz="0" w:space="0" w:color="auto"/>
              </w:divBdr>
            </w:div>
            <w:div w:id="1617171621">
              <w:marLeft w:val="0"/>
              <w:marRight w:val="0"/>
              <w:marTop w:val="0"/>
              <w:marBottom w:val="0"/>
              <w:divBdr>
                <w:top w:val="none" w:sz="0" w:space="0" w:color="auto"/>
                <w:left w:val="none" w:sz="0" w:space="0" w:color="auto"/>
                <w:bottom w:val="none" w:sz="0" w:space="0" w:color="auto"/>
                <w:right w:val="none" w:sz="0" w:space="0" w:color="auto"/>
              </w:divBdr>
            </w:div>
            <w:div w:id="1617171629">
              <w:marLeft w:val="0"/>
              <w:marRight w:val="0"/>
              <w:marTop w:val="0"/>
              <w:marBottom w:val="0"/>
              <w:divBdr>
                <w:top w:val="none" w:sz="0" w:space="0" w:color="auto"/>
                <w:left w:val="none" w:sz="0" w:space="0" w:color="auto"/>
                <w:bottom w:val="none" w:sz="0" w:space="0" w:color="auto"/>
                <w:right w:val="none" w:sz="0" w:space="0" w:color="auto"/>
              </w:divBdr>
            </w:div>
            <w:div w:id="1617171633">
              <w:marLeft w:val="0"/>
              <w:marRight w:val="0"/>
              <w:marTop w:val="0"/>
              <w:marBottom w:val="0"/>
              <w:divBdr>
                <w:top w:val="none" w:sz="0" w:space="0" w:color="auto"/>
                <w:left w:val="none" w:sz="0" w:space="0" w:color="auto"/>
                <w:bottom w:val="none" w:sz="0" w:space="0" w:color="auto"/>
                <w:right w:val="none" w:sz="0" w:space="0" w:color="auto"/>
              </w:divBdr>
            </w:div>
            <w:div w:id="1617171638">
              <w:marLeft w:val="0"/>
              <w:marRight w:val="0"/>
              <w:marTop w:val="0"/>
              <w:marBottom w:val="0"/>
              <w:divBdr>
                <w:top w:val="none" w:sz="0" w:space="0" w:color="auto"/>
                <w:left w:val="none" w:sz="0" w:space="0" w:color="auto"/>
                <w:bottom w:val="none" w:sz="0" w:space="0" w:color="auto"/>
                <w:right w:val="none" w:sz="0" w:space="0" w:color="auto"/>
              </w:divBdr>
            </w:div>
            <w:div w:id="1617171645">
              <w:marLeft w:val="0"/>
              <w:marRight w:val="0"/>
              <w:marTop w:val="0"/>
              <w:marBottom w:val="0"/>
              <w:divBdr>
                <w:top w:val="none" w:sz="0" w:space="0" w:color="auto"/>
                <w:left w:val="none" w:sz="0" w:space="0" w:color="auto"/>
                <w:bottom w:val="none" w:sz="0" w:space="0" w:color="auto"/>
                <w:right w:val="none" w:sz="0" w:space="0" w:color="auto"/>
              </w:divBdr>
            </w:div>
            <w:div w:id="16171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1651">
      <w:marLeft w:val="0"/>
      <w:marRight w:val="0"/>
      <w:marTop w:val="0"/>
      <w:marBottom w:val="0"/>
      <w:divBdr>
        <w:top w:val="none" w:sz="0" w:space="0" w:color="auto"/>
        <w:left w:val="none" w:sz="0" w:space="0" w:color="auto"/>
        <w:bottom w:val="none" w:sz="0" w:space="0" w:color="auto"/>
        <w:right w:val="none" w:sz="0" w:space="0" w:color="auto"/>
      </w:divBdr>
      <w:divsChild>
        <w:div w:id="1617171630">
          <w:marLeft w:val="0"/>
          <w:marRight w:val="0"/>
          <w:marTop w:val="0"/>
          <w:marBottom w:val="0"/>
          <w:divBdr>
            <w:top w:val="none" w:sz="0" w:space="0" w:color="auto"/>
            <w:left w:val="none" w:sz="0" w:space="0" w:color="auto"/>
            <w:bottom w:val="none" w:sz="0" w:space="0" w:color="auto"/>
            <w:right w:val="none" w:sz="0" w:space="0" w:color="auto"/>
          </w:divBdr>
        </w:div>
      </w:divsChild>
    </w:div>
    <w:div w:id="1617171652">
      <w:marLeft w:val="0"/>
      <w:marRight w:val="0"/>
      <w:marTop w:val="0"/>
      <w:marBottom w:val="0"/>
      <w:divBdr>
        <w:top w:val="none" w:sz="0" w:space="0" w:color="auto"/>
        <w:left w:val="none" w:sz="0" w:space="0" w:color="auto"/>
        <w:bottom w:val="none" w:sz="0" w:space="0" w:color="auto"/>
        <w:right w:val="none" w:sz="0" w:space="0" w:color="auto"/>
      </w:divBdr>
    </w:div>
    <w:div w:id="1617171653">
      <w:marLeft w:val="0"/>
      <w:marRight w:val="0"/>
      <w:marTop w:val="0"/>
      <w:marBottom w:val="0"/>
      <w:divBdr>
        <w:top w:val="none" w:sz="0" w:space="0" w:color="auto"/>
        <w:left w:val="none" w:sz="0" w:space="0" w:color="auto"/>
        <w:bottom w:val="none" w:sz="0" w:space="0" w:color="auto"/>
        <w:right w:val="none" w:sz="0" w:space="0" w:color="auto"/>
      </w:divBdr>
      <w:divsChild>
        <w:div w:id="1617171639">
          <w:marLeft w:val="0"/>
          <w:marRight w:val="0"/>
          <w:marTop w:val="0"/>
          <w:marBottom w:val="0"/>
          <w:divBdr>
            <w:top w:val="none" w:sz="0" w:space="0" w:color="auto"/>
            <w:left w:val="none" w:sz="0" w:space="0" w:color="auto"/>
            <w:bottom w:val="none" w:sz="0" w:space="0" w:color="auto"/>
            <w:right w:val="none" w:sz="0" w:space="0" w:color="auto"/>
          </w:divBdr>
          <w:divsChild>
            <w:div w:id="161717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1654">
      <w:marLeft w:val="0"/>
      <w:marRight w:val="0"/>
      <w:marTop w:val="0"/>
      <w:marBottom w:val="0"/>
      <w:divBdr>
        <w:top w:val="none" w:sz="0" w:space="0" w:color="auto"/>
        <w:left w:val="none" w:sz="0" w:space="0" w:color="auto"/>
        <w:bottom w:val="none" w:sz="0" w:space="0" w:color="auto"/>
        <w:right w:val="none" w:sz="0" w:space="0" w:color="auto"/>
      </w:divBdr>
    </w:div>
    <w:div w:id="1617171656">
      <w:marLeft w:val="0"/>
      <w:marRight w:val="0"/>
      <w:marTop w:val="0"/>
      <w:marBottom w:val="0"/>
      <w:divBdr>
        <w:top w:val="none" w:sz="0" w:space="0" w:color="auto"/>
        <w:left w:val="none" w:sz="0" w:space="0" w:color="auto"/>
        <w:bottom w:val="none" w:sz="0" w:space="0" w:color="auto"/>
        <w:right w:val="none" w:sz="0" w:space="0" w:color="auto"/>
      </w:divBdr>
    </w:div>
    <w:div w:id="1617171657">
      <w:marLeft w:val="0"/>
      <w:marRight w:val="0"/>
      <w:marTop w:val="0"/>
      <w:marBottom w:val="0"/>
      <w:divBdr>
        <w:top w:val="none" w:sz="0" w:space="0" w:color="auto"/>
        <w:left w:val="none" w:sz="0" w:space="0" w:color="auto"/>
        <w:bottom w:val="none" w:sz="0" w:space="0" w:color="auto"/>
        <w:right w:val="none" w:sz="0" w:space="0" w:color="auto"/>
      </w:divBdr>
    </w:div>
    <w:div w:id="1752853450">
      <w:bodyDiv w:val="1"/>
      <w:marLeft w:val="0"/>
      <w:marRight w:val="0"/>
      <w:marTop w:val="0"/>
      <w:marBottom w:val="0"/>
      <w:divBdr>
        <w:top w:val="none" w:sz="0" w:space="0" w:color="auto"/>
        <w:left w:val="none" w:sz="0" w:space="0" w:color="auto"/>
        <w:bottom w:val="none" w:sz="0" w:space="0" w:color="auto"/>
        <w:right w:val="none" w:sz="0" w:space="0" w:color="auto"/>
      </w:divBdr>
    </w:div>
    <w:div w:id="1758792392">
      <w:bodyDiv w:val="1"/>
      <w:marLeft w:val="0"/>
      <w:marRight w:val="0"/>
      <w:marTop w:val="0"/>
      <w:marBottom w:val="0"/>
      <w:divBdr>
        <w:top w:val="none" w:sz="0" w:space="0" w:color="auto"/>
        <w:left w:val="none" w:sz="0" w:space="0" w:color="auto"/>
        <w:bottom w:val="none" w:sz="0" w:space="0" w:color="auto"/>
        <w:right w:val="none" w:sz="0" w:space="0" w:color="auto"/>
      </w:divBdr>
    </w:div>
    <w:div w:id="1820345360">
      <w:bodyDiv w:val="1"/>
      <w:marLeft w:val="0"/>
      <w:marRight w:val="0"/>
      <w:marTop w:val="0"/>
      <w:marBottom w:val="0"/>
      <w:divBdr>
        <w:top w:val="none" w:sz="0" w:space="0" w:color="auto"/>
        <w:left w:val="none" w:sz="0" w:space="0" w:color="auto"/>
        <w:bottom w:val="none" w:sz="0" w:space="0" w:color="auto"/>
        <w:right w:val="none" w:sz="0" w:space="0" w:color="auto"/>
      </w:divBdr>
    </w:div>
    <w:div w:id="1865748898">
      <w:bodyDiv w:val="1"/>
      <w:marLeft w:val="0"/>
      <w:marRight w:val="0"/>
      <w:marTop w:val="0"/>
      <w:marBottom w:val="0"/>
      <w:divBdr>
        <w:top w:val="none" w:sz="0" w:space="0" w:color="auto"/>
        <w:left w:val="none" w:sz="0" w:space="0" w:color="auto"/>
        <w:bottom w:val="none" w:sz="0" w:space="0" w:color="auto"/>
        <w:right w:val="none" w:sz="0" w:space="0" w:color="auto"/>
      </w:divBdr>
    </w:div>
    <w:div w:id="1975284912">
      <w:bodyDiv w:val="1"/>
      <w:marLeft w:val="0"/>
      <w:marRight w:val="0"/>
      <w:marTop w:val="0"/>
      <w:marBottom w:val="0"/>
      <w:divBdr>
        <w:top w:val="none" w:sz="0" w:space="0" w:color="auto"/>
        <w:left w:val="none" w:sz="0" w:space="0" w:color="auto"/>
        <w:bottom w:val="none" w:sz="0" w:space="0" w:color="auto"/>
        <w:right w:val="none" w:sz="0" w:space="0" w:color="auto"/>
      </w:divBdr>
    </w:div>
    <w:div w:id="1990935758">
      <w:bodyDiv w:val="1"/>
      <w:marLeft w:val="0"/>
      <w:marRight w:val="0"/>
      <w:marTop w:val="0"/>
      <w:marBottom w:val="0"/>
      <w:divBdr>
        <w:top w:val="none" w:sz="0" w:space="0" w:color="auto"/>
        <w:left w:val="none" w:sz="0" w:space="0" w:color="auto"/>
        <w:bottom w:val="none" w:sz="0" w:space="0" w:color="auto"/>
        <w:right w:val="none" w:sz="0" w:space="0" w:color="auto"/>
      </w:divBdr>
    </w:div>
    <w:div w:id="2109346522">
      <w:bodyDiv w:val="1"/>
      <w:marLeft w:val="0"/>
      <w:marRight w:val="0"/>
      <w:marTop w:val="0"/>
      <w:marBottom w:val="0"/>
      <w:divBdr>
        <w:top w:val="none" w:sz="0" w:space="0" w:color="auto"/>
        <w:left w:val="none" w:sz="0" w:space="0" w:color="auto"/>
        <w:bottom w:val="none" w:sz="0" w:space="0" w:color="auto"/>
        <w:right w:val="none" w:sz="0" w:space="0" w:color="auto"/>
      </w:divBdr>
    </w:div>
    <w:div w:id="2139178316">
      <w:bodyDiv w:val="1"/>
      <w:marLeft w:val="0"/>
      <w:marRight w:val="0"/>
      <w:marTop w:val="0"/>
      <w:marBottom w:val="0"/>
      <w:divBdr>
        <w:top w:val="none" w:sz="0" w:space="0" w:color="auto"/>
        <w:left w:val="none" w:sz="0" w:space="0" w:color="auto"/>
        <w:bottom w:val="none" w:sz="0" w:space="0" w:color="auto"/>
        <w:right w:val="none" w:sz="0" w:space="0" w:color="auto"/>
      </w:divBdr>
      <w:divsChild>
        <w:div w:id="710153841">
          <w:marLeft w:val="0"/>
          <w:marRight w:val="0"/>
          <w:marTop w:val="0"/>
          <w:marBottom w:val="0"/>
          <w:divBdr>
            <w:top w:val="none" w:sz="0" w:space="0" w:color="auto"/>
            <w:left w:val="none" w:sz="0" w:space="0" w:color="auto"/>
            <w:bottom w:val="none" w:sz="0" w:space="0" w:color="auto"/>
            <w:right w:val="none" w:sz="0" w:space="0" w:color="auto"/>
          </w:divBdr>
          <w:divsChild>
            <w:div w:id="5851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publications/i/item/9789240022768"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8C23991EECEB4A8EAB8ECAAE7AD0CF" ma:contentTypeVersion="13" ma:contentTypeDescription="Create a new document." ma:contentTypeScope="" ma:versionID="f997335a9fd565d500b01909dc74544c">
  <xsd:schema xmlns:xsd="http://www.w3.org/2001/XMLSchema" xmlns:xs="http://www.w3.org/2001/XMLSchema" xmlns:p="http://schemas.microsoft.com/office/2006/metadata/properties" xmlns:ns3="bb4f8073-93a1-465b-87c4-8c49d7c6b515" xmlns:ns4="078369ba-19cc-4f7a-aff4-2e3b345129a2" targetNamespace="http://schemas.microsoft.com/office/2006/metadata/properties" ma:root="true" ma:fieldsID="e2c83197544dfa91849ac32c1829559f" ns3:_="" ns4:_="">
    <xsd:import namespace="bb4f8073-93a1-465b-87c4-8c49d7c6b515"/>
    <xsd:import namespace="078369ba-19cc-4f7a-aff4-2e3b345129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Details" minOccurs="0"/>
                <xsd:element ref="ns4:SharedWithUser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f8073-93a1-465b-87c4-8c49d7c6b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8369ba-19cc-4f7a-aff4-2e3b345129a2"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EC0A4-749F-4558-A65C-876CDAD87A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1CDB67-547D-4F48-BDE1-4CAFE69CD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f8073-93a1-465b-87c4-8c49d7c6b515"/>
    <ds:schemaRef ds:uri="078369ba-19cc-4f7a-aff4-2e3b34512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9908BD-4891-43A6-918E-6ECEE6117A4C}">
  <ds:schemaRefs>
    <ds:schemaRef ds:uri="http://schemas.microsoft.com/sharepoint/v3/contenttype/forms"/>
  </ds:schemaRefs>
</ds:datastoreItem>
</file>

<file path=customXml/itemProps4.xml><?xml version="1.0" encoding="utf-8"?>
<ds:datastoreItem xmlns:ds="http://schemas.openxmlformats.org/officeDocument/2006/customXml" ds:itemID="{D44A3A3E-4994-491B-B22D-9DF35461D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12332</Words>
  <Characters>73692</Characters>
  <Application>Microsoft Office Word</Application>
  <DocSecurity>0</DocSecurity>
  <Lines>614</Lines>
  <Paragraphs>171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Scoping Health Impact Assessment</vt:lpstr>
      <vt:lpstr>Scoping Health Impact Assessment</vt:lpstr>
    </vt:vector>
  </TitlesOfParts>
  <Company>Swiss TPH</Company>
  <LinksUpToDate>false</LinksUpToDate>
  <CharactersWithSpaces>85853</CharactersWithSpaces>
  <SharedDoc>false</SharedDoc>
  <HLinks>
    <vt:vector size="246" baseType="variant">
      <vt:variant>
        <vt:i4>1703989</vt:i4>
      </vt:variant>
      <vt:variant>
        <vt:i4>248</vt:i4>
      </vt:variant>
      <vt:variant>
        <vt:i4>0</vt:i4>
      </vt:variant>
      <vt:variant>
        <vt:i4>5</vt:i4>
      </vt:variant>
      <vt:variant>
        <vt:lpwstr/>
      </vt:variant>
      <vt:variant>
        <vt:lpwstr>_Toc320523493</vt:lpwstr>
      </vt:variant>
      <vt:variant>
        <vt:i4>1703989</vt:i4>
      </vt:variant>
      <vt:variant>
        <vt:i4>242</vt:i4>
      </vt:variant>
      <vt:variant>
        <vt:i4>0</vt:i4>
      </vt:variant>
      <vt:variant>
        <vt:i4>5</vt:i4>
      </vt:variant>
      <vt:variant>
        <vt:lpwstr/>
      </vt:variant>
      <vt:variant>
        <vt:lpwstr>_Toc320523492</vt:lpwstr>
      </vt:variant>
      <vt:variant>
        <vt:i4>1703989</vt:i4>
      </vt:variant>
      <vt:variant>
        <vt:i4>236</vt:i4>
      </vt:variant>
      <vt:variant>
        <vt:i4>0</vt:i4>
      </vt:variant>
      <vt:variant>
        <vt:i4>5</vt:i4>
      </vt:variant>
      <vt:variant>
        <vt:lpwstr/>
      </vt:variant>
      <vt:variant>
        <vt:lpwstr>_Toc320523491</vt:lpwstr>
      </vt:variant>
      <vt:variant>
        <vt:i4>1703989</vt:i4>
      </vt:variant>
      <vt:variant>
        <vt:i4>230</vt:i4>
      </vt:variant>
      <vt:variant>
        <vt:i4>0</vt:i4>
      </vt:variant>
      <vt:variant>
        <vt:i4>5</vt:i4>
      </vt:variant>
      <vt:variant>
        <vt:lpwstr/>
      </vt:variant>
      <vt:variant>
        <vt:lpwstr>_Toc320523490</vt:lpwstr>
      </vt:variant>
      <vt:variant>
        <vt:i4>1769525</vt:i4>
      </vt:variant>
      <vt:variant>
        <vt:i4>224</vt:i4>
      </vt:variant>
      <vt:variant>
        <vt:i4>0</vt:i4>
      </vt:variant>
      <vt:variant>
        <vt:i4>5</vt:i4>
      </vt:variant>
      <vt:variant>
        <vt:lpwstr/>
      </vt:variant>
      <vt:variant>
        <vt:lpwstr>_Toc320523489</vt:lpwstr>
      </vt:variant>
      <vt:variant>
        <vt:i4>1769525</vt:i4>
      </vt:variant>
      <vt:variant>
        <vt:i4>218</vt:i4>
      </vt:variant>
      <vt:variant>
        <vt:i4>0</vt:i4>
      </vt:variant>
      <vt:variant>
        <vt:i4>5</vt:i4>
      </vt:variant>
      <vt:variant>
        <vt:lpwstr/>
      </vt:variant>
      <vt:variant>
        <vt:lpwstr>_Toc320523488</vt:lpwstr>
      </vt:variant>
      <vt:variant>
        <vt:i4>1769525</vt:i4>
      </vt:variant>
      <vt:variant>
        <vt:i4>209</vt:i4>
      </vt:variant>
      <vt:variant>
        <vt:i4>0</vt:i4>
      </vt:variant>
      <vt:variant>
        <vt:i4>5</vt:i4>
      </vt:variant>
      <vt:variant>
        <vt:lpwstr/>
      </vt:variant>
      <vt:variant>
        <vt:lpwstr>_Toc320523487</vt:lpwstr>
      </vt:variant>
      <vt:variant>
        <vt:i4>1769525</vt:i4>
      </vt:variant>
      <vt:variant>
        <vt:i4>203</vt:i4>
      </vt:variant>
      <vt:variant>
        <vt:i4>0</vt:i4>
      </vt:variant>
      <vt:variant>
        <vt:i4>5</vt:i4>
      </vt:variant>
      <vt:variant>
        <vt:lpwstr/>
      </vt:variant>
      <vt:variant>
        <vt:lpwstr>_Toc320523486</vt:lpwstr>
      </vt:variant>
      <vt:variant>
        <vt:i4>1769525</vt:i4>
      </vt:variant>
      <vt:variant>
        <vt:i4>197</vt:i4>
      </vt:variant>
      <vt:variant>
        <vt:i4>0</vt:i4>
      </vt:variant>
      <vt:variant>
        <vt:i4>5</vt:i4>
      </vt:variant>
      <vt:variant>
        <vt:lpwstr/>
      </vt:variant>
      <vt:variant>
        <vt:lpwstr>_Toc320523485</vt:lpwstr>
      </vt:variant>
      <vt:variant>
        <vt:i4>1769525</vt:i4>
      </vt:variant>
      <vt:variant>
        <vt:i4>191</vt:i4>
      </vt:variant>
      <vt:variant>
        <vt:i4>0</vt:i4>
      </vt:variant>
      <vt:variant>
        <vt:i4>5</vt:i4>
      </vt:variant>
      <vt:variant>
        <vt:lpwstr/>
      </vt:variant>
      <vt:variant>
        <vt:lpwstr>_Toc320523484</vt:lpwstr>
      </vt:variant>
      <vt:variant>
        <vt:i4>1769525</vt:i4>
      </vt:variant>
      <vt:variant>
        <vt:i4>185</vt:i4>
      </vt:variant>
      <vt:variant>
        <vt:i4>0</vt:i4>
      </vt:variant>
      <vt:variant>
        <vt:i4>5</vt:i4>
      </vt:variant>
      <vt:variant>
        <vt:lpwstr/>
      </vt:variant>
      <vt:variant>
        <vt:lpwstr>_Toc320523483</vt:lpwstr>
      </vt:variant>
      <vt:variant>
        <vt:i4>1769525</vt:i4>
      </vt:variant>
      <vt:variant>
        <vt:i4>179</vt:i4>
      </vt:variant>
      <vt:variant>
        <vt:i4>0</vt:i4>
      </vt:variant>
      <vt:variant>
        <vt:i4>5</vt:i4>
      </vt:variant>
      <vt:variant>
        <vt:lpwstr/>
      </vt:variant>
      <vt:variant>
        <vt:lpwstr>_Toc320523482</vt:lpwstr>
      </vt:variant>
      <vt:variant>
        <vt:i4>1769525</vt:i4>
      </vt:variant>
      <vt:variant>
        <vt:i4>170</vt:i4>
      </vt:variant>
      <vt:variant>
        <vt:i4>0</vt:i4>
      </vt:variant>
      <vt:variant>
        <vt:i4>5</vt:i4>
      </vt:variant>
      <vt:variant>
        <vt:lpwstr/>
      </vt:variant>
      <vt:variant>
        <vt:lpwstr>_Toc320523481</vt:lpwstr>
      </vt:variant>
      <vt:variant>
        <vt:i4>1769525</vt:i4>
      </vt:variant>
      <vt:variant>
        <vt:i4>164</vt:i4>
      </vt:variant>
      <vt:variant>
        <vt:i4>0</vt:i4>
      </vt:variant>
      <vt:variant>
        <vt:i4>5</vt:i4>
      </vt:variant>
      <vt:variant>
        <vt:lpwstr/>
      </vt:variant>
      <vt:variant>
        <vt:lpwstr>_Toc320523480</vt:lpwstr>
      </vt:variant>
      <vt:variant>
        <vt:i4>1310773</vt:i4>
      </vt:variant>
      <vt:variant>
        <vt:i4>158</vt:i4>
      </vt:variant>
      <vt:variant>
        <vt:i4>0</vt:i4>
      </vt:variant>
      <vt:variant>
        <vt:i4>5</vt:i4>
      </vt:variant>
      <vt:variant>
        <vt:lpwstr/>
      </vt:variant>
      <vt:variant>
        <vt:lpwstr>_Toc320523479</vt:lpwstr>
      </vt:variant>
      <vt:variant>
        <vt:i4>1310773</vt:i4>
      </vt:variant>
      <vt:variant>
        <vt:i4>152</vt:i4>
      </vt:variant>
      <vt:variant>
        <vt:i4>0</vt:i4>
      </vt:variant>
      <vt:variant>
        <vt:i4>5</vt:i4>
      </vt:variant>
      <vt:variant>
        <vt:lpwstr/>
      </vt:variant>
      <vt:variant>
        <vt:lpwstr>_Toc320523478</vt:lpwstr>
      </vt:variant>
      <vt:variant>
        <vt:i4>1310773</vt:i4>
      </vt:variant>
      <vt:variant>
        <vt:i4>146</vt:i4>
      </vt:variant>
      <vt:variant>
        <vt:i4>0</vt:i4>
      </vt:variant>
      <vt:variant>
        <vt:i4>5</vt:i4>
      </vt:variant>
      <vt:variant>
        <vt:lpwstr/>
      </vt:variant>
      <vt:variant>
        <vt:lpwstr>_Toc320523477</vt:lpwstr>
      </vt:variant>
      <vt:variant>
        <vt:i4>1310773</vt:i4>
      </vt:variant>
      <vt:variant>
        <vt:i4>140</vt:i4>
      </vt:variant>
      <vt:variant>
        <vt:i4>0</vt:i4>
      </vt:variant>
      <vt:variant>
        <vt:i4>5</vt:i4>
      </vt:variant>
      <vt:variant>
        <vt:lpwstr/>
      </vt:variant>
      <vt:variant>
        <vt:lpwstr>_Toc320523476</vt:lpwstr>
      </vt:variant>
      <vt:variant>
        <vt:i4>1310773</vt:i4>
      </vt:variant>
      <vt:variant>
        <vt:i4>134</vt:i4>
      </vt:variant>
      <vt:variant>
        <vt:i4>0</vt:i4>
      </vt:variant>
      <vt:variant>
        <vt:i4>5</vt:i4>
      </vt:variant>
      <vt:variant>
        <vt:lpwstr/>
      </vt:variant>
      <vt:variant>
        <vt:lpwstr>_Toc320523475</vt:lpwstr>
      </vt:variant>
      <vt:variant>
        <vt:i4>1310773</vt:i4>
      </vt:variant>
      <vt:variant>
        <vt:i4>128</vt:i4>
      </vt:variant>
      <vt:variant>
        <vt:i4>0</vt:i4>
      </vt:variant>
      <vt:variant>
        <vt:i4>5</vt:i4>
      </vt:variant>
      <vt:variant>
        <vt:lpwstr/>
      </vt:variant>
      <vt:variant>
        <vt:lpwstr>_Toc320523474</vt:lpwstr>
      </vt:variant>
      <vt:variant>
        <vt:i4>1310773</vt:i4>
      </vt:variant>
      <vt:variant>
        <vt:i4>122</vt:i4>
      </vt:variant>
      <vt:variant>
        <vt:i4>0</vt:i4>
      </vt:variant>
      <vt:variant>
        <vt:i4>5</vt:i4>
      </vt:variant>
      <vt:variant>
        <vt:lpwstr/>
      </vt:variant>
      <vt:variant>
        <vt:lpwstr>_Toc320523473</vt:lpwstr>
      </vt:variant>
      <vt:variant>
        <vt:i4>1310773</vt:i4>
      </vt:variant>
      <vt:variant>
        <vt:i4>116</vt:i4>
      </vt:variant>
      <vt:variant>
        <vt:i4>0</vt:i4>
      </vt:variant>
      <vt:variant>
        <vt:i4>5</vt:i4>
      </vt:variant>
      <vt:variant>
        <vt:lpwstr/>
      </vt:variant>
      <vt:variant>
        <vt:lpwstr>_Toc320523472</vt:lpwstr>
      </vt:variant>
      <vt:variant>
        <vt:i4>1310773</vt:i4>
      </vt:variant>
      <vt:variant>
        <vt:i4>110</vt:i4>
      </vt:variant>
      <vt:variant>
        <vt:i4>0</vt:i4>
      </vt:variant>
      <vt:variant>
        <vt:i4>5</vt:i4>
      </vt:variant>
      <vt:variant>
        <vt:lpwstr/>
      </vt:variant>
      <vt:variant>
        <vt:lpwstr>_Toc320523471</vt:lpwstr>
      </vt:variant>
      <vt:variant>
        <vt:i4>1310773</vt:i4>
      </vt:variant>
      <vt:variant>
        <vt:i4>104</vt:i4>
      </vt:variant>
      <vt:variant>
        <vt:i4>0</vt:i4>
      </vt:variant>
      <vt:variant>
        <vt:i4>5</vt:i4>
      </vt:variant>
      <vt:variant>
        <vt:lpwstr/>
      </vt:variant>
      <vt:variant>
        <vt:lpwstr>_Toc320523470</vt:lpwstr>
      </vt:variant>
      <vt:variant>
        <vt:i4>1376309</vt:i4>
      </vt:variant>
      <vt:variant>
        <vt:i4>98</vt:i4>
      </vt:variant>
      <vt:variant>
        <vt:i4>0</vt:i4>
      </vt:variant>
      <vt:variant>
        <vt:i4>5</vt:i4>
      </vt:variant>
      <vt:variant>
        <vt:lpwstr/>
      </vt:variant>
      <vt:variant>
        <vt:lpwstr>_Toc320523469</vt:lpwstr>
      </vt:variant>
      <vt:variant>
        <vt:i4>1376309</vt:i4>
      </vt:variant>
      <vt:variant>
        <vt:i4>92</vt:i4>
      </vt:variant>
      <vt:variant>
        <vt:i4>0</vt:i4>
      </vt:variant>
      <vt:variant>
        <vt:i4>5</vt:i4>
      </vt:variant>
      <vt:variant>
        <vt:lpwstr/>
      </vt:variant>
      <vt:variant>
        <vt:lpwstr>_Toc320523468</vt:lpwstr>
      </vt:variant>
      <vt:variant>
        <vt:i4>1376309</vt:i4>
      </vt:variant>
      <vt:variant>
        <vt:i4>86</vt:i4>
      </vt:variant>
      <vt:variant>
        <vt:i4>0</vt:i4>
      </vt:variant>
      <vt:variant>
        <vt:i4>5</vt:i4>
      </vt:variant>
      <vt:variant>
        <vt:lpwstr/>
      </vt:variant>
      <vt:variant>
        <vt:lpwstr>_Toc320523467</vt:lpwstr>
      </vt:variant>
      <vt:variant>
        <vt:i4>1376309</vt:i4>
      </vt:variant>
      <vt:variant>
        <vt:i4>80</vt:i4>
      </vt:variant>
      <vt:variant>
        <vt:i4>0</vt:i4>
      </vt:variant>
      <vt:variant>
        <vt:i4>5</vt:i4>
      </vt:variant>
      <vt:variant>
        <vt:lpwstr/>
      </vt:variant>
      <vt:variant>
        <vt:lpwstr>_Toc320523466</vt:lpwstr>
      </vt:variant>
      <vt:variant>
        <vt:i4>1376309</vt:i4>
      </vt:variant>
      <vt:variant>
        <vt:i4>74</vt:i4>
      </vt:variant>
      <vt:variant>
        <vt:i4>0</vt:i4>
      </vt:variant>
      <vt:variant>
        <vt:i4>5</vt:i4>
      </vt:variant>
      <vt:variant>
        <vt:lpwstr/>
      </vt:variant>
      <vt:variant>
        <vt:lpwstr>_Toc320523465</vt:lpwstr>
      </vt:variant>
      <vt:variant>
        <vt:i4>1376309</vt:i4>
      </vt:variant>
      <vt:variant>
        <vt:i4>68</vt:i4>
      </vt:variant>
      <vt:variant>
        <vt:i4>0</vt:i4>
      </vt:variant>
      <vt:variant>
        <vt:i4>5</vt:i4>
      </vt:variant>
      <vt:variant>
        <vt:lpwstr/>
      </vt:variant>
      <vt:variant>
        <vt:lpwstr>_Toc320523464</vt:lpwstr>
      </vt:variant>
      <vt:variant>
        <vt:i4>1376309</vt:i4>
      </vt:variant>
      <vt:variant>
        <vt:i4>62</vt:i4>
      </vt:variant>
      <vt:variant>
        <vt:i4>0</vt:i4>
      </vt:variant>
      <vt:variant>
        <vt:i4>5</vt:i4>
      </vt:variant>
      <vt:variant>
        <vt:lpwstr/>
      </vt:variant>
      <vt:variant>
        <vt:lpwstr>_Toc320523463</vt:lpwstr>
      </vt:variant>
      <vt:variant>
        <vt:i4>1376309</vt:i4>
      </vt:variant>
      <vt:variant>
        <vt:i4>56</vt:i4>
      </vt:variant>
      <vt:variant>
        <vt:i4>0</vt:i4>
      </vt:variant>
      <vt:variant>
        <vt:i4>5</vt:i4>
      </vt:variant>
      <vt:variant>
        <vt:lpwstr/>
      </vt:variant>
      <vt:variant>
        <vt:lpwstr>_Toc320523462</vt:lpwstr>
      </vt:variant>
      <vt:variant>
        <vt:i4>1376309</vt:i4>
      </vt:variant>
      <vt:variant>
        <vt:i4>50</vt:i4>
      </vt:variant>
      <vt:variant>
        <vt:i4>0</vt:i4>
      </vt:variant>
      <vt:variant>
        <vt:i4>5</vt:i4>
      </vt:variant>
      <vt:variant>
        <vt:lpwstr/>
      </vt:variant>
      <vt:variant>
        <vt:lpwstr>_Toc320523461</vt:lpwstr>
      </vt:variant>
      <vt:variant>
        <vt:i4>1376309</vt:i4>
      </vt:variant>
      <vt:variant>
        <vt:i4>44</vt:i4>
      </vt:variant>
      <vt:variant>
        <vt:i4>0</vt:i4>
      </vt:variant>
      <vt:variant>
        <vt:i4>5</vt:i4>
      </vt:variant>
      <vt:variant>
        <vt:lpwstr/>
      </vt:variant>
      <vt:variant>
        <vt:lpwstr>_Toc320523460</vt:lpwstr>
      </vt:variant>
      <vt:variant>
        <vt:i4>1441845</vt:i4>
      </vt:variant>
      <vt:variant>
        <vt:i4>38</vt:i4>
      </vt:variant>
      <vt:variant>
        <vt:i4>0</vt:i4>
      </vt:variant>
      <vt:variant>
        <vt:i4>5</vt:i4>
      </vt:variant>
      <vt:variant>
        <vt:lpwstr/>
      </vt:variant>
      <vt:variant>
        <vt:lpwstr>_Toc320523459</vt:lpwstr>
      </vt:variant>
      <vt:variant>
        <vt:i4>1441845</vt:i4>
      </vt:variant>
      <vt:variant>
        <vt:i4>32</vt:i4>
      </vt:variant>
      <vt:variant>
        <vt:i4>0</vt:i4>
      </vt:variant>
      <vt:variant>
        <vt:i4>5</vt:i4>
      </vt:variant>
      <vt:variant>
        <vt:lpwstr/>
      </vt:variant>
      <vt:variant>
        <vt:lpwstr>_Toc320523458</vt:lpwstr>
      </vt:variant>
      <vt:variant>
        <vt:i4>1441845</vt:i4>
      </vt:variant>
      <vt:variant>
        <vt:i4>26</vt:i4>
      </vt:variant>
      <vt:variant>
        <vt:i4>0</vt:i4>
      </vt:variant>
      <vt:variant>
        <vt:i4>5</vt:i4>
      </vt:variant>
      <vt:variant>
        <vt:lpwstr/>
      </vt:variant>
      <vt:variant>
        <vt:lpwstr>_Toc320523457</vt:lpwstr>
      </vt:variant>
      <vt:variant>
        <vt:i4>1441845</vt:i4>
      </vt:variant>
      <vt:variant>
        <vt:i4>20</vt:i4>
      </vt:variant>
      <vt:variant>
        <vt:i4>0</vt:i4>
      </vt:variant>
      <vt:variant>
        <vt:i4>5</vt:i4>
      </vt:variant>
      <vt:variant>
        <vt:lpwstr/>
      </vt:variant>
      <vt:variant>
        <vt:lpwstr>_Toc320523456</vt:lpwstr>
      </vt:variant>
      <vt:variant>
        <vt:i4>1441845</vt:i4>
      </vt:variant>
      <vt:variant>
        <vt:i4>14</vt:i4>
      </vt:variant>
      <vt:variant>
        <vt:i4>0</vt:i4>
      </vt:variant>
      <vt:variant>
        <vt:i4>5</vt:i4>
      </vt:variant>
      <vt:variant>
        <vt:lpwstr/>
      </vt:variant>
      <vt:variant>
        <vt:lpwstr>_Toc320523455</vt:lpwstr>
      </vt:variant>
      <vt:variant>
        <vt:i4>1441845</vt:i4>
      </vt:variant>
      <vt:variant>
        <vt:i4>8</vt:i4>
      </vt:variant>
      <vt:variant>
        <vt:i4>0</vt:i4>
      </vt:variant>
      <vt:variant>
        <vt:i4>5</vt:i4>
      </vt:variant>
      <vt:variant>
        <vt:lpwstr/>
      </vt:variant>
      <vt:variant>
        <vt:lpwstr>_Toc320523454</vt:lpwstr>
      </vt:variant>
      <vt:variant>
        <vt:i4>1441845</vt:i4>
      </vt:variant>
      <vt:variant>
        <vt:i4>2</vt:i4>
      </vt:variant>
      <vt:variant>
        <vt:i4>0</vt:i4>
      </vt:variant>
      <vt:variant>
        <vt:i4>5</vt:i4>
      </vt:variant>
      <vt:variant>
        <vt:lpwstr/>
      </vt:variant>
      <vt:variant>
        <vt:lpwstr>_Toc320523453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Scoping Health Impact Assessment</dc:title>
  <dc:subject>RTIO Simandou</dc:subject>
  <dc:creator>Mirko Winkler</dc:creator>
  <cp:lastModifiedBy>ROSSKAM, Ellen</cp:lastModifiedBy>
  <cp:revision>3</cp:revision>
  <cp:lastPrinted>2021-02-16T14:10:00Z</cp:lastPrinted>
  <dcterms:created xsi:type="dcterms:W3CDTF">2021-05-04T09:07:00Z</dcterms:created>
  <dcterms:modified xsi:type="dcterms:W3CDTF">2021-05-04T09:13:00Z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0x010100008C23991EECEB4A8EAB8ECAAE7AD0CF</vt:lpwstr>
  </property>
</Properties>
</file>