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41317" w14:textId="3D4856C0" w:rsidR="00E53C78" w:rsidRPr="00E21FC5" w:rsidRDefault="00E53C78" w:rsidP="00E53C78">
      <w:pPr>
        <w:pStyle w:val="Headgeneral"/>
      </w:pPr>
      <w:r>
        <w:t>Приложение 8. Шаблон для оперативной оценки состояния здоровья: план социальной мобилизации</w:t>
      </w:r>
    </w:p>
    <w:p w14:paraId="1B34D44D" w14:textId="77777777" w:rsidR="00E53C78" w:rsidRPr="007A66EE" w:rsidRDefault="00E53C78" w:rsidP="00E53C78">
      <w:pPr>
        <w:rPr>
          <w:lang w:val="en-GB"/>
        </w:rPr>
      </w:pPr>
    </w:p>
    <w:p w14:paraId="51C62474" w14:textId="77777777" w:rsidR="00E53C78" w:rsidRPr="00E21FC5" w:rsidRDefault="00E53C78" w:rsidP="00E53C78">
      <w:pPr>
        <w:pStyle w:val="Normalbold"/>
      </w:pPr>
      <w:r>
        <w:t>Примечание относительно формы</w:t>
      </w:r>
    </w:p>
    <w:p w14:paraId="06B49867" w14:textId="07A3D822" w:rsidR="00391FAE" w:rsidRPr="00E21FC5" w:rsidRDefault="00E53C78" w:rsidP="00D379D2">
      <w:r>
        <w:t xml:space="preserve">Разработка национальных планов действий (НПД) по кустарной и мелкомасштабной золотодобыче (КМЗД) является обязательством в рамках статьи 7 </w:t>
      </w:r>
      <w:proofErr w:type="spellStart"/>
      <w:r>
        <w:t>Минаматской</w:t>
      </w:r>
      <w:proofErr w:type="spellEnd"/>
      <w:r>
        <w:t xml:space="preserve"> конвенции о ртути для каждой Стороны, которая определяет, что КМЗД на ее территории более чем незначительна. Такие НПД должны включать стратегию общественного здравоохранения, касающуюся воздействия ртути на кустарных и мелкомасштабных старателей и их общины. В целях оказания поддержки странам, разрабатывающим стратегии общественного здравоохранения, Всемирная организация здравоохранения (ВОЗ) опубликовала </w:t>
      </w:r>
      <w:r>
        <w:rPr>
          <w:i/>
          <w:iCs/>
        </w:rPr>
        <w:t xml:space="preserve">«Пошаговое руководство по разработке стратегии в области общественного здравоохранения для кустарной и мелкомасштабной золотодобычи в рамках </w:t>
      </w:r>
      <w:proofErr w:type="spellStart"/>
      <w:r>
        <w:rPr>
          <w:i/>
          <w:iCs/>
        </w:rPr>
        <w:t>Минаматской</w:t>
      </w:r>
      <w:proofErr w:type="spellEnd"/>
      <w:r>
        <w:rPr>
          <w:i/>
          <w:iCs/>
        </w:rPr>
        <w:t xml:space="preserve"> конвенции о ртути»</w:t>
      </w:r>
      <w:r>
        <w:t xml:space="preserve">, с тем чтобы облегчить проведение оперативной оценки состояния здоровья (ООСЗ) и оценки институционального потенциала (ОИП). Эти два вида оценки прошли апробацию в Гане, Мозамбике и Нигерии (2017–2019 гг.) и послужили основой для разработки соответствующей национальной стратегии в области общественного здравоохранения. План социальной мобилизации (ПСМ) направлен на содействие проведению ООСЗ и обеспечение инклюзивного коллективного подхода в течение и после завершения всего исследовательского проекта. Этот шаблон ПСМ является частью пошагового руководства ВОЗ и, следовательно, основан на ПСМ, используемых в трех экспериментальных исследованиях. </w:t>
      </w:r>
    </w:p>
    <w:p w14:paraId="09ECAA38" w14:textId="30C34626" w:rsidR="00914DB1" w:rsidRPr="007A66EE" w:rsidRDefault="00AB3FAE" w:rsidP="000D6077">
      <w:pPr>
        <w:rPr>
          <w:lang w:val="en-GB"/>
        </w:rPr>
      </w:pPr>
      <w:r>
        <w:t xml:space="preserve">Настоящий шаблон ПСМ может использоваться как вспомогательный при детальном планировании оценок и для обращения за поддержкой к местным организациям гражданского общества. Важно отметить, что шаблон необходимо дополнить информацией, специфичной для страны и контекста (см. инструкции в [квадратных скобках]), и потенциально реструктурировать или дополнительно доработать с целью его приведения в соответствие с требованиями протокола исследования. </w:t>
      </w:r>
    </w:p>
    <w:p w14:paraId="6EA7128B" w14:textId="77777777" w:rsidR="00914DB1" w:rsidRPr="007A66EE" w:rsidRDefault="00914DB1" w:rsidP="00E53C78">
      <w:pPr>
        <w:rPr>
          <w:lang w:val="en-GB"/>
        </w:rPr>
      </w:pPr>
    </w:p>
    <w:p w14:paraId="616C728B" w14:textId="77777777" w:rsidR="00D379D2" w:rsidRPr="00E21FC5" w:rsidRDefault="00D379D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br w:type="page"/>
      </w:r>
    </w:p>
    <w:p w14:paraId="32AA7F21" w14:textId="58D37595" w:rsidR="001A4EDA" w:rsidRPr="00E21FC5" w:rsidRDefault="00391FAE" w:rsidP="00BC5FD2">
      <w:pPr>
        <w:pStyle w:val="Headgeneral"/>
        <w:rPr>
          <w:sz w:val="32"/>
          <w:szCs w:val="32"/>
        </w:rPr>
      </w:pPr>
      <w:r>
        <w:rPr>
          <w:sz w:val="32"/>
        </w:rPr>
        <w:lastRenderedPageBreak/>
        <w:t>План социальной мобилизации:</w:t>
      </w:r>
      <w:r>
        <w:rPr>
          <w:color w:val="0070C0"/>
          <w:sz w:val="32"/>
        </w:rPr>
        <w:t xml:space="preserve"> </w:t>
      </w:r>
      <w:r>
        <w:rPr>
          <w:sz w:val="32"/>
        </w:rPr>
        <w:t>оценка проблем общественного здравоохранения в общинах, занимающихся кустарной и мелкомасштабной золотодобычей, и готовность местной системы здравоохранения реагировать на них в [название страны]</w:t>
      </w:r>
    </w:p>
    <w:p w14:paraId="145EDF46" w14:textId="4352B09E" w:rsidR="00C427D1" w:rsidRPr="00E21FC5" w:rsidRDefault="00D379D2" w:rsidP="00BC5FD2">
      <w:pPr>
        <w:pStyle w:val="1"/>
      </w:pPr>
      <w:r>
        <w:t>1.</w:t>
      </w:r>
      <w:r>
        <w:tab/>
        <w:t>Введение</w:t>
      </w:r>
    </w:p>
    <w:p w14:paraId="49EEAA10" w14:textId="0A5B51C5" w:rsidR="00BC5FD2" w:rsidRPr="00E21FC5" w:rsidRDefault="00D379D2" w:rsidP="00BC5FD2">
      <w:r>
        <w:t xml:space="preserve">Кустарная и мелкомасштабная золотодобыча (КМЗД) — это, в общем смысле, эксплуатация мелких месторождений золота отдельными лицами, малыми группами или малыми кооперативами </w:t>
      </w:r>
      <w:r>
        <w:rPr>
          <w:i/>
          <w:iCs/>
        </w:rPr>
        <w:t>(1)</w:t>
      </w:r>
      <w:r>
        <w:t xml:space="preserve">. КМЗД обычно трудоемкая, не использует или ограниченно использует механизацию и, как правило, имеет низкие темпы добычи. Этот сектор часто характеризуется низким уровнем капитализации, производительности и гарантий занятости, а также ограниченным доступом к рынку земли и вторичному рынку. КМЗД практикуется более чем в 70 странах. В КМЗД занято около 10–15 млн. человек, в том числе 4–5 млн. женщин и 1 млн. детей, в то время как еще 80–100 млн. человек получают средства к существованию в рамках КМЗД </w:t>
      </w:r>
      <w:r>
        <w:rPr>
          <w:i/>
          <w:iCs/>
        </w:rPr>
        <w:t>(2, 3).</w:t>
      </w:r>
      <w:r>
        <w:t xml:space="preserve"> КМЗД является важным видом деятельности во многих развивающихся странах, поскольку она обеспечивает основной и дополнительный источники доходов, особенно в сельских регионах, где экономические альтернативы сельскому хозяйству ограничены. По оценкам, на долю сектора КМЗД приходится около 25% мировой добычи золота </w:t>
      </w:r>
      <w:r>
        <w:rPr>
          <w:i/>
          <w:iCs/>
        </w:rPr>
        <w:t>(2)</w:t>
      </w:r>
      <w:r>
        <w:t>.</w:t>
      </w:r>
    </w:p>
    <w:p w14:paraId="4934323C" w14:textId="6692AF69" w:rsidR="00BC5FD2" w:rsidRPr="00E21FC5" w:rsidRDefault="00BC5FD2" w:rsidP="00BC5FD2">
      <w:r>
        <w:t xml:space="preserve">Опасности для здоровья, связанные с КМЗД, можно разделить на химические (напр., ртуть, цианид, мышьяк, свинец), биологические (напр., заболевания, связанные с водой и отходами, инфекции, передаваемые половым путем), биомеханические (напр., травмы, переутомление), физические (напр., шум, низкий уровень кислорода) и психосоциальные (напр., злоупотребление наркотиками, стресс, усталость) </w:t>
      </w:r>
      <w:r>
        <w:rPr>
          <w:i/>
          <w:iCs/>
        </w:rPr>
        <w:t>(4).</w:t>
      </w:r>
    </w:p>
    <w:p w14:paraId="6A708CA3" w14:textId="2673BFFA" w:rsidR="001A4EDA" w:rsidRPr="00E21FC5" w:rsidRDefault="00C427D1" w:rsidP="00BC5FD2">
      <w:r>
        <w:t>Предполагается, что оценка ситуации в области здравоохранения является предварительным исследованием, и не ожидается, что она даст подробный эпидемиологический анализ воздействия КМЗД на здоровье. Поэтому методы и инструменты, разработанные в ее поддержку, ориентированы на получение предварительной и, по возможности, репрезентативной картины проблем здравоохранения среди старателей, занятых КМЗД, и их общин, а также потенциала медицинских учреждений удовлетворять их конкретные потребности в области здравоохранения и реагировать на них.</w:t>
      </w:r>
    </w:p>
    <w:p w14:paraId="70F5DF10" w14:textId="1928B7F8" w:rsidR="00C427D1" w:rsidRPr="00E21FC5" w:rsidRDefault="00C427D1" w:rsidP="00BC5FD2">
      <w:r>
        <w:t>[Внесите изменения во вступительную часть выше и опишите опасности для здоровья, ассоциированные с КМЗД, а также цели оперативной оценки состояния здоровья (ООСЗ) в контексте пошагового руководства ВОЗ.]</w:t>
      </w:r>
    </w:p>
    <w:p w14:paraId="7AD03A21" w14:textId="46C5EC58" w:rsidR="001A4EDA" w:rsidRPr="00E21FC5" w:rsidRDefault="00BC5FD2" w:rsidP="00BC5FD2">
      <w:pPr>
        <w:pStyle w:val="1"/>
      </w:pPr>
      <w:r>
        <w:lastRenderedPageBreak/>
        <w:t>2.</w:t>
      </w:r>
      <w:r>
        <w:tab/>
        <w:t>Цели деятельности</w:t>
      </w:r>
    </w:p>
    <w:p w14:paraId="3F6B0822" w14:textId="26898C97" w:rsidR="00C427D1" w:rsidRPr="00E21FC5" w:rsidRDefault="00C427D1" w:rsidP="00BC5FD2">
      <w:r>
        <w:t>Настоящее исследование направлено на адаптацию разработанного ВОЗ пошагового руководства в поддержку проведения оценки ситуации в области общественного здравоохранения, связанного с КМЗД. Конкретная цель этой оценки состоит в получении сведений и информации по приоритетным вопросам здравоохранения в общинах, занятых КМЗД, и обеспечении первоначального понимания имеющихся возможностей у систем здравоохранения для решения этих проблем в области здравоохранения. Ожидается, что эта информация послужит основой для выбора приоритетов и мероприятий, которые будут отражены в стратегии общественного здравоохранения в национальном плане действий (НПД).</w:t>
      </w:r>
    </w:p>
    <w:p w14:paraId="0823DCF7" w14:textId="3B2DBF86" w:rsidR="00C427D1" w:rsidRPr="00E21FC5" w:rsidRDefault="00C427D1" w:rsidP="00BC5FD2">
      <w:r>
        <w:t>Настоящий документ призван служить руководством для медицинских работников, которые будут мобилизовывать общины для участия в оценке проблем общественного здравоохранения в общинах, занятых КМЗД, и готовности местной системы здравоохранения к реагированию в [название страны].</w:t>
      </w:r>
    </w:p>
    <w:p w14:paraId="1E42485B" w14:textId="65194321" w:rsidR="00C427D1" w:rsidRPr="00E21FC5" w:rsidRDefault="00C427D1" w:rsidP="00BC5FD2">
      <w:r>
        <w:t>Организации гражданского общества будут играть очень важную роль в предоставлении общине достаточной информации относительно опросных мероприятий, в разъяснении любых сомнений, которые могут возникнуть у общины в отношении предмета и рисков участия, а также в создании и поощрении пространств для участия. Успех данного исследования зависит в основном от мобилизационной работы, которую должны провести организации гражданского общества на выбранных исследовательских участках.</w:t>
      </w:r>
    </w:p>
    <w:p w14:paraId="1080DE83" w14:textId="18FC1126" w:rsidR="008A476D" w:rsidRPr="00E21FC5" w:rsidRDefault="008A476D" w:rsidP="00BC5FD2">
      <w:r>
        <w:t>[Внесите изменения в пункты выше, чтобы описать общую цель оценки ситуации в области здравоохранения и ваш план социальной мобилизации.]</w:t>
      </w:r>
    </w:p>
    <w:p w14:paraId="312B8090" w14:textId="6E5DEB18" w:rsidR="001A4EDA" w:rsidRPr="00E21FC5" w:rsidRDefault="00A95C0C" w:rsidP="00837E2D">
      <w:pPr>
        <w:pStyle w:val="1"/>
      </w:pPr>
      <w:r>
        <w:t>3.</w:t>
      </w:r>
      <w:r>
        <w:tab/>
        <w:t>Мобилизация общины</w:t>
      </w:r>
    </w:p>
    <w:p w14:paraId="79D6201D" w14:textId="5EC6293A" w:rsidR="008A476D" w:rsidRPr="00E21FC5" w:rsidRDefault="008A476D" w:rsidP="00837E2D">
      <w:r>
        <w:t>Мобилизация общины в контексте оценки состояния здоровья означает социальный и образовательный процесс участия, характеризующийся предоставлением общине достаточной информации и поддержки по всем аспектам опросных мероприятий. Очень важно взаимодействовать с членами общины и основными заинтересованными сторонами общины, такими как лидеры общины или руководители ассоциаций КМЗД, для организации и совместной работы по достижению общей цели, содействия участию общины и обеспечения соблюдения отдельными лицами мероприятий по исследованию. Именно в рамках этого процесса повышения информированности и социального образования целевая группа часто получает необходимую информацию о планировании, инициировании, целях и задачах, области и продолжительности исследования, в данном случае о КМЗД.</w:t>
      </w:r>
    </w:p>
    <w:p w14:paraId="269AE7A8" w14:textId="73288868" w:rsidR="008A476D" w:rsidRPr="00E21FC5" w:rsidRDefault="008A476D" w:rsidP="00837E2D">
      <w:r>
        <w:t>В частности, будут мобилизованы сами старатели, члены их семей и община для того, чтобы:</w:t>
      </w:r>
    </w:p>
    <w:p w14:paraId="1FB5D9E5" w14:textId="5AA0FC66" w:rsidR="008A476D" w:rsidRPr="00E21FC5" w:rsidRDefault="00A95C0C" w:rsidP="00837E2D">
      <w:pPr>
        <w:pStyle w:val="Bulletlist"/>
      </w:pPr>
      <w:r>
        <w:lastRenderedPageBreak/>
        <w:t>проинформировать общину о целях оценки ситуации в области здравоохранения в рамках КМЗД, объяснив методологические процедуры, продолжительность опроса, выбор целевых групп и преимущества участия;</w:t>
      </w:r>
    </w:p>
    <w:p w14:paraId="1E74F312" w14:textId="2BED4A70" w:rsidR="008A476D" w:rsidRPr="00E21FC5" w:rsidRDefault="00A95C0C" w:rsidP="00837E2D">
      <w:pPr>
        <w:pStyle w:val="Bulletlist"/>
      </w:pPr>
      <w:r>
        <w:t>привлечь внимание общины в выбранных районах к активному участию в опросных мероприятиях;</w:t>
      </w:r>
    </w:p>
    <w:p w14:paraId="079DBAF5" w14:textId="7D64AA03" w:rsidR="008A476D" w:rsidRPr="00E21FC5" w:rsidRDefault="00A95C0C" w:rsidP="00837E2D">
      <w:pPr>
        <w:pStyle w:val="Bulletlist"/>
      </w:pPr>
      <w:r>
        <w:t>создать пространство для постоянного обмена мнениями и поддержания участия и вовлечения общины, что также будет необходимо для устранения и смягчения потенциальных опасений членов общины в отношении рисков и вреда, что могут возникнуть в результате их участия в исследовании;</w:t>
      </w:r>
    </w:p>
    <w:p w14:paraId="70F0F522" w14:textId="5CC9B33B" w:rsidR="00914DB1" w:rsidRPr="00E21FC5" w:rsidRDefault="00A95C0C" w:rsidP="00837E2D">
      <w:pPr>
        <w:pStyle w:val="Bulletlist"/>
      </w:pPr>
      <w:r>
        <w:t xml:space="preserve">информировать и привлекать лидеров общин, медико-санитарный персонал, средства массовой информации, [название национального органа в рамках </w:t>
      </w:r>
      <w:proofErr w:type="spellStart"/>
      <w:r>
        <w:t>Минаматской</w:t>
      </w:r>
      <w:proofErr w:type="spellEnd"/>
      <w:r>
        <w:t xml:space="preserve"> конвенции], а также провинциальные и районные управления здравоохранения к поддержке этой мобилизации с целью поощрения участия соответствующей популяции и соблюдения ею указаний.</w:t>
      </w:r>
    </w:p>
    <w:p w14:paraId="2CA33449" w14:textId="1992B39E" w:rsidR="001A4EDA" w:rsidRPr="00E21FC5" w:rsidRDefault="008A476D" w:rsidP="00837E2D">
      <w:r>
        <w:t>[Измените и адаптируйте пункты выше, чтобы кратко объяснить важность и цель мобилизации общин в контексте вашего исследовательского проекта.]</w:t>
      </w:r>
    </w:p>
    <w:p w14:paraId="0C199BC8" w14:textId="2496F3A9" w:rsidR="001A4EDA" w:rsidRPr="00E21FC5" w:rsidRDefault="00A95C0C" w:rsidP="00837E2D">
      <w:pPr>
        <w:pStyle w:val="1"/>
      </w:pPr>
      <w:r>
        <w:t>4.</w:t>
      </w:r>
      <w:r>
        <w:tab/>
        <w:t>Методы мобилизации общин в контексте опросных мероприятий по КМЗД</w:t>
      </w:r>
    </w:p>
    <w:p w14:paraId="0EA9DFEC" w14:textId="7D752692" w:rsidR="00B426C3" w:rsidRPr="00E21FC5" w:rsidRDefault="00B426C3" w:rsidP="00837E2D">
      <w:r>
        <w:t>[Резюмируйте существующие общинные структуры связи в вашем районе исследования и укажите планируемые методы и подходы для мобилизации общины.]</w:t>
      </w:r>
    </w:p>
    <w:p w14:paraId="06CAC54E" w14:textId="5E95BEA6" w:rsidR="00B426C3" w:rsidRPr="00E21FC5" w:rsidRDefault="00B426C3" w:rsidP="00837E2D">
      <w:pPr>
        <w:pStyle w:val="Normalbold"/>
      </w:pPr>
      <w:bookmarkStart w:id="0" w:name="_Hlk46765587"/>
      <w:r>
        <w:t>Пример из Нигерии [удалите эту часть из окончательной редакции вашего ПСМ]</w:t>
      </w:r>
    </w:p>
    <w:bookmarkEnd w:id="0"/>
    <w:p w14:paraId="72C5B93D" w14:textId="109E5272" w:rsidR="00EB16A3" w:rsidRPr="00E21FC5" w:rsidRDefault="00EB16A3" w:rsidP="00837E2D">
      <w:r>
        <w:t xml:space="preserve">Общины следует мобилизовать в различных местах с основным упором на межличностную и </w:t>
      </w:r>
      <w:proofErr w:type="spellStart"/>
      <w:r>
        <w:t>межобщинную</w:t>
      </w:r>
      <w:proofErr w:type="spellEnd"/>
      <w:r>
        <w:t xml:space="preserve"> коммуникацию. Хотя собрания, визиты и консультации общин с соответствующими заинтересованными сторонами будут центральным элементом мероприятий по мобилизации общин, существуют форумы для членов КМЗД, на которых старатели и другие работники, такие как продавцы продуктов питания в цепочке поставок, встречаются на регулярной основе. Как и большая часть общинных собраний в Нигерии, в общинах КМЗД такие встречи проходят на городской площади, что дает дополнительные точки соприкосновения. Они в дополнение к брифингам в рамках форума старателей могут служить эффективным средством мобилизации общин. В рамках традиционной структуры общины КМЗД, особенно в штате </w:t>
      </w:r>
      <w:proofErr w:type="spellStart"/>
      <w:r>
        <w:t>Осун</w:t>
      </w:r>
      <w:proofErr w:type="spellEnd"/>
      <w:r>
        <w:t xml:space="preserve"> в западной части Нигерии, в некоторых общинах имеются городские глашатаи, которые выступают в качестве общинных распространителей информации. Дополнительные методы мобилизации общин включают в себя:</w:t>
      </w:r>
    </w:p>
    <w:p w14:paraId="26605B8A" w14:textId="35C2B295" w:rsidR="00EB16A3" w:rsidRPr="00E21FC5" w:rsidRDefault="00837E2D" w:rsidP="00837E2D">
      <w:pPr>
        <w:pStyle w:val="Bulletlist"/>
      </w:pPr>
      <w:r>
        <w:t>визиты «от двери к двери» для раздачи информации и установления индивидуального контакта;</w:t>
      </w:r>
    </w:p>
    <w:p w14:paraId="59A472B5" w14:textId="0949DF17" w:rsidR="00EB16A3" w:rsidRPr="00E21FC5" w:rsidRDefault="00837E2D" w:rsidP="00837E2D">
      <w:pPr>
        <w:pStyle w:val="Bulletlist"/>
      </w:pPr>
      <w:r>
        <w:t>собрания общин при содействии лидеров;</w:t>
      </w:r>
    </w:p>
    <w:p w14:paraId="14D15EBA" w14:textId="0B6A8236" w:rsidR="00EB16A3" w:rsidRPr="00E21FC5" w:rsidRDefault="00837E2D" w:rsidP="00837E2D">
      <w:pPr>
        <w:pStyle w:val="Bulletlist"/>
      </w:pPr>
      <w:r>
        <w:lastRenderedPageBreak/>
        <w:t>встречи в церкви или мечети;</w:t>
      </w:r>
    </w:p>
    <w:p w14:paraId="3F2BB84C" w14:textId="51D5D9B6" w:rsidR="00EB16A3" w:rsidRPr="00E21FC5" w:rsidRDefault="00837E2D" w:rsidP="00837E2D">
      <w:pPr>
        <w:pStyle w:val="Bulletlist"/>
      </w:pPr>
      <w:r>
        <w:t>встречи с лекарями народной медицины;</w:t>
      </w:r>
    </w:p>
    <w:p w14:paraId="0B4A1454" w14:textId="3B661E30" w:rsidR="00EB16A3" w:rsidRPr="00E21FC5" w:rsidRDefault="00837E2D" w:rsidP="00837E2D">
      <w:pPr>
        <w:pStyle w:val="Bulletlist"/>
      </w:pPr>
      <w:r>
        <w:t>неформальные беседы с заинтересованными лидерами мнений.</w:t>
      </w:r>
    </w:p>
    <w:p w14:paraId="6098BEA0" w14:textId="53410EE1" w:rsidR="001A4EDA" w:rsidRPr="00E21FC5" w:rsidRDefault="00837E2D" w:rsidP="00837E2D">
      <w:pPr>
        <w:pStyle w:val="1"/>
      </w:pPr>
      <w:r>
        <w:t>5.</w:t>
      </w:r>
      <w:r>
        <w:tab/>
        <w:t>Подход к мобилизации общин</w:t>
      </w:r>
    </w:p>
    <w:p w14:paraId="6E1F288C" w14:textId="01E4B31F" w:rsidR="00853FF1" w:rsidRPr="00E21FC5" w:rsidRDefault="00853FF1" w:rsidP="00837E2D">
      <w:r>
        <w:t xml:space="preserve">Подход к мобилизации общин сосредоточен на следующих ключевых принципах: </w:t>
      </w:r>
    </w:p>
    <w:p w14:paraId="3C636949" w14:textId="3DB85686" w:rsidR="00853FF1" w:rsidRPr="00E21FC5" w:rsidRDefault="00837E2D" w:rsidP="00837E2D">
      <w:pPr>
        <w:pStyle w:val="Bulletlist"/>
      </w:pPr>
      <w:r>
        <w:t>информирование населения о проведении опроса;</w:t>
      </w:r>
    </w:p>
    <w:p w14:paraId="4CCAFB0C" w14:textId="4821B1A6" w:rsidR="00853FF1" w:rsidRPr="00E21FC5" w:rsidRDefault="00837E2D" w:rsidP="00837E2D">
      <w:pPr>
        <w:pStyle w:val="Bulletlist"/>
      </w:pPr>
      <w:r>
        <w:t>объяснение исследуемой группе необходимости проведения опроса;</w:t>
      </w:r>
    </w:p>
    <w:p w14:paraId="220DD9EC" w14:textId="353581A5" w:rsidR="00853FF1" w:rsidRPr="00E21FC5" w:rsidRDefault="00837E2D" w:rsidP="00837E2D">
      <w:pPr>
        <w:pStyle w:val="Bulletlist"/>
      </w:pPr>
      <w:r>
        <w:t>привлечение внимания населения к необходимости участия в опросе;</w:t>
      </w:r>
    </w:p>
    <w:p w14:paraId="086DEF0E" w14:textId="55CB4498" w:rsidR="00853FF1" w:rsidRPr="00E21FC5" w:rsidRDefault="00837E2D" w:rsidP="00837E2D">
      <w:pPr>
        <w:pStyle w:val="Bulletlist"/>
      </w:pPr>
      <w:r>
        <w:t>обеспечение понимания населением распространяемой информации для достижения целей опроса;</w:t>
      </w:r>
    </w:p>
    <w:p w14:paraId="7C78A806" w14:textId="7213585A" w:rsidR="00853FF1" w:rsidRPr="00E21FC5" w:rsidRDefault="00837E2D" w:rsidP="00837E2D">
      <w:pPr>
        <w:pStyle w:val="Bulletlist"/>
      </w:pPr>
      <w:r>
        <w:t>распространение среди населения информации о местах и датах начала проведения опроса, а также о других мероприятиях, связанных с проведением опроса.</w:t>
      </w:r>
    </w:p>
    <w:p w14:paraId="3BD2FA5F" w14:textId="62199BFD" w:rsidR="00853FF1" w:rsidRPr="00E21FC5" w:rsidRDefault="00853FF1" w:rsidP="00837E2D">
      <w:r>
        <w:t>Подход к мобилизации общин будет включать в себя ряд шагов.</w:t>
      </w:r>
    </w:p>
    <w:p w14:paraId="39777ED4" w14:textId="2ADCC43B" w:rsidR="00AB2BBB" w:rsidRPr="00E21FC5" w:rsidRDefault="00837E2D" w:rsidP="00837E2D">
      <w:r>
        <w:rPr>
          <w:b/>
        </w:rPr>
        <w:t>Шаг 1.</w:t>
      </w:r>
      <w:r>
        <w:t xml:space="preserve"> Представители и сотрудники [назовите сотрудничающие организации гражданского общества в районе исследования] будут выступать в качестве социальных контактов и общинных пропагандистов в рамках проведения мероприятий по опросу благодаря их знакомству с контекстом и способности взаимодействовать с общинами. Общинные пропагандисты должны будут пройти обучение по социальной мобилизации и важности защиты неприкосновенности частной жизни и конфиденциальности техническими группами национальных институтов здравоохранения. </w:t>
      </w:r>
    </w:p>
    <w:p w14:paraId="4E68E822" w14:textId="499E0CB7" w:rsidR="00AB2BBB" w:rsidRPr="00E21FC5" w:rsidRDefault="00837E2D" w:rsidP="00375B74">
      <w:r>
        <w:rPr>
          <w:b/>
        </w:rPr>
        <w:t>Шаг 2.</w:t>
      </w:r>
      <w:r>
        <w:t xml:space="preserve"> Совместная группа общинных пропагандистов во главе с [назовите организацию гражданского общества] будет играть основополагающую роль в процессе укрепления участия общин. С этой целью на регулярной основе будут организовываться собрания общин с заинтересованными сторонами, культурные и религиозные встречи, а также другие мероприятия по привлечению внимания общин. При необходимости могут использоваться как традиционные средства коммуникации, так и новые средства массовой информации, а социальные, культурные и духовные ресурсы будут пускаться в ход по-новаторски. Эти каналы коммуникации должны быть созданы для разработки и распространения стратегии социальной мобилизации среди членов общины в целях укрепления потенциала общины, расширения прав и возможностей отдельных лиц и содействия вовлечению общины и партнерству в ходе проведения опросных мероприятий, а также станут одним из средств для продвижения этого процесса вперед.</w:t>
      </w:r>
    </w:p>
    <w:p w14:paraId="5C46FDD9" w14:textId="0531A3D4" w:rsidR="00853FF1" w:rsidRPr="00E21FC5" w:rsidRDefault="00853FF1" w:rsidP="00375B74">
      <w:r>
        <w:t xml:space="preserve">Ключевая информация, предоставляемая и распространяемая среди членов общин по оценке проблем здравоохранения на площадках КМЗД, должна включать следующее: </w:t>
      </w:r>
    </w:p>
    <w:p w14:paraId="4CD32DE7" w14:textId="77777777" w:rsidR="00AB2BBB" w:rsidRPr="00E21FC5" w:rsidRDefault="00AB2BBB" w:rsidP="00375B74">
      <w:pPr>
        <w:pStyle w:val="Bulletlist"/>
      </w:pPr>
      <w:r>
        <w:lastRenderedPageBreak/>
        <w:t>продолжительность и период проведения исследования;</w:t>
      </w:r>
    </w:p>
    <w:p w14:paraId="5C94D6AD" w14:textId="1EA1ED10" w:rsidR="00AB2BBB" w:rsidRPr="00E21FC5" w:rsidRDefault="00AB2BBB" w:rsidP="00375B74">
      <w:pPr>
        <w:pStyle w:val="Bulletlist"/>
      </w:pPr>
      <w:r>
        <w:t>процесс отбора целевой группы и участников (во избежание недоверия или зависти по поводу того, были ли они отобраны или нет), включая произвольный отбор мужчин и женщин в возрасте от 18 до 59 лет;</w:t>
      </w:r>
    </w:p>
    <w:p w14:paraId="54FC89EE" w14:textId="77777777" w:rsidR="00AB2BBB" w:rsidRPr="00E21FC5" w:rsidRDefault="00AB2BBB" w:rsidP="00375B74">
      <w:pPr>
        <w:pStyle w:val="Bulletlist"/>
      </w:pPr>
      <w:r>
        <w:t xml:space="preserve">средства опроса, которые будут применяться к участникам: </w:t>
      </w:r>
    </w:p>
    <w:p w14:paraId="77445C8E" w14:textId="73DEF1FE" w:rsidR="00AB2BBB" w:rsidRPr="00E21FC5" w:rsidRDefault="005612B3" w:rsidP="00375B74">
      <w:pPr>
        <w:pStyle w:val="Bulletlist2"/>
      </w:pPr>
      <w:r>
        <w:t>интервью (через полуформализованные анкеты) с лидерами шахтерских ассоциаций, должностными лицами местных органов власти, представителями общин и работниками системы здравоохранения;</w:t>
      </w:r>
    </w:p>
    <w:p w14:paraId="149F9F69" w14:textId="465E0737" w:rsidR="00AB2BBB" w:rsidRPr="00E21FC5" w:rsidRDefault="005612B3" w:rsidP="00375B74">
      <w:pPr>
        <w:pStyle w:val="Bulletlist2"/>
      </w:pPr>
      <w:r>
        <w:t>обсуждение в фокус-группах для старателей;</w:t>
      </w:r>
    </w:p>
    <w:p w14:paraId="4AB3414E" w14:textId="768ECBD9" w:rsidR="00AB2BBB" w:rsidRPr="00E21FC5" w:rsidRDefault="005612B3" w:rsidP="00375B74">
      <w:pPr>
        <w:pStyle w:val="Bulletlist2"/>
      </w:pPr>
      <w:r>
        <w:t>обсуждение в фокус-группах для членов семей старателей;</w:t>
      </w:r>
    </w:p>
    <w:p w14:paraId="59DD3616" w14:textId="2C3F68A3" w:rsidR="00AB2BBB" w:rsidRPr="00E21FC5" w:rsidRDefault="005612B3" w:rsidP="00375B74">
      <w:pPr>
        <w:pStyle w:val="Bulletlist2"/>
      </w:pPr>
      <w:r>
        <w:t>обсуждение в фокус-группах для членов общин КМЗД;</w:t>
      </w:r>
    </w:p>
    <w:p w14:paraId="1670C149" w14:textId="2244C555" w:rsidR="00AB2BBB" w:rsidRPr="00E21FC5" w:rsidRDefault="00AB2BBB" w:rsidP="00375B74">
      <w:pPr>
        <w:pStyle w:val="Bulletlist"/>
      </w:pPr>
      <w:r>
        <w:t xml:space="preserve">конфиденциальность предоставленной информации и собранных данных для обеспечения неразглашения личности респондентов и </w:t>
      </w:r>
      <w:proofErr w:type="spellStart"/>
      <w:r>
        <w:t>неупоминания</w:t>
      </w:r>
      <w:proofErr w:type="spellEnd"/>
      <w:r>
        <w:t xml:space="preserve"> или непоявления их имен в какой-либо документации и при распространении результатов исследований впоследствии; </w:t>
      </w:r>
    </w:p>
    <w:p w14:paraId="7EB3D872" w14:textId="1CD00916" w:rsidR="00AB2BBB" w:rsidRPr="00E21FC5" w:rsidRDefault="00AB2BBB" w:rsidP="00375B74">
      <w:pPr>
        <w:pStyle w:val="Bulletlist"/>
      </w:pPr>
      <w:r>
        <w:t xml:space="preserve">добровольное информированное согласие в качестве предварительного условия для участия в интервью и обсуждения в фокус-группах с использованием формы согласия, которая будет выдаваться участникам до проведения опросных мероприятий, с описанием цели исследования и включением информации о добровольном участии и отказе от участия в исследовании; </w:t>
      </w:r>
    </w:p>
    <w:p w14:paraId="54837FD4" w14:textId="4617D0F4" w:rsidR="00AB2BBB" w:rsidRPr="00E21FC5" w:rsidRDefault="00AB2BBB" w:rsidP="00375B74">
      <w:pPr>
        <w:pStyle w:val="Bulletlist"/>
      </w:pPr>
      <w:r>
        <w:t>важность участия для успешного проведения исследования.</w:t>
      </w:r>
    </w:p>
    <w:p w14:paraId="4786D3A7" w14:textId="7C8922B4" w:rsidR="00853FF1" w:rsidRPr="00E21FC5" w:rsidRDefault="005612B3" w:rsidP="00375B74">
      <w:r>
        <w:rPr>
          <w:b/>
        </w:rPr>
        <w:t>Шаг 3.</w:t>
      </w:r>
      <w:r>
        <w:t xml:space="preserve"> Мероприятия по повышению информированности будут проводиться путем посещения домохозяйств общины «от двери к двери» в целях укрепления участия общин и обеспечения успеха всего процесса социальной мобилизации. Используя этот подход, общинные пропагандисты будут посещать жилые дома и объяснять жителям процесс опроса и мероприятия, связанные с оценкой ситуации в области общественного здравоохранения в рамках КМЗД и готовностью местной системы здравоохранения к реагированию. Для достижения желаемого успеха мобилизации «от двери к двери» пропагандисты должны выполнить следующие шаги в полном объеме:</w:t>
      </w:r>
    </w:p>
    <w:p w14:paraId="09B5A30F" w14:textId="23A55201" w:rsidR="00AB2BBB" w:rsidRPr="00E21FC5" w:rsidRDefault="00A63687" w:rsidP="00375B74">
      <w:pPr>
        <w:pStyle w:val="Bulletlist"/>
      </w:pPr>
      <w:r>
        <w:t>обеспечить надлежащий внешний вид, в том числе избегая слишком официальной или корпоративной одежды;</w:t>
      </w:r>
    </w:p>
    <w:p w14:paraId="183D3E29" w14:textId="216FD108" w:rsidR="00AB2BBB" w:rsidRPr="00E21FC5" w:rsidRDefault="005612B3" w:rsidP="00375B74">
      <w:pPr>
        <w:pStyle w:val="Bulletlist"/>
      </w:pPr>
      <w:r>
        <w:t>стучаться в дверь и спрашивать разрешения войти перед входом в жилой дом;</w:t>
      </w:r>
    </w:p>
    <w:p w14:paraId="008657DB" w14:textId="4B6BDE07" w:rsidR="00AB2BBB" w:rsidRPr="00E21FC5" w:rsidRDefault="005612B3" w:rsidP="00375B74">
      <w:pPr>
        <w:pStyle w:val="Bulletlist"/>
      </w:pPr>
      <w:r>
        <w:t>дружелюбно поздороваться (сказать «доброе утро» или «добрый день»);</w:t>
      </w:r>
    </w:p>
    <w:p w14:paraId="3CE51F6F" w14:textId="6A890AE8" w:rsidR="00AB2BBB" w:rsidRPr="00E21FC5" w:rsidRDefault="005612B3" w:rsidP="00375B74">
      <w:pPr>
        <w:pStyle w:val="Bulletlist"/>
      </w:pPr>
      <w:r>
        <w:t>проявлять уважение;</w:t>
      </w:r>
    </w:p>
    <w:p w14:paraId="3CF3CBFA" w14:textId="56153C88" w:rsidR="00AB2BBB" w:rsidRPr="00E21FC5" w:rsidRDefault="005612B3" w:rsidP="00375B74">
      <w:pPr>
        <w:pStyle w:val="Bulletlist"/>
      </w:pPr>
      <w:r>
        <w:t>обращаться к традиционным правителям и лидерам мнений по правильным титулам;</w:t>
      </w:r>
    </w:p>
    <w:p w14:paraId="6FE51547" w14:textId="6FF89739" w:rsidR="00AB2BBB" w:rsidRPr="00E21FC5" w:rsidRDefault="00A63687" w:rsidP="00375B74">
      <w:pPr>
        <w:pStyle w:val="Bulletlist"/>
      </w:pPr>
      <w:r>
        <w:lastRenderedPageBreak/>
        <w:t>попросить в присутствии несовершеннолетнего поговорить со старшим по возрасту или с отцом/матерью;</w:t>
      </w:r>
    </w:p>
    <w:p w14:paraId="426E2E5E" w14:textId="3CE6A776" w:rsidR="00AB2BBB" w:rsidRPr="00E21FC5" w:rsidRDefault="00A63687" w:rsidP="00375B74">
      <w:pPr>
        <w:pStyle w:val="Bulletlist"/>
      </w:pPr>
      <w:r>
        <w:t>всегда пытаться в зависимости от степени родства (по материнской или отцовской линии) сначала поговорить с главой семьи;</w:t>
      </w:r>
    </w:p>
    <w:p w14:paraId="17F5A371" w14:textId="3DC5C83C" w:rsidR="00AB2BBB" w:rsidRPr="00E21FC5" w:rsidRDefault="005612B3" w:rsidP="00375B74">
      <w:pPr>
        <w:pStyle w:val="Bulletlist"/>
      </w:pPr>
      <w:r>
        <w:t>представиться (назвать свое имя и объяснить, что вы являетесь членом [организации гражданского общества]);</w:t>
      </w:r>
    </w:p>
    <w:p w14:paraId="204E6D34" w14:textId="24A637D0" w:rsidR="00AB2BBB" w:rsidRPr="00E21FC5" w:rsidRDefault="00822172" w:rsidP="00375B74">
      <w:pPr>
        <w:pStyle w:val="Bulletlist"/>
      </w:pPr>
      <w:r>
        <w:t>указать, что вы хотели бы поговорить с опекунами или членами семьи и что разговор будет коротким;</w:t>
      </w:r>
    </w:p>
    <w:p w14:paraId="7BC0144A" w14:textId="0509C758" w:rsidR="00AB2BBB" w:rsidRPr="00E21FC5" w:rsidRDefault="00375B74" w:rsidP="00375B74">
      <w:pPr>
        <w:pStyle w:val="Bulletlist"/>
      </w:pPr>
      <w:r>
        <w:t>объяснить процедуры и мероприятия опроса по КМЗД простым языком, используя ту же самую информацию, которую лидеры общины передадут членам общины;</w:t>
      </w:r>
    </w:p>
    <w:p w14:paraId="12D76820" w14:textId="13555F49" w:rsidR="00AB2BBB" w:rsidRPr="00E21FC5" w:rsidRDefault="00375B74" w:rsidP="00375B74">
      <w:pPr>
        <w:pStyle w:val="Bulletlist"/>
      </w:pPr>
      <w:r>
        <w:t>поощрять опекунов и членов семьи обсуждать открытые вопросы и говорить о проблемах, касаемых процедур и мероприятий опроса;</w:t>
      </w:r>
    </w:p>
    <w:p w14:paraId="6CC2563C" w14:textId="0E4AB21A" w:rsidR="00AB2BBB" w:rsidRPr="00E21FC5" w:rsidRDefault="00375B74" w:rsidP="00375B74">
      <w:pPr>
        <w:pStyle w:val="Bulletlist"/>
      </w:pPr>
      <w:r>
        <w:t>если вы заметили, что некоторые сомнения сохраняются, объяснить еще раз четко и предпочтительно на том языке, на котором опекуны и члены семьи свободно говорят;</w:t>
      </w:r>
    </w:p>
    <w:p w14:paraId="767327FE" w14:textId="1957DB88" w:rsidR="00AB2BBB" w:rsidRPr="00E21FC5" w:rsidRDefault="00375B74" w:rsidP="00375B74">
      <w:pPr>
        <w:pStyle w:val="Bulletlist"/>
      </w:pPr>
      <w:r>
        <w:t>одинаково внимательно поблагодарить респондентов за прием и отказ принять вас во время посещения их жилища.</w:t>
      </w:r>
    </w:p>
    <w:p w14:paraId="68737A96" w14:textId="4C05B025" w:rsidR="001A4EDA" w:rsidRPr="00E21FC5" w:rsidRDefault="00853FF1" w:rsidP="00FA6AA0">
      <w:r>
        <w:t>Важно отметить, что общинные пропагандисты не должны осуждать, обвинять или обижать членов общины за то, что они придерживаются иных мнений или ведут себя иначе, чем они сами. Общинные пропагандисты находятся в общине для того, чтобы способствовать участию и вовлечению членов общины и создать пространство для постоянного обмена мнениями, поэтому необходимо установить приятную рабочую атмосферу со всеми членами общины.</w:t>
      </w:r>
    </w:p>
    <w:p w14:paraId="51237472" w14:textId="5F67697C" w:rsidR="00AB2BBB" w:rsidRPr="00E21FC5" w:rsidRDefault="00AB2BBB" w:rsidP="00FA6AA0">
      <w:r>
        <w:t>[Внесите изменения в пункты выше, чтобы подробно описать ваш подход к мобилизации общин.]</w:t>
      </w:r>
    </w:p>
    <w:p w14:paraId="3132B16C" w14:textId="5CC56E1B" w:rsidR="001A4EDA" w:rsidRPr="00E21FC5" w:rsidRDefault="00375B74" w:rsidP="00875065">
      <w:pPr>
        <w:pStyle w:val="1"/>
      </w:pPr>
      <w:r>
        <w:t>6.</w:t>
      </w:r>
      <w:r>
        <w:tab/>
        <w:t>Профиль общины или социального пропагандиста</w:t>
      </w:r>
    </w:p>
    <w:p w14:paraId="0F5E9206" w14:textId="544C2B42" w:rsidR="006F3A6D" w:rsidRPr="00E21FC5" w:rsidRDefault="006F3A6D" w:rsidP="00875065">
      <w:r>
        <w:t>[Опишите цель и опыт каждой организации гражданского общества, участвующей в ПСМ в качестве общинного пропагандиста, и опишите общую цель их работы в роли общинных пропагандистов в исследовательском проекте.]</w:t>
      </w:r>
    </w:p>
    <w:p w14:paraId="0D25CE3B" w14:textId="77777777" w:rsidR="00224663" w:rsidRPr="00E21FC5" w:rsidRDefault="00224663" w:rsidP="00224663">
      <w:pPr>
        <w:pStyle w:val="Normalboldhead"/>
      </w:pPr>
      <w:r>
        <w:t>Пример из Нигерии [удалите эту часть из окончательной редакции вашего ПСМ]</w:t>
      </w:r>
    </w:p>
    <w:p w14:paraId="7E6560AE" w14:textId="7903F3D0" w:rsidR="00224663" w:rsidRPr="00E21FC5" w:rsidRDefault="00224663" w:rsidP="00224663">
      <w:r>
        <w:t xml:space="preserve">Центр социального реагирования «Гео-Моб» — это неправительственная организация, занимающаяся питьевой водой и пропагандой гигиены и здорового образа жизни, особенно в случаях, когда это касается общин, занятых в добывающей промышленности. Объединенная группа привлечения общественности будет возглавляться руководством «Гео-Моба». «Гео-Моб» имеет в своем составе опытных медработников, которые выступают в роли лиц, привлекающих представителей </w:t>
      </w:r>
      <w:r>
        <w:lastRenderedPageBreak/>
        <w:t xml:space="preserve">общественности на местах к совместной работе. Организация много работает с местными общинами в деле организации надзора над здравоохранением и мониторинга заболеваний по всей Нигерии. У них также есть специалисты по работе с общественностью, знающие местные языки, на которых говорят старатели в штате Нигер. «Гео-Моб» будет тесно сотрудничать с местными общинами и группами, с советами вождей племен и другими коалициями гражданского общества в штате Нигер и на Федеральной столичной территории Абуджа, обеспечивая эффективное вовлечение партнеров и привлечение общественности к анкетированию. </w:t>
      </w:r>
    </w:p>
    <w:p w14:paraId="7BFD6B37" w14:textId="7BF6E6D7" w:rsidR="00224663" w:rsidRPr="00E21FC5" w:rsidRDefault="00224663" w:rsidP="00224663">
      <w:r>
        <w:t xml:space="preserve">В то же самое время социальная мобилизация и привлечение НПО, профессиональных ассоциаций и религиозных организаций в штате </w:t>
      </w:r>
      <w:proofErr w:type="spellStart"/>
      <w:r>
        <w:t>Осун</w:t>
      </w:r>
      <w:proofErr w:type="spellEnd"/>
      <w:r>
        <w:t xml:space="preserve"> будут подкреплены участием местной НПО, «Инициатива по распространению гуманности», которая представляет собой ОГО, предназначенную для осуществления вмешательства в области здравоохранения и предоставления базовых юридических консультаций силами лиц, не имеющих специального образования. Ее цель — юридическая защита уязвимых слоев населения, которая используется как инструмент прикладной социологии; это позволило на 50% улучшить доступ к услугам здравоохранения, образования и укрепило возможности защиты прав женщин, молодежи и наиболее уязвимых слоев населения. «Инициатива по распространению гуманности» имеет для осуществления своих программ персонал, опытный в вопросах привлечения заинтересованных сторон и проведения вмешательств в рамках программ общественного здравоохранения. Сотрудники, которые являются коренными жителями штата </w:t>
      </w:r>
      <w:proofErr w:type="spellStart"/>
      <w:r>
        <w:t>Осун</w:t>
      </w:r>
      <w:proofErr w:type="spellEnd"/>
      <w:r>
        <w:t xml:space="preserve">, будут задействованы в роли социальных пропагандистов. </w:t>
      </w:r>
    </w:p>
    <w:p w14:paraId="4134CBC1" w14:textId="0C4E602B" w:rsidR="00DF5972" w:rsidRPr="00E21FC5" w:rsidRDefault="00DF5972" w:rsidP="00DF5972">
      <w:r>
        <w:t xml:space="preserve">Академия окружающей среды </w:t>
      </w:r>
      <w:proofErr w:type="spellStart"/>
      <w:r>
        <w:t>Cerpmist</w:t>
      </w:r>
      <w:proofErr w:type="spellEnd"/>
      <w:r>
        <w:t xml:space="preserve"> — это инновационная всеафриканская академия мирового класса, которая предоставляет и пропагандирует обучение по вопросам защиты окружающей среды и достижения устойчивого развития с упором на конкретные решения, а также занимается исследованиями и правозащитной деятельностью в том ключе, который укрепляет права и наделяет возможностями как людей, так и общины и правительства в целом. Академия окружающей среды </w:t>
      </w:r>
      <w:proofErr w:type="spellStart"/>
      <w:r>
        <w:t>Cerpmist</w:t>
      </w:r>
      <w:proofErr w:type="spellEnd"/>
      <w:r>
        <w:t xml:space="preserve"> имеет большой опыт в налаживании связей с научным сообществом и в координировании логистики внутри страны. Она займется привлечением научной общественности к исследованию в двух местах осуществления проекта, в том числе будет курировать деятельность, создавая единую стратегию привлечения заинтересованных сторон к анкетированию. Она также поможет привлечь к работе Центр экологического управления и контроля при Университете Нигерии.</w:t>
      </w:r>
    </w:p>
    <w:p w14:paraId="2179907E" w14:textId="77777777" w:rsidR="00DF5972" w:rsidRPr="00E21FC5" w:rsidRDefault="00DF5972" w:rsidP="00DF5972">
      <w:pPr>
        <w:rPr>
          <w:b/>
          <w:bCs/>
        </w:rPr>
      </w:pPr>
      <w:r>
        <w:rPr>
          <w:b/>
        </w:rPr>
        <w:t>[Конец примера]</w:t>
      </w:r>
    </w:p>
    <w:p w14:paraId="5EDB91F1" w14:textId="304547C9" w:rsidR="006F3A6D" w:rsidRPr="00E21FC5" w:rsidRDefault="006F3A6D" w:rsidP="00A248FA">
      <w:r>
        <w:t xml:space="preserve">Все социальные пропагандисты должны: </w:t>
      </w:r>
    </w:p>
    <w:p w14:paraId="4036C328" w14:textId="70DE6F73" w:rsidR="006F3A6D" w:rsidRPr="00E21FC5" w:rsidRDefault="00DF5972" w:rsidP="00A248FA">
      <w:pPr>
        <w:pStyle w:val="Bulletlist"/>
      </w:pPr>
      <w:r>
        <w:t>знать контекст и окружение местной общины, а также иметь представление о ключевых заинтересованных сторонах и динамике взаимодействия;</w:t>
      </w:r>
    </w:p>
    <w:p w14:paraId="0FE9BA9D" w14:textId="206672CF" w:rsidR="006F3A6D" w:rsidRPr="00E21FC5" w:rsidRDefault="00DF5972" w:rsidP="00A248FA">
      <w:pPr>
        <w:pStyle w:val="Bulletlist"/>
      </w:pPr>
      <w:r>
        <w:t>пройти обучение по концепции проекта и подходу к мобилизации общин;</w:t>
      </w:r>
    </w:p>
    <w:p w14:paraId="14A8CDCA" w14:textId="03860415" w:rsidR="006F3A6D" w:rsidRPr="00E21FC5" w:rsidRDefault="00DF5972" w:rsidP="00A248FA">
      <w:pPr>
        <w:pStyle w:val="Bulletlist"/>
      </w:pPr>
      <w:r>
        <w:lastRenderedPageBreak/>
        <w:t>установить каналы коммуникации с общиной и в уважительной форме взаимодействовать с лидерами мнения в общинах и других соответствующих группах общины;</w:t>
      </w:r>
    </w:p>
    <w:p w14:paraId="2AEB6D11" w14:textId="7855F796" w:rsidR="006F3A6D" w:rsidRPr="00E21FC5" w:rsidRDefault="00DF5972" w:rsidP="00A248FA">
      <w:pPr>
        <w:pStyle w:val="Bulletlist"/>
      </w:pPr>
      <w:r>
        <w:t xml:space="preserve">содействовать проведению собраний малых и больших общин в качестве пространства для поощрения обсуждений, предоставления информации об опросных мероприятиях, распространения ключевых сообщений и регулярного информирования о последних событиях; </w:t>
      </w:r>
    </w:p>
    <w:p w14:paraId="24C3DEDF" w14:textId="4499E479" w:rsidR="006F3A6D" w:rsidRPr="00E21FC5" w:rsidRDefault="00DF5972" w:rsidP="00AB512B">
      <w:pPr>
        <w:pStyle w:val="Bulletlist"/>
      </w:pPr>
      <w:r>
        <w:t>доносить информацию в четкой форме и на местном языке так, чтобы община понимала этот процесс;</w:t>
      </w:r>
    </w:p>
    <w:p w14:paraId="0949E59C" w14:textId="2D2E1F05" w:rsidR="006F3A6D" w:rsidRPr="00E21FC5" w:rsidRDefault="00DF5972" w:rsidP="00AB512B">
      <w:pPr>
        <w:pStyle w:val="Bulletlist"/>
      </w:pPr>
      <w:r>
        <w:t>наращивать потенциал общины путем организации обучения членов общины навыкам общения и поощрения местных инициатив и участия;</w:t>
      </w:r>
    </w:p>
    <w:p w14:paraId="72FA47EB" w14:textId="1701B82D" w:rsidR="006F3A6D" w:rsidRPr="00E21FC5" w:rsidRDefault="00DF5972" w:rsidP="00AB512B">
      <w:pPr>
        <w:pStyle w:val="Bulletlist"/>
      </w:pPr>
      <w:r>
        <w:t>уметь поощрять, слушать, убеждать и вежливо вести переговоры;</w:t>
      </w:r>
    </w:p>
    <w:p w14:paraId="06A5EFB2" w14:textId="73E48110" w:rsidR="006F3A6D" w:rsidRPr="00E21FC5" w:rsidRDefault="00DF5972" w:rsidP="00AB512B">
      <w:pPr>
        <w:pStyle w:val="Bulletlist"/>
      </w:pPr>
      <w:r>
        <w:t>быть динамичными, активными и креативными и при необходимости применять подход, ориентированный на решение проблем (не всегда ждать вышестоящего руководителя);</w:t>
      </w:r>
    </w:p>
    <w:p w14:paraId="26E933BE" w14:textId="247CE37D" w:rsidR="006F3A6D" w:rsidRPr="00E21FC5" w:rsidRDefault="00DF5972" w:rsidP="00AB512B">
      <w:pPr>
        <w:pStyle w:val="Bulletlist"/>
      </w:pPr>
      <w:r>
        <w:t xml:space="preserve">осуществлять координацию и поддерживать связь с другим персоналом проекта с целью содействия участию общины в проекте. </w:t>
      </w:r>
    </w:p>
    <w:p w14:paraId="6500F742" w14:textId="5B929B16" w:rsidR="001A4EDA" w:rsidRPr="00935B3D" w:rsidRDefault="007F57B7" w:rsidP="00935B3D">
      <w:pPr>
        <w:pStyle w:val="1"/>
        <w:rPr>
          <w:szCs w:val="28"/>
        </w:rPr>
      </w:pPr>
      <w:r>
        <w:t>7.</w:t>
      </w:r>
      <w:r>
        <w:tab/>
        <w:t>Отношения пропагандистов с лидерами общины</w:t>
      </w:r>
    </w:p>
    <w:p w14:paraId="62750DEB" w14:textId="20C1B6A2" w:rsidR="000D55EC" w:rsidRPr="00E21FC5" w:rsidRDefault="006F3A6D" w:rsidP="00935B3D">
      <w:r>
        <w:t>Совместная группа общинных пропагандистов, состоящая из представителей и сотрудников [назовите организации гражданского общества], будет тесно сотрудничать с лидерами общин и общинами по периметру площадок КМЗД. Лидеры общин должны быть первыми, кого следует информировать и мобилизовать, с тем чтобы они могли участвовать как организаторы в процессе социальной мобилизации большей части общины и целевых групп, информируя их об опросных процедурах и мероприятиях, а также о необходимости активного вовлечения и участия общины. Участие лидеров местной общины ([приведите примеры]), общинных групп и других влиятельных членов общины ([приведите примеры]) очень важно для приемлемости сообщения и соблюдения исследования, а также в качестве средства внесения вклада в опросные мероприятия и их стимулирования.</w:t>
      </w:r>
    </w:p>
    <w:p w14:paraId="4F2B6C09" w14:textId="0C3656A9" w:rsidR="006F3A6D" w:rsidRPr="00E21FC5" w:rsidRDefault="00DE0C0E" w:rsidP="00935B3D">
      <w:r>
        <w:t>[Внесите изменения и скорректируйте пункт выше, чтобы кратко описать сотрудничество между общинными пропагандистами и лидерами общин в районе исследования.]</w:t>
      </w:r>
    </w:p>
    <w:p w14:paraId="5EEB8B6E" w14:textId="51D4A1F9" w:rsidR="00C77B89" w:rsidRPr="007A66EE" w:rsidRDefault="00C77B89" w:rsidP="00C77B89">
      <w:pPr>
        <w:pStyle w:val="1"/>
      </w:pPr>
      <w:r>
        <w:t>Список</w:t>
      </w:r>
      <w:r w:rsidRPr="007A66EE">
        <w:t xml:space="preserve"> </w:t>
      </w:r>
      <w:r>
        <w:t>использованной</w:t>
      </w:r>
      <w:r w:rsidRPr="007A66EE">
        <w:t xml:space="preserve"> </w:t>
      </w:r>
      <w:r>
        <w:t>литературы</w:t>
      </w:r>
    </w:p>
    <w:p w14:paraId="0D50DDB8" w14:textId="77777777" w:rsidR="00C77B89" w:rsidRPr="007A66EE" w:rsidRDefault="00C77B89" w:rsidP="00C77B89">
      <w:pPr>
        <w:pStyle w:val="Referencelist"/>
      </w:pPr>
      <w:r w:rsidRPr="007A66EE">
        <w:t>1.</w:t>
      </w:r>
      <w:r w:rsidRPr="007A66EE">
        <w:tab/>
      </w:r>
      <w:proofErr w:type="spellStart"/>
      <w:r w:rsidRPr="007A66EE">
        <w:t>Hentschel</w:t>
      </w:r>
      <w:proofErr w:type="spellEnd"/>
      <w:r w:rsidRPr="007A66EE">
        <w:t xml:space="preserve"> T, </w:t>
      </w:r>
      <w:proofErr w:type="spellStart"/>
      <w:r w:rsidRPr="007A66EE">
        <w:t>Hruschka</w:t>
      </w:r>
      <w:proofErr w:type="spellEnd"/>
      <w:r w:rsidRPr="007A66EE">
        <w:t xml:space="preserve"> F, </w:t>
      </w:r>
      <w:proofErr w:type="spellStart"/>
      <w:r w:rsidRPr="007A66EE">
        <w:t>Priester</w:t>
      </w:r>
      <w:proofErr w:type="spellEnd"/>
      <w:r w:rsidRPr="007A66EE">
        <w:t xml:space="preserve"> M. </w:t>
      </w:r>
      <w:proofErr w:type="spellStart"/>
      <w:r w:rsidRPr="007A66EE">
        <w:t>Artisanal</w:t>
      </w:r>
      <w:proofErr w:type="spellEnd"/>
      <w:r w:rsidRPr="007A66EE">
        <w:t xml:space="preserve"> </w:t>
      </w:r>
      <w:proofErr w:type="spellStart"/>
      <w:r w:rsidRPr="007A66EE">
        <w:t>and</w:t>
      </w:r>
      <w:proofErr w:type="spellEnd"/>
      <w:r w:rsidRPr="007A66EE">
        <w:t xml:space="preserve"> </w:t>
      </w:r>
      <w:proofErr w:type="spellStart"/>
      <w:r w:rsidRPr="007A66EE">
        <w:t>small-scale</w:t>
      </w:r>
      <w:proofErr w:type="spellEnd"/>
      <w:r w:rsidRPr="007A66EE">
        <w:t xml:space="preserve"> </w:t>
      </w:r>
      <w:proofErr w:type="spellStart"/>
      <w:r w:rsidRPr="007A66EE">
        <w:t>mining</w:t>
      </w:r>
      <w:proofErr w:type="spellEnd"/>
      <w:r w:rsidRPr="007A66EE">
        <w:t xml:space="preserve">: </w:t>
      </w:r>
      <w:proofErr w:type="spellStart"/>
      <w:r w:rsidRPr="007A66EE">
        <w:t>challenges</w:t>
      </w:r>
      <w:proofErr w:type="spellEnd"/>
      <w:r w:rsidRPr="007A66EE">
        <w:t xml:space="preserve"> </w:t>
      </w:r>
      <w:proofErr w:type="spellStart"/>
      <w:r w:rsidRPr="007A66EE">
        <w:t>and</w:t>
      </w:r>
      <w:proofErr w:type="spellEnd"/>
      <w:r w:rsidRPr="007A66EE">
        <w:t xml:space="preserve"> </w:t>
      </w:r>
      <w:proofErr w:type="spellStart"/>
      <w:r w:rsidRPr="007A66EE">
        <w:t>opportunities</w:t>
      </w:r>
      <w:proofErr w:type="spellEnd"/>
      <w:r w:rsidRPr="007A66EE">
        <w:t xml:space="preserve">. </w:t>
      </w:r>
      <w:proofErr w:type="spellStart"/>
      <w:r w:rsidRPr="007A66EE">
        <w:t>London</w:t>
      </w:r>
      <w:proofErr w:type="spellEnd"/>
      <w:r w:rsidRPr="007A66EE">
        <w:t xml:space="preserve">: </w:t>
      </w:r>
      <w:proofErr w:type="spellStart"/>
      <w:r w:rsidRPr="007A66EE">
        <w:t>World</w:t>
      </w:r>
      <w:proofErr w:type="spellEnd"/>
      <w:r w:rsidRPr="007A66EE">
        <w:t xml:space="preserve"> </w:t>
      </w:r>
      <w:proofErr w:type="spellStart"/>
      <w:r w:rsidRPr="007A66EE">
        <w:t>Business</w:t>
      </w:r>
      <w:proofErr w:type="spellEnd"/>
      <w:r w:rsidRPr="007A66EE">
        <w:t xml:space="preserve"> </w:t>
      </w:r>
      <w:proofErr w:type="spellStart"/>
      <w:r w:rsidRPr="007A66EE">
        <w:t>Council</w:t>
      </w:r>
      <w:proofErr w:type="spellEnd"/>
      <w:r w:rsidRPr="007A66EE">
        <w:t xml:space="preserve"> </w:t>
      </w:r>
      <w:proofErr w:type="spellStart"/>
      <w:r w:rsidRPr="007A66EE">
        <w:t>for</w:t>
      </w:r>
      <w:proofErr w:type="spellEnd"/>
      <w:r w:rsidRPr="007A66EE">
        <w:t xml:space="preserve"> </w:t>
      </w:r>
      <w:proofErr w:type="spellStart"/>
      <w:r w:rsidRPr="007A66EE">
        <w:t>Sustainable</w:t>
      </w:r>
      <w:proofErr w:type="spellEnd"/>
      <w:r w:rsidRPr="007A66EE">
        <w:t xml:space="preserve"> </w:t>
      </w:r>
      <w:proofErr w:type="spellStart"/>
      <w:r w:rsidRPr="007A66EE">
        <w:t>Development</w:t>
      </w:r>
      <w:proofErr w:type="spellEnd"/>
      <w:r w:rsidRPr="007A66EE">
        <w:t>; 2003.</w:t>
      </w:r>
    </w:p>
    <w:p w14:paraId="72569EC1" w14:textId="77777777" w:rsidR="00C77B89" w:rsidRPr="007A66EE" w:rsidRDefault="00C77B89" w:rsidP="00C77B89">
      <w:pPr>
        <w:pStyle w:val="Referencelist"/>
      </w:pPr>
      <w:r w:rsidRPr="007A66EE">
        <w:lastRenderedPageBreak/>
        <w:t>2.</w:t>
      </w:r>
      <w:r w:rsidRPr="007A66EE">
        <w:tab/>
      </w:r>
      <w:proofErr w:type="spellStart"/>
      <w:r w:rsidRPr="007A66EE">
        <w:t>Breaking</w:t>
      </w:r>
      <w:proofErr w:type="spellEnd"/>
      <w:r w:rsidRPr="007A66EE">
        <w:t xml:space="preserve"> </w:t>
      </w:r>
      <w:proofErr w:type="spellStart"/>
      <w:r w:rsidRPr="007A66EE">
        <w:t>new</w:t>
      </w:r>
      <w:proofErr w:type="spellEnd"/>
      <w:r w:rsidRPr="007A66EE">
        <w:t xml:space="preserve"> </w:t>
      </w:r>
      <w:proofErr w:type="spellStart"/>
      <w:r w:rsidRPr="007A66EE">
        <w:t>ground</w:t>
      </w:r>
      <w:proofErr w:type="spellEnd"/>
      <w:r w:rsidRPr="007A66EE">
        <w:t xml:space="preserve">: </w:t>
      </w:r>
      <w:proofErr w:type="spellStart"/>
      <w:r w:rsidRPr="007A66EE">
        <w:t>mining</w:t>
      </w:r>
      <w:proofErr w:type="spellEnd"/>
      <w:r w:rsidRPr="007A66EE">
        <w:t xml:space="preserve">, </w:t>
      </w:r>
      <w:proofErr w:type="spellStart"/>
      <w:r w:rsidRPr="007A66EE">
        <w:t>minerals</w:t>
      </w:r>
      <w:proofErr w:type="spellEnd"/>
      <w:r w:rsidRPr="007A66EE">
        <w:t xml:space="preserve"> </w:t>
      </w:r>
      <w:proofErr w:type="spellStart"/>
      <w:r w:rsidRPr="007A66EE">
        <w:t>and</w:t>
      </w:r>
      <w:proofErr w:type="spellEnd"/>
      <w:r w:rsidRPr="007A66EE">
        <w:t xml:space="preserve"> </w:t>
      </w:r>
      <w:proofErr w:type="spellStart"/>
      <w:r w:rsidRPr="007A66EE">
        <w:t>sustainable</w:t>
      </w:r>
      <w:proofErr w:type="spellEnd"/>
      <w:r w:rsidRPr="007A66EE">
        <w:t xml:space="preserve"> </w:t>
      </w:r>
      <w:proofErr w:type="spellStart"/>
      <w:r w:rsidRPr="007A66EE">
        <w:t>development</w:t>
      </w:r>
      <w:proofErr w:type="spellEnd"/>
      <w:r w:rsidRPr="007A66EE">
        <w:t xml:space="preserve">. </w:t>
      </w:r>
      <w:proofErr w:type="spellStart"/>
      <w:r w:rsidRPr="007A66EE">
        <w:t>London</w:t>
      </w:r>
      <w:proofErr w:type="spellEnd"/>
      <w:r w:rsidRPr="007A66EE">
        <w:t xml:space="preserve">: </w:t>
      </w:r>
      <w:proofErr w:type="spellStart"/>
      <w:r w:rsidRPr="007A66EE">
        <w:t>International</w:t>
      </w:r>
      <w:proofErr w:type="spellEnd"/>
      <w:r w:rsidRPr="007A66EE">
        <w:t xml:space="preserve"> </w:t>
      </w:r>
      <w:proofErr w:type="spellStart"/>
      <w:r w:rsidRPr="007A66EE">
        <w:t>Institute</w:t>
      </w:r>
      <w:proofErr w:type="spellEnd"/>
      <w:r w:rsidRPr="007A66EE">
        <w:t xml:space="preserve"> </w:t>
      </w:r>
      <w:proofErr w:type="spellStart"/>
      <w:r w:rsidRPr="007A66EE">
        <w:t>for</w:t>
      </w:r>
      <w:proofErr w:type="spellEnd"/>
      <w:r w:rsidRPr="007A66EE">
        <w:t xml:space="preserve"> </w:t>
      </w:r>
      <w:proofErr w:type="spellStart"/>
      <w:r w:rsidRPr="007A66EE">
        <w:t>Environment</w:t>
      </w:r>
      <w:proofErr w:type="spellEnd"/>
      <w:r w:rsidRPr="007A66EE">
        <w:t xml:space="preserve"> </w:t>
      </w:r>
      <w:proofErr w:type="spellStart"/>
      <w:r w:rsidRPr="007A66EE">
        <w:t>and</w:t>
      </w:r>
      <w:proofErr w:type="spellEnd"/>
      <w:r w:rsidRPr="007A66EE">
        <w:t xml:space="preserve"> </w:t>
      </w:r>
      <w:proofErr w:type="spellStart"/>
      <w:r w:rsidRPr="007A66EE">
        <w:t>Development</w:t>
      </w:r>
      <w:proofErr w:type="spellEnd"/>
      <w:r w:rsidRPr="007A66EE">
        <w:t>; 2004.</w:t>
      </w:r>
    </w:p>
    <w:p w14:paraId="001533D3" w14:textId="77777777" w:rsidR="00C77B89" w:rsidRPr="00E21FC5" w:rsidRDefault="00C77B89" w:rsidP="00C77B89">
      <w:pPr>
        <w:pStyle w:val="Referencelist"/>
      </w:pPr>
      <w:r w:rsidRPr="007A66EE">
        <w:t>3.</w:t>
      </w:r>
      <w:r w:rsidRPr="007A66EE">
        <w:tab/>
      </w:r>
      <w:proofErr w:type="spellStart"/>
      <w:r w:rsidRPr="007A66EE">
        <w:t>Veiga</w:t>
      </w:r>
      <w:proofErr w:type="spellEnd"/>
      <w:r w:rsidRPr="007A66EE">
        <w:t xml:space="preserve"> MM, </w:t>
      </w:r>
      <w:proofErr w:type="spellStart"/>
      <w:r w:rsidRPr="007A66EE">
        <w:t>Baker</w:t>
      </w:r>
      <w:proofErr w:type="spellEnd"/>
      <w:r w:rsidRPr="007A66EE">
        <w:t xml:space="preserve"> RF. </w:t>
      </w:r>
      <w:proofErr w:type="spellStart"/>
      <w:r w:rsidRPr="007A66EE">
        <w:t>Protocols</w:t>
      </w:r>
      <w:proofErr w:type="spellEnd"/>
      <w:r w:rsidRPr="007A66EE">
        <w:t xml:space="preserve"> </w:t>
      </w:r>
      <w:proofErr w:type="spellStart"/>
      <w:r w:rsidRPr="007A66EE">
        <w:t>for</w:t>
      </w:r>
      <w:proofErr w:type="spellEnd"/>
      <w:r w:rsidRPr="007A66EE">
        <w:t xml:space="preserve"> </w:t>
      </w:r>
      <w:proofErr w:type="spellStart"/>
      <w:r w:rsidRPr="007A66EE">
        <w:t>environmental</w:t>
      </w:r>
      <w:proofErr w:type="spellEnd"/>
      <w:r w:rsidRPr="007A66EE">
        <w:t xml:space="preserve"> </w:t>
      </w:r>
      <w:proofErr w:type="spellStart"/>
      <w:r w:rsidRPr="007A66EE">
        <w:t>and</w:t>
      </w:r>
      <w:proofErr w:type="spellEnd"/>
      <w:r w:rsidRPr="007A66EE">
        <w:t xml:space="preserve"> </w:t>
      </w:r>
      <w:proofErr w:type="spellStart"/>
      <w:r w:rsidRPr="007A66EE">
        <w:t>health</w:t>
      </w:r>
      <w:proofErr w:type="spellEnd"/>
      <w:r w:rsidRPr="007A66EE">
        <w:t xml:space="preserve"> </w:t>
      </w:r>
      <w:proofErr w:type="spellStart"/>
      <w:r w:rsidRPr="007A66EE">
        <w:t>assessment</w:t>
      </w:r>
      <w:proofErr w:type="spellEnd"/>
      <w:r w:rsidRPr="007A66EE">
        <w:t xml:space="preserve"> </w:t>
      </w:r>
      <w:proofErr w:type="spellStart"/>
      <w:r w:rsidRPr="007A66EE">
        <w:t>of</w:t>
      </w:r>
      <w:proofErr w:type="spellEnd"/>
      <w:r w:rsidRPr="007A66EE">
        <w:t xml:space="preserve"> </w:t>
      </w:r>
      <w:proofErr w:type="spellStart"/>
      <w:r w:rsidRPr="007A66EE">
        <w:t>mercury</w:t>
      </w:r>
      <w:proofErr w:type="spellEnd"/>
      <w:r w:rsidRPr="007A66EE">
        <w:t xml:space="preserve"> </w:t>
      </w:r>
      <w:proofErr w:type="spellStart"/>
      <w:r w:rsidRPr="007A66EE">
        <w:t>released</w:t>
      </w:r>
      <w:proofErr w:type="spellEnd"/>
      <w:r w:rsidRPr="007A66EE">
        <w:t xml:space="preserve"> </w:t>
      </w:r>
      <w:proofErr w:type="spellStart"/>
      <w:r w:rsidRPr="007A66EE">
        <w:t>by</w:t>
      </w:r>
      <w:proofErr w:type="spellEnd"/>
      <w:r w:rsidRPr="007A66EE">
        <w:t xml:space="preserve"> </w:t>
      </w:r>
      <w:proofErr w:type="spellStart"/>
      <w:r w:rsidRPr="007A66EE">
        <w:t>artisanal</w:t>
      </w:r>
      <w:proofErr w:type="spellEnd"/>
      <w:r w:rsidRPr="007A66EE">
        <w:t xml:space="preserve"> </w:t>
      </w:r>
      <w:proofErr w:type="spellStart"/>
      <w:r w:rsidRPr="007A66EE">
        <w:t>and</w:t>
      </w:r>
      <w:proofErr w:type="spellEnd"/>
      <w:r w:rsidRPr="007A66EE">
        <w:t xml:space="preserve"> </w:t>
      </w:r>
      <w:proofErr w:type="spellStart"/>
      <w:r w:rsidRPr="007A66EE">
        <w:t>small-scale</w:t>
      </w:r>
      <w:proofErr w:type="spellEnd"/>
      <w:r w:rsidRPr="007A66EE">
        <w:t xml:space="preserve"> </w:t>
      </w:r>
      <w:proofErr w:type="spellStart"/>
      <w:r w:rsidRPr="007A66EE">
        <w:t>gold</w:t>
      </w:r>
      <w:proofErr w:type="spellEnd"/>
      <w:r w:rsidRPr="007A66EE">
        <w:t xml:space="preserve"> </w:t>
      </w:r>
      <w:proofErr w:type="spellStart"/>
      <w:r w:rsidRPr="007A66EE">
        <w:t>miners</w:t>
      </w:r>
      <w:proofErr w:type="spellEnd"/>
      <w:r w:rsidRPr="007A66EE">
        <w:t xml:space="preserve">.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>; 2004.</w:t>
      </w:r>
    </w:p>
    <w:p w14:paraId="4871D3BC" w14:textId="77777777" w:rsidR="00C77B89" w:rsidRPr="00A006A6" w:rsidRDefault="00C77B89" w:rsidP="00C77B89">
      <w:pPr>
        <w:pStyle w:val="Referencelist"/>
      </w:pPr>
      <w:r>
        <w:t>4.</w:t>
      </w:r>
      <w:r>
        <w:tab/>
        <w:t>Экологические и профессиональные риски для здоровья, связанные с кустарной и мелкомасштабной золотодобычей. Женева: Всемирная организация здравоохранения; 2016 г. (</w:t>
      </w:r>
      <w:hyperlink r:id="rId8" w:history="1">
        <w:r>
          <w:rPr>
            <w:rStyle w:val="ab"/>
          </w:rPr>
          <w:t>https://apps.who.int/iris/handle/10665/247195</w:t>
        </w:r>
      </w:hyperlink>
      <w:r>
        <w:t>, по состоянию на 29 января 2021 г.).</w:t>
      </w:r>
    </w:p>
    <w:p w14:paraId="2F83774F" w14:textId="77777777" w:rsidR="001A4EDA" w:rsidRPr="00A006A6" w:rsidRDefault="001A4EDA" w:rsidP="00C77B89">
      <w:pPr>
        <w:pStyle w:val="2"/>
        <w:jc w:val="left"/>
        <w:rPr>
          <w:rFonts w:cs="Arial"/>
        </w:rPr>
      </w:pPr>
    </w:p>
    <w:sectPr w:rsidR="001A4EDA" w:rsidRPr="00A006A6" w:rsidSect="00A006A6">
      <w:headerReference w:type="default" r:id="rId9"/>
      <w:footerReference w:type="even" r:id="rId10"/>
      <w:footerReference w:type="default" r:id="rId11"/>
      <w:pgSz w:w="11901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93335" w14:textId="77777777" w:rsidR="00BF6921" w:rsidRDefault="00BF6921">
      <w:pPr>
        <w:spacing w:after="0" w:line="240" w:lineRule="auto"/>
      </w:pPr>
      <w:r>
        <w:separator/>
      </w:r>
    </w:p>
  </w:endnote>
  <w:endnote w:type="continuationSeparator" w:id="0">
    <w:p w14:paraId="3FEBA979" w14:textId="77777777" w:rsidR="00BF6921" w:rsidRDefault="00BF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89A6B" w14:textId="77777777" w:rsidR="00BF6921" w:rsidRDefault="00BF6921" w:rsidP="00A95C0C">
    <w:pPr>
      <w:pStyle w:val="afa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761BC885" w14:textId="77777777" w:rsidR="00BF6921" w:rsidRDefault="00BF6921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8B756" w14:textId="71AD1C99" w:rsidR="00BF6921" w:rsidRPr="00C27F92" w:rsidRDefault="00BF6921" w:rsidP="00C27F92">
    <w:pPr>
      <w:pStyle w:val="afa"/>
      <w:framePr w:wrap="around" w:vAnchor="text" w:hAnchor="margin" w:xAlign="center" w:y="1"/>
      <w:spacing w:after="0" w:line="240" w:lineRule="auto"/>
      <w:rPr>
        <w:rStyle w:val="afd"/>
        <w:szCs w:val="24"/>
      </w:rPr>
    </w:pPr>
    <w:r w:rsidRPr="00C27F92">
      <w:rPr>
        <w:rStyle w:val="afd"/>
      </w:rPr>
      <w:fldChar w:fldCharType="begin"/>
    </w:r>
    <w:r w:rsidRPr="00C27F92">
      <w:rPr>
        <w:rStyle w:val="afd"/>
      </w:rPr>
      <w:instrText xml:space="preserve">PAGE  </w:instrText>
    </w:r>
    <w:r w:rsidRPr="00C27F92">
      <w:rPr>
        <w:rStyle w:val="afd"/>
      </w:rPr>
      <w:fldChar w:fldCharType="separate"/>
    </w:r>
    <w:r w:rsidR="000D6077">
      <w:rPr>
        <w:rStyle w:val="afd"/>
        <w:noProof/>
      </w:rPr>
      <w:t>7</w:t>
    </w:r>
    <w:r w:rsidRPr="00C27F92">
      <w:rPr>
        <w:rStyle w:val="afd"/>
      </w:rPr>
      <w:fldChar w:fldCharType="end"/>
    </w:r>
  </w:p>
  <w:p w14:paraId="1308D2B4" w14:textId="63B47327" w:rsidR="00BF6921" w:rsidRDefault="00BF6921">
    <w:pPr>
      <w:pStyle w:val="afa"/>
      <w:tabs>
        <w:tab w:val="center" w:pos="5245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28631" w14:textId="77777777" w:rsidR="00BF6921" w:rsidRDefault="00BF6921">
      <w:pPr>
        <w:spacing w:after="0" w:line="240" w:lineRule="auto"/>
      </w:pPr>
      <w:r>
        <w:separator/>
      </w:r>
    </w:p>
  </w:footnote>
  <w:footnote w:type="continuationSeparator" w:id="0">
    <w:p w14:paraId="027BE9B1" w14:textId="77777777" w:rsidR="00BF6921" w:rsidRDefault="00BF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D7313" w14:textId="4BFF077E" w:rsidR="00BF6921" w:rsidRPr="00391FAE" w:rsidRDefault="00BF6921" w:rsidP="00C427D1">
    <w:pPr>
      <w:widowControl w:val="0"/>
      <w:tabs>
        <w:tab w:val="center" w:pos="3544"/>
        <w:tab w:val="left" w:pos="4962"/>
        <w:tab w:val="right" w:pos="10773"/>
      </w:tabs>
      <w:spacing w:line="240" w:lineRule="auto"/>
      <w:jc w:val="center"/>
      <w:outlineLvl w:val="1"/>
      <w:rPr>
        <w:rFonts w:ascii="Arial" w:eastAsia="Times New Roman" w:hAnsi="Arial" w:cs="Arial"/>
        <w:sz w:val="20"/>
        <w:szCs w:val="20"/>
        <w:lang w:val="en"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6802"/>
    <w:multiLevelType w:val="hybridMultilevel"/>
    <w:tmpl w:val="515241F4"/>
    <w:lvl w:ilvl="0" w:tplc="36721558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72F64"/>
    <w:multiLevelType w:val="hybridMultilevel"/>
    <w:tmpl w:val="BA5264B0"/>
    <w:lvl w:ilvl="0" w:tplc="1EAE48A6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8452DE4E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BEE030E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8698E006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8D6AFB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0C6CAEE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A88459F4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112CD52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15E0422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345497"/>
    <w:multiLevelType w:val="hybridMultilevel"/>
    <w:tmpl w:val="DA8A5C3E"/>
    <w:lvl w:ilvl="0" w:tplc="4718F4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F25B46">
      <w:start w:val="1"/>
      <w:numFmt w:val="lowerLetter"/>
      <w:lvlText w:val="%2."/>
      <w:lvlJc w:val="left"/>
      <w:pPr>
        <w:ind w:left="1440" w:hanging="360"/>
      </w:pPr>
    </w:lvl>
    <w:lvl w:ilvl="2" w:tplc="FF08661C">
      <w:start w:val="1"/>
      <w:numFmt w:val="lowerRoman"/>
      <w:lvlText w:val="%3."/>
      <w:lvlJc w:val="right"/>
      <w:pPr>
        <w:ind w:left="2160" w:hanging="180"/>
      </w:pPr>
    </w:lvl>
    <w:lvl w:ilvl="3" w:tplc="CAE686FA">
      <w:start w:val="1"/>
      <w:numFmt w:val="decimal"/>
      <w:lvlText w:val="%4."/>
      <w:lvlJc w:val="left"/>
      <w:pPr>
        <w:ind w:left="2880" w:hanging="360"/>
      </w:pPr>
    </w:lvl>
    <w:lvl w:ilvl="4" w:tplc="B6C66362">
      <w:start w:val="1"/>
      <w:numFmt w:val="lowerLetter"/>
      <w:lvlText w:val="%5."/>
      <w:lvlJc w:val="left"/>
      <w:pPr>
        <w:ind w:left="3600" w:hanging="360"/>
      </w:pPr>
    </w:lvl>
    <w:lvl w:ilvl="5" w:tplc="1DFC98A6">
      <w:start w:val="1"/>
      <w:numFmt w:val="lowerRoman"/>
      <w:lvlText w:val="%6."/>
      <w:lvlJc w:val="right"/>
      <w:pPr>
        <w:ind w:left="4320" w:hanging="180"/>
      </w:pPr>
    </w:lvl>
    <w:lvl w:ilvl="6" w:tplc="BDB8C4DE">
      <w:start w:val="1"/>
      <w:numFmt w:val="decimal"/>
      <w:lvlText w:val="%7."/>
      <w:lvlJc w:val="left"/>
      <w:pPr>
        <w:ind w:left="5040" w:hanging="360"/>
      </w:pPr>
    </w:lvl>
    <w:lvl w:ilvl="7" w:tplc="0FE2C786">
      <w:start w:val="1"/>
      <w:numFmt w:val="lowerLetter"/>
      <w:lvlText w:val="%8."/>
      <w:lvlJc w:val="left"/>
      <w:pPr>
        <w:ind w:left="5760" w:hanging="360"/>
      </w:pPr>
    </w:lvl>
    <w:lvl w:ilvl="8" w:tplc="EB664C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80F90"/>
    <w:multiLevelType w:val="hybridMultilevel"/>
    <w:tmpl w:val="5B06857E"/>
    <w:lvl w:ilvl="0" w:tplc="965A8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BEB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CEC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44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6B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E3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46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21C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6C5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0511E"/>
    <w:multiLevelType w:val="hybridMultilevel"/>
    <w:tmpl w:val="75EA1986"/>
    <w:lvl w:ilvl="0" w:tplc="A344F3E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F028F374">
      <w:start w:val="1"/>
      <w:numFmt w:val="lowerLetter"/>
      <w:lvlText w:val="%2."/>
      <w:lvlJc w:val="left"/>
      <w:pPr>
        <w:ind w:left="1789" w:hanging="360"/>
      </w:pPr>
    </w:lvl>
    <w:lvl w:ilvl="2" w:tplc="5E8463B4">
      <w:start w:val="1"/>
      <w:numFmt w:val="lowerRoman"/>
      <w:lvlText w:val="%3."/>
      <w:lvlJc w:val="right"/>
      <w:pPr>
        <w:ind w:left="2509" w:hanging="180"/>
      </w:pPr>
    </w:lvl>
    <w:lvl w:ilvl="3" w:tplc="4C34EFE4">
      <w:start w:val="1"/>
      <w:numFmt w:val="decimal"/>
      <w:lvlText w:val="%4."/>
      <w:lvlJc w:val="left"/>
      <w:pPr>
        <w:ind w:left="3229" w:hanging="360"/>
      </w:pPr>
    </w:lvl>
    <w:lvl w:ilvl="4" w:tplc="8026BD34">
      <w:start w:val="1"/>
      <w:numFmt w:val="lowerLetter"/>
      <w:lvlText w:val="%5."/>
      <w:lvlJc w:val="left"/>
      <w:pPr>
        <w:ind w:left="3949" w:hanging="360"/>
      </w:pPr>
    </w:lvl>
    <w:lvl w:ilvl="5" w:tplc="0A8E47DE">
      <w:start w:val="1"/>
      <w:numFmt w:val="lowerRoman"/>
      <w:lvlText w:val="%6."/>
      <w:lvlJc w:val="right"/>
      <w:pPr>
        <w:ind w:left="4669" w:hanging="180"/>
      </w:pPr>
    </w:lvl>
    <w:lvl w:ilvl="6" w:tplc="6E8C7F44">
      <w:start w:val="1"/>
      <w:numFmt w:val="decimal"/>
      <w:lvlText w:val="%7."/>
      <w:lvlJc w:val="left"/>
      <w:pPr>
        <w:ind w:left="5389" w:hanging="360"/>
      </w:pPr>
    </w:lvl>
    <w:lvl w:ilvl="7" w:tplc="F1A857D0">
      <w:start w:val="1"/>
      <w:numFmt w:val="lowerLetter"/>
      <w:lvlText w:val="%8."/>
      <w:lvlJc w:val="left"/>
      <w:pPr>
        <w:ind w:left="6109" w:hanging="360"/>
      </w:pPr>
    </w:lvl>
    <w:lvl w:ilvl="8" w:tplc="5C8A785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DB1542"/>
    <w:multiLevelType w:val="hybridMultilevel"/>
    <w:tmpl w:val="63C01322"/>
    <w:lvl w:ilvl="0" w:tplc="60B80526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DD76B1D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566A66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7268F62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B3685E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358B5D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8DDCB33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FDE49A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9AB4978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E93770"/>
    <w:multiLevelType w:val="hybridMultilevel"/>
    <w:tmpl w:val="28B4D2B8"/>
    <w:lvl w:ilvl="0" w:tplc="834C99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FF209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183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4F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AD6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10F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A0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AE4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E4F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D335C"/>
    <w:multiLevelType w:val="hybridMultilevel"/>
    <w:tmpl w:val="13DAD10E"/>
    <w:lvl w:ilvl="0" w:tplc="8D3825DA">
      <w:start w:val="1"/>
      <w:numFmt w:val="upperLetter"/>
      <w:lvlText w:val="%1."/>
      <w:lvlJc w:val="left"/>
      <w:pPr>
        <w:ind w:left="1429" w:hanging="360"/>
      </w:pPr>
    </w:lvl>
    <w:lvl w:ilvl="1" w:tplc="9DE84F34">
      <w:start w:val="1"/>
      <w:numFmt w:val="lowerLetter"/>
      <w:lvlText w:val="%2."/>
      <w:lvlJc w:val="left"/>
      <w:pPr>
        <w:ind w:left="2149" w:hanging="360"/>
      </w:pPr>
    </w:lvl>
    <w:lvl w:ilvl="2" w:tplc="EB92D26C">
      <w:start w:val="1"/>
      <w:numFmt w:val="lowerRoman"/>
      <w:lvlText w:val="%3."/>
      <w:lvlJc w:val="right"/>
      <w:pPr>
        <w:ind w:left="2869" w:hanging="180"/>
      </w:pPr>
    </w:lvl>
    <w:lvl w:ilvl="3" w:tplc="26B8D7CE">
      <w:start w:val="1"/>
      <w:numFmt w:val="decimal"/>
      <w:lvlText w:val="%4."/>
      <w:lvlJc w:val="left"/>
      <w:pPr>
        <w:ind w:left="3589" w:hanging="360"/>
      </w:pPr>
    </w:lvl>
    <w:lvl w:ilvl="4" w:tplc="B3D4799E">
      <w:start w:val="1"/>
      <w:numFmt w:val="lowerLetter"/>
      <w:lvlText w:val="%5."/>
      <w:lvlJc w:val="left"/>
      <w:pPr>
        <w:ind w:left="4309" w:hanging="360"/>
      </w:pPr>
    </w:lvl>
    <w:lvl w:ilvl="5" w:tplc="1F3A72DA">
      <w:start w:val="1"/>
      <w:numFmt w:val="lowerRoman"/>
      <w:lvlText w:val="%6."/>
      <w:lvlJc w:val="right"/>
      <w:pPr>
        <w:ind w:left="5029" w:hanging="180"/>
      </w:pPr>
    </w:lvl>
    <w:lvl w:ilvl="6" w:tplc="91AA8A8A">
      <w:start w:val="1"/>
      <w:numFmt w:val="decimal"/>
      <w:lvlText w:val="%7."/>
      <w:lvlJc w:val="left"/>
      <w:pPr>
        <w:ind w:left="5749" w:hanging="360"/>
      </w:pPr>
    </w:lvl>
    <w:lvl w:ilvl="7" w:tplc="39AAA318">
      <w:start w:val="1"/>
      <w:numFmt w:val="lowerLetter"/>
      <w:lvlText w:val="%8."/>
      <w:lvlJc w:val="left"/>
      <w:pPr>
        <w:ind w:left="6469" w:hanging="360"/>
      </w:pPr>
    </w:lvl>
    <w:lvl w:ilvl="8" w:tplc="47D8A0B0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775DDD"/>
    <w:multiLevelType w:val="hybridMultilevel"/>
    <w:tmpl w:val="76342C9C"/>
    <w:lvl w:ilvl="0" w:tplc="B582E1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A4C3D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1AC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A6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0B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F29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85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A06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ECA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70106"/>
    <w:multiLevelType w:val="hybridMultilevel"/>
    <w:tmpl w:val="28D28AA2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E728A7"/>
    <w:multiLevelType w:val="hybridMultilevel"/>
    <w:tmpl w:val="797CF22C"/>
    <w:lvl w:ilvl="0" w:tplc="66E0FDA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248EF"/>
    <w:multiLevelType w:val="hybridMultilevel"/>
    <w:tmpl w:val="9326B37A"/>
    <w:lvl w:ilvl="0" w:tplc="CFAA3F4C">
      <w:start w:val="1"/>
      <w:numFmt w:val="upperLetter"/>
      <w:lvlText w:val="%1."/>
      <w:lvlJc w:val="left"/>
      <w:pPr>
        <w:ind w:left="720" w:hanging="360"/>
      </w:pPr>
    </w:lvl>
    <w:lvl w:ilvl="1" w:tplc="CB5407B8">
      <w:start w:val="1"/>
      <w:numFmt w:val="lowerLetter"/>
      <w:lvlText w:val="%2."/>
      <w:lvlJc w:val="left"/>
      <w:pPr>
        <w:ind w:left="1440" w:hanging="360"/>
      </w:pPr>
    </w:lvl>
    <w:lvl w:ilvl="2" w:tplc="7AB4BF44">
      <w:start w:val="1"/>
      <w:numFmt w:val="lowerRoman"/>
      <w:lvlText w:val="%3."/>
      <w:lvlJc w:val="right"/>
      <w:pPr>
        <w:ind w:left="2160" w:hanging="180"/>
      </w:pPr>
    </w:lvl>
    <w:lvl w:ilvl="3" w:tplc="4B1A819C">
      <w:start w:val="1"/>
      <w:numFmt w:val="decimal"/>
      <w:lvlText w:val="%4."/>
      <w:lvlJc w:val="left"/>
      <w:pPr>
        <w:ind w:left="2880" w:hanging="360"/>
      </w:pPr>
    </w:lvl>
    <w:lvl w:ilvl="4" w:tplc="DE24A092">
      <w:start w:val="1"/>
      <w:numFmt w:val="lowerLetter"/>
      <w:lvlText w:val="%5."/>
      <w:lvlJc w:val="left"/>
      <w:pPr>
        <w:ind w:left="3600" w:hanging="360"/>
      </w:pPr>
    </w:lvl>
    <w:lvl w:ilvl="5" w:tplc="6A360DF8">
      <w:start w:val="1"/>
      <w:numFmt w:val="lowerRoman"/>
      <w:lvlText w:val="%6."/>
      <w:lvlJc w:val="right"/>
      <w:pPr>
        <w:ind w:left="4320" w:hanging="180"/>
      </w:pPr>
    </w:lvl>
    <w:lvl w:ilvl="6" w:tplc="499C4F06">
      <w:start w:val="1"/>
      <w:numFmt w:val="decimal"/>
      <w:lvlText w:val="%7."/>
      <w:lvlJc w:val="left"/>
      <w:pPr>
        <w:ind w:left="5040" w:hanging="360"/>
      </w:pPr>
    </w:lvl>
    <w:lvl w:ilvl="7" w:tplc="F318A7CC">
      <w:start w:val="1"/>
      <w:numFmt w:val="lowerLetter"/>
      <w:lvlText w:val="%8."/>
      <w:lvlJc w:val="left"/>
      <w:pPr>
        <w:ind w:left="5760" w:hanging="360"/>
      </w:pPr>
    </w:lvl>
    <w:lvl w:ilvl="8" w:tplc="C8DC16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27381"/>
    <w:multiLevelType w:val="hybridMultilevel"/>
    <w:tmpl w:val="BF3AA6EC"/>
    <w:lvl w:ilvl="0" w:tplc="556C92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F5A74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587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C5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C6D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D8E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8C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410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C0D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8493F"/>
    <w:multiLevelType w:val="hybridMultilevel"/>
    <w:tmpl w:val="85D47C9C"/>
    <w:lvl w:ilvl="0" w:tplc="0D3E7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824E1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C6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66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21C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767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04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67F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0E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F4CFD"/>
    <w:multiLevelType w:val="hybridMultilevel"/>
    <w:tmpl w:val="E6A02EE6"/>
    <w:lvl w:ilvl="0" w:tplc="966AC9C2">
      <w:start w:val="1"/>
      <w:numFmt w:val="upp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F55F1C"/>
    <w:multiLevelType w:val="hybridMultilevel"/>
    <w:tmpl w:val="029EA208"/>
    <w:lvl w:ilvl="0" w:tplc="08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271A80"/>
    <w:multiLevelType w:val="hybridMultilevel"/>
    <w:tmpl w:val="CFAC76FC"/>
    <w:lvl w:ilvl="0" w:tplc="FFC0F2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E6E79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0B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4A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57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1AD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21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2F3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245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E2811"/>
    <w:multiLevelType w:val="hybridMultilevel"/>
    <w:tmpl w:val="8C901452"/>
    <w:lvl w:ilvl="0" w:tplc="0C16F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699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EC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2D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83A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8AB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C8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23E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183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B2774"/>
    <w:multiLevelType w:val="hybridMultilevel"/>
    <w:tmpl w:val="A9F49A7C"/>
    <w:lvl w:ilvl="0" w:tplc="BD142368">
      <w:start w:val="1"/>
      <w:numFmt w:val="bullet"/>
      <w:pStyle w:val="Bulletlist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71FCC"/>
    <w:multiLevelType w:val="hybridMultilevel"/>
    <w:tmpl w:val="26BE8B06"/>
    <w:lvl w:ilvl="0" w:tplc="CF5201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89E207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B8B1B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DDE2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8DE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E07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82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A3C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4E2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76BF7"/>
    <w:multiLevelType w:val="hybridMultilevel"/>
    <w:tmpl w:val="4ACA82B8"/>
    <w:lvl w:ilvl="0" w:tplc="72B859AA">
      <w:start w:val="6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558C5F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C4E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C5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E70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BE7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02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429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82F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06EDE"/>
    <w:multiLevelType w:val="hybridMultilevel"/>
    <w:tmpl w:val="260E5542"/>
    <w:lvl w:ilvl="0" w:tplc="5914B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0D3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465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E3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CE99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7E6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22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A9B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F25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9"/>
  </w:num>
  <w:num w:numId="5">
    <w:abstractNumId w:val="11"/>
  </w:num>
  <w:num w:numId="6">
    <w:abstractNumId w:val="2"/>
  </w:num>
  <w:num w:numId="7">
    <w:abstractNumId w:val="6"/>
  </w:num>
  <w:num w:numId="8">
    <w:abstractNumId w:val="16"/>
  </w:num>
  <w:num w:numId="9">
    <w:abstractNumId w:val="7"/>
  </w:num>
  <w:num w:numId="10">
    <w:abstractNumId w:val="4"/>
  </w:num>
  <w:num w:numId="11">
    <w:abstractNumId w:val="20"/>
  </w:num>
  <w:num w:numId="12">
    <w:abstractNumId w:val="21"/>
  </w:num>
  <w:num w:numId="13">
    <w:abstractNumId w:val="3"/>
  </w:num>
  <w:num w:numId="14">
    <w:abstractNumId w:val="17"/>
  </w:num>
  <w:num w:numId="15">
    <w:abstractNumId w:val="5"/>
  </w:num>
  <w:num w:numId="16">
    <w:abstractNumId w:val="1"/>
  </w:num>
  <w:num w:numId="17">
    <w:abstractNumId w:val="0"/>
  </w:num>
  <w:num w:numId="18">
    <w:abstractNumId w:val="14"/>
  </w:num>
  <w:num w:numId="19">
    <w:abstractNumId w:val="9"/>
  </w:num>
  <w:num w:numId="20">
    <w:abstractNumId w:val="15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/>
  <w:trackRevisions/>
  <w:defaultTabStop w:val="720"/>
  <w:hyphenationZone w:val="425"/>
  <w:characterSpacingControl w:val="doNotCompress"/>
  <w:hdrShapeDefaults>
    <o:shapedefaults v:ext="edit" spidmax="81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EDA"/>
    <w:rsid w:val="00032312"/>
    <w:rsid w:val="00041285"/>
    <w:rsid w:val="000B03C6"/>
    <w:rsid w:val="000D55EC"/>
    <w:rsid w:val="000D6077"/>
    <w:rsid w:val="00116EDE"/>
    <w:rsid w:val="00193CC7"/>
    <w:rsid w:val="001A4EDA"/>
    <w:rsid w:val="001B5282"/>
    <w:rsid w:val="001C5212"/>
    <w:rsid w:val="00224663"/>
    <w:rsid w:val="0027781A"/>
    <w:rsid w:val="002C3E1A"/>
    <w:rsid w:val="002E05A2"/>
    <w:rsid w:val="002F12DC"/>
    <w:rsid w:val="00375414"/>
    <w:rsid w:val="00375B74"/>
    <w:rsid w:val="003842FF"/>
    <w:rsid w:val="00390DFA"/>
    <w:rsid w:val="00391FAE"/>
    <w:rsid w:val="004779C3"/>
    <w:rsid w:val="004A1263"/>
    <w:rsid w:val="004D7741"/>
    <w:rsid w:val="00515AF9"/>
    <w:rsid w:val="005612B3"/>
    <w:rsid w:val="0061425D"/>
    <w:rsid w:val="00615ABD"/>
    <w:rsid w:val="00675877"/>
    <w:rsid w:val="006A0A5B"/>
    <w:rsid w:val="006F3A6D"/>
    <w:rsid w:val="007159A6"/>
    <w:rsid w:val="0072080D"/>
    <w:rsid w:val="0074114A"/>
    <w:rsid w:val="007A66EE"/>
    <w:rsid w:val="007B2A86"/>
    <w:rsid w:val="007D6C23"/>
    <w:rsid w:val="007E31B2"/>
    <w:rsid w:val="007F57B7"/>
    <w:rsid w:val="00822172"/>
    <w:rsid w:val="00837E2D"/>
    <w:rsid w:val="00853FF1"/>
    <w:rsid w:val="00875065"/>
    <w:rsid w:val="008948B8"/>
    <w:rsid w:val="008A476D"/>
    <w:rsid w:val="008D50A7"/>
    <w:rsid w:val="00914DB1"/>
    <w:rsid w:val="00935B3D"/>
    <w:rsid w:val="0094282D"/>
    <w:rsid w:val="00987D4E"/>
    <w:rsid w:val="009E0606"/>
    <w:rsid w:val="00A006A6"/>
    <w:rsid w:val="00A234D5"/>
    <w:rsid w:val="00A248FA"/>
    <w:rsid w:val="00A3763F"/>
    <w:rsid w:val="00A63687"/>
    <w:rsid w:val="00A75E9E"/>
    <w:rsid w:val="00A95C0C"/>
    <w:rsid w:val="00AB2BBB"/>
    <w:rsid w:val="00AB3FAE"/>
    <w:rsid w:val="00AB512B"/>
    <w:rsid w:val="00AB53BC"/>
    <w:rsid w:val="00B14E63"/>
    <w:rsid w:val="00B426C3"/>
    <w:rsid w:val="00B706DA"/>
    <w:rsid w:val="00B76DDA"/>
    <w:rsid w:val="00B874FA"/>
    <w:rsid w:val="00BC5FD2"/>
    <w:rsid w:val="00BE0A0C"/>
    <w:rsid w:val="00BE223C"/>
    <w:rsid w:val="00BE4C4A"/>
    <w:rsid w:val="00BF6921"/>
    <w:rsid w:val="00C11C1C"/>
    <w:rsid w:val="00C27F92"/>
    <w:rsid w:val="00C35DA2"/>
    <w:rsid w:val="00C427D1"/>
    <w:rsid w:val="00C736C6"/>
    <w:rsid w:val="00C77B89"/>
    <w:rsid w:val="00CA03D5"/>
    <w:rsid w:val="00CC6276"/>
    <w:rsid w:val="00D1284C"/>
    <w:rsid w:val="00D32A47"/>
    <w:rsid w:val="00D35F4C"/>
    <w:rsid w:val="00D379D2"/>
    <w:rsid w:val="00DA3838"/>
    <w:rsid w:val="00DA3E48"/>
    <w:rsid w:val="00DE0C0E"/>
    <w:rsid w:val="00DF5972"/>
    <w:rsid w:val="00E21FC5"/>
    <w:rsid w:val="00E53C78"/>
    <w:rsid w:val="00E9230F"/>
    <w:rsid w:val="00EB0D06"/>
    <w:rsid w:val="00EB16A3"/>
    <w:rsid w:val="00ED18BA"/>
    <w:rsid w:val="00F33A6E"/>
    <w:rsid w:val="00F729CF"/>
    <w:rsid w:val="00F97498"/>
    <w:rsid w:val="00FA5FF4"/>
    <w:rsid w:val="00FA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enu v:ext="edit" fillcolor="none"/>
    </o:shapedefaults>
    <o:shapelayout v:ext="edit">
      <o:idmap v:ext="edit" data="1"/>
    </o:shapelayout>
  </w:shapeDefaults>
  <w:decimalSymbol w:val=","/>
  <w:listSeparator w:val=";"/>
  <w14:docId w14:val="1A6CD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9D2"/>
    <w:pPr>
      <w:spacing w:after="12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C5FD2"/>
    <w:pPr>
      <w:keepNext/>
      <w:keepLines/>
      <w:spacing w:before="240" w:after="240"/>
      <w:ind w:left="720" w:hanging="720"/>
      <w:outlineLvl w:val="0"/>
    </w:pPr>
    <w:rPr>
      <w:rFonts w:eastAsia="Arial" w:cs="Arial"/>
      <w:b/>
      <w:color w:val="800000"/>
      <w:sz w:val="28"/>
      <w:szCs w:val="40"/>
    </w:rPr>
  </w:style>
  <w:style w:type="paragraph" w:styleId="2">
    <w:name w:val="heading 2"/>
    <w:basedOn w:val="a"/>
    <w:next w:val="a"/>
    <w:link w:val="20"/>
    <w:qFormat/>
    <w:pPr>
      <w:widowControl w:val="0"/>
      <w:spacing w:line="240" w:lineRule="auto"/>
      <w:jc w:val="center"/>
      <w:outlineLvl w:val="1"/>
    </w:pPr>
    <w:rPr>
      <w:rFonts w:ascii="Arial" w:eastAsia="MS Gothic" w:hAnsi="Arial"/>
      <w:b/>
      <w:sz w:val="28"/>
      <w:szCs w:val="20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FD2"/>
    <w:rPr>
      <w:rFonts w:ascii="Times New Roman" w:eastAsia="Arial" w:hAnsi="Times New Roman" w:cs="Arial"/>
      <w:b/>
      <w:color w:val="800000"/>
      <w:sz w:val="28"/>
      <w:szCs w:val="40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basedOn w:val="a1"/>
    <w:uiPriority w:val="99"/>
    <w:tblPr>
      <w:tblStyleRowBandSize w:val="1"/>
      <w:tblStyleColBandSize w:val="1"/>
      <w:tblBorders>
        <w:top w:val="single" w:sz="4" w:space="0" w:color="DCE6DC" w:themeColor="light1"/>
        <w:left w:val="single" w:sz="4" w:space="0" w:color="DCE6DC" w:themeColor="light1"/>
        <w:bottom w:val="single" w:sz="4" w:space="0" w:color="DCE6DC" w:themeColor="light1"/>
        <w:right w:val="single" w:sz="4" w:space="0" w:color="DCE6DC" w:themeColor="light1"/>
        <w:insideH w:val="single" w:sz="4" w:space="0" w:color="DCE6DC" w:themeColor="light1"/>
        <w:insideV w:val="single" w:sz="4" w:space="0" w:color="DCE6DC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CE6DC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DCE6DC" w:themeColor="light1"/>
        <w:left w:val="single" w:sz="4" w:space="0" w:color="DCE6DC" w:themeColor="light1"/>
        <w:bottom w:val="single" w:sz="4" w:space="0" w:color="DCE6DC" w:themeColor="light1"/>
        <w:right w:val="single" w:sz="4" w:space="0" w:color="DCE6DC" w:themeColor="light1"/>
        <w:insideH w:val="single" w:sz="4" w:space="0" w:color="DCE6DC" w:themeColor="light1"/>
        <w:insideV w:val="single" w:sz="4" w:space="0" w:color="DCE6DC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CE6DC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DCE6DC" w:themeColor="light1"/>
        <w:left w:val="single" w:sz="4" w:space="0" w:color="DCE6DC" w:themeColor="light1"/>
        <w:bottom w:val="single" w:sz="4" w:space="0" w:color="DCE6DC" w:themeColor="light1"/>
        <w:right w:val="single" w:sz="4" w:space="0" w:color="DCE6DC" w:themeColor="light1"/>
        <w:insideH w:val="single" w:sz="4" w:space="0" w:color="DCE6DC" w:themeColor="light1"/>
        <w:insideV w:val="single" w:sz="4" w:space="0" w:color="DCE6DC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CE6DC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DCE6DC" w:themeColor="light1"/>
        <w:left w:val="single" w:sz="4" w:space="0" w:color="DCE6DC" w:themeColor="light1"/>
        <w:bottom w:val="single" w:sz="4" w:space="0" w:color="DCE6DC" w:themeColor="light1"/>
        <w:right w:val="single" w:sz="4" w:space="0" w:color="DCE6DC" w:themeColor="light1"/>
        <w:insideH w:val="single" w:sz="4" w:space="0" w:color="DCE6DC" w:themeColor="light1"/>
        <w:insideV w:val="single" w:sz="4" w:space="0" w:color="DCE6DC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CE6DC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DCE6DC" w:themeColor="light1"/>
        <w:left w:val="single" w:sz="4" w:space="0" w:color="DCE6DC" w:themeColor="light1"/>
        <w:bottom w:val="single" w:sz="4" w:space="0" w:color="DCE6DC" w:themeColor="light1"/>
        <w:right w:val="single" w:sz="4" w:space="0" w:color="DCE6DC" w:themeColor="light1"/>
        <w:insideH w:val="single" w:sz="4" w:space="0" w:color="DCE6DC" w:themeColor="light1"/>
        <w:insideV w:val="single" w:sz="4" w:space="0" w:color="DCE6DC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CE6DC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DCE6DC" w:themeColor="light1"/>
        <w:left w:val="single" w:sz="4" w:space="0" w:color="DCE6DC" w:themeColor="light1"/>
        <w:bottom w:val="single" w:sz="4" w:space="0" w:color="DCE6DC" w:themeColor="light1"/>
        <w:right w:val="single" w:sz="4" w:space="0" w:color="DCE6DC" w:themeColor="light1"/>
        <w:insideH w:val="single" w:sz="4" w:space="0" w:color="DCE6DC" w:themeColor="light1"/>
        <w:insideV w:val="single" w:sz="4" w:space="0" w:color="DCE6DC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CE6DC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DCE6DC" w:themeColor="light1"/>
        <w:left w:val="single" w:sz="4" w:space="0" w:color="DCE6DC" w:themeColor="light1"/>
        <w:bottom w:val="single" w:sz="4" w:space="0" w:color="DCE6DC" w:themeColor="light1"/>
        <w:right w:val="single" w:sz="4" w:space="0" w:color="DCE6DC" w:themeColor="light1"/>
        <w:insideH w:val="single" w:sz="4" w:space="0" w:color="DCE6DC" w:themeColor="light1"/>
        <w:insideV w:val="single" w:sz="4" w:space="0" w:color="DCE6DC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CE6DC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DCE6DC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DCE6DC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DCE6DC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DCE6DC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DCE6DC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DCE6DC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DCE6DC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DCE6DC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DCE6DC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DCE6DC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DCE6DC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DCE6DC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DCE6DC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DCE6DC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DCE6DC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DCE6DC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DCE6DC" w:themeColor="light1"/>
        <w:sz w:val="22"/>
      </w:rPr>
    </w:tblStylePr>
    <w:tblStylePr w:type="firstCol">
      <w:rPr>
        <w:rFonts w:ascii="Arial" w:hAnsi="Arial"/>
        <w:b/>
        <w:color w:val="DCE6DC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DCE6DC" w:themeColor="light1"/>
        </w:tcBorders>
      </w:tcPr>
    </w:tblStylePr>
    <w:tblStylePr w:type="lastCol">
      <w:tblPr/>
      <w:tcPr>
        <w:tcBorders>
          <w:left w:val="single" w:sz="4" w:space="0" w:color="DCE6DC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DCE6DC" w:themeColor="light1"/>
          <w:right w:val="single" w:sz="4" w:space="0" w:color="DCE6DC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DCE6DC" w:themeColor="light1"/>
          <w:right w:val="single" w:sz="4" w:space="0" w:color="DCE6DC" w:themeColor="light1"/>
        </w:tcBorders>
      </w:tcPr>
    </w:tblStylePr>
    <w:tblStylePr w:type="band1Horz">
      <w:tblPr/>
      <w:tcPr>
        <w:tcBorders>
          <w:top w:val="single" w:sz="4" w:space="0" w:color="DCE6DC" w:themeColor="light1"/>
          <w:bottom w:val="single" w:sz="4" w:space="0" w:color="DCE6DC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DCE6DC" w:themeColor="light1"/>
          <w:bottom w:val="single" w:sz="4" w:space="0" w:color="DCE6DC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DCE6DC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DCE6DC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DCE6DC" w:themeColor="light1"/>
        <w:sz w:val="22"/>
      </w:rPr>
    </w:tblStylePr>
    <w:tblStylePr w:type="firstCol">
      <w:rPr>
        <w:rFonts w:ascii="Arial" w:hAnsi="Arial"/>
        <w:b/>
        <w:color w:val="DCE6DC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DCE6DC" w:themeColor="light1"/>
        </w:tcBorders>
      </w:tcPr>
    </w:tblStylePr>
    <w:tblStylePr w:type="lastCol">
      <w:tblPr/>
      <w:tcPr>
        <w:tcBorders>
          <w:left w:val="single" w:sz="4" w:space="0" w:color="DCE6DC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DCE6DC" w:themeColor="light1"/>
          <w:right w:val="single" w:sz="4" w:space="0" w:color="DCE6DC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DCE6DC" w:themeColor="light1"/>
          <w:right w:val="single" w:sz="4" w:space="0" w:color="DCE6DC" w:themeColor="light1"/>
        </w:tcBorders>
      </w:tcPr>
    </w:tblStylePr>
    <w:tblStylePr w:type="band1Horz">
      <w:tblPr/>
      <w:tcPr>
        <w:tcBorders>
          <w:top w:val="single" w:sz="4" w:space="0" w:color="DCE6DC" w:themeColor="light1"/>
          <w:bottom w:val="single" w:sz="4" w:space="0" w:color="DCE6DC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DCE6DC" w:themeColor="light1"/>
          <w:bottom w:val="single" w:sz="4" w:space="0" w:color="DCE6DC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DCE6DC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DCE6DC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DCE6DC" w:themeColor="light1"/>
        <w:sz w:val="22"/>
      </w:rPr>
    </w:tblStylePr>
    <w:tblStylePr w:type="firstCol">
      <w:rPr>
        <w:rFonts w:ascii="Arial" w:hAnsi="Arial"/>
        <w:b/>
        <w:color w:val="DCE6DC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DCE6DC" w:themeColor="light1"/>
        </w:tcBorders>
      </w:tcPr>
    </w:tblStylePr>
    <w:tblStylePr w:type="lastCol">
      <w:tblPr/>
      <w:tcPr>
        <w:tcBorders>
          <w:left w:val="single" w:sz="4" w:space="0" w:color="DCE6DC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DCE6DC" w:themeColor="light1"/>
          <w:right w:val="single" w:sz="4" w:space="0" w:color="DCE6DC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DCE6DC" w:themeColor="light1"/>
          <w:right w:val="single" w:sz="4" w:space="0" w:color="DCE6DC" w:themeColor="light1"/>
        </w:tcBorders>
      </w:tcPr>
    </w:tblStylePr>
    <w:tblStylePr w:type="band1Horz">
      <w:tblPr/>
      <w:tcPr>
        <w:tcBorders>
          <w:top w:val="single" w:sz="4" w:space="0" w:color="DCE6DC" w:themeColor="light1"/>
          <w:bottom w:val="single" w:sz="4" w:space="0" w:color="DCE6DC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DCE6DC" w:themeColor="light1"/>
          <w:bottom w:val="single" w:sz="4" w:space="0" w:color="DCE6DC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DCE6DC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DCE6DC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DCE6DC" w:themeColor="light1"/>
        <w:sz w:val="22"/>
      </w:rPr>
    </w:tblStylePr>
    <w:tblStylePr w:type="firstCol">
      <w:rPr>
        <w:rFonts w:ascii="Arial" w:hAnsi="Arial"/>
        <w:b/>
        <w:color w:val="DCE6DC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DCE6DC" w:themeColor="light1"/>
        </w:tcBorders>
      </w:tcPr>
    </w:tblStylePr>
    <w:tblStylePr w:type="lastCol">
      <w:tblPr/>
      <w:tcPr>
        <w:tcBorders>
          <w:left w:val="single" w:sz="4" w:space="0" w:color="DCE6DC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DCE6DC" w:themeColor="light1"/>
          <w:right w:val="single" w:sz="4" w:space="0" w:color="DCE6DC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DCE6DC" w:themeColor="light1"/>
          <w:right w:val="single" w:sz="4" w:space="0" w:color="DCE6DC" w:themeColor="light1"/>
        </w:tcBorders>
      </w:tcPr>
    </w:tblStylePr>
    <w:tblStylePr w:type="band1Horz">
      <w:tblPr/>
      <w:tcPr>
        <w:tcBorders>
          <w:top w:val="single" w:sz="4" w:space="0" w:color="DCE6DC" w:themeColor="light1"/>
          <w:bottom w:val="single" w:sz="4" w:space="0" w:color="DCE6DC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DCE6DC" w:themeColor="light1"/>
          <w:bottom w:val="single" w:sz="4" w:space="0" w:color="DCE6DC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DCE6DC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DCE6DC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DCE6DC" w:themeColor="light1"/>
        <w:sz w:val="22"/>
      </w:rPr>
    </w:tblStylePr>
    <w:tblStylePr w:type="firstCol">
      <w:rPr>
        <w:rFonts w:ascii="Arial" w:hAnsi="Arial"/>
        <w:b/>
        <w:color w:val="DCE6DC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DCE6DC" w:themeColor="light1"/>
        </w:tcBorders>
      </w:tcPr>
    </w:tblStylePr>
    <w:tblStylePr w:type="lastCol">
      <w:tblPr/>
      <w:tcPr>
        <w:tcBorders>
          <w:left w:val="single" w:sz="4" w:space="0" w:color="DCE6DC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DCE6DC" w:themeColor="light1"/>
          <w:right w:val="single" w:sz="4" w:space="0" w:color="DCE6DC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DCE6DC" w:themeColor="light1"/>
          <w:right w:val="single" w:sz="4" w:space="0" w:color="DCE6DC" w:themeColor="light1"/>
        </w:tcBorders>
      </w:tcPr>
    </w:tblStylePr>
    <w:tblStylePr w:type="band1Horz">
      <w:tblPr/>
      <w:tcPr>
        <w:tcBorders>
          <w:top w:val="single" w:sz="4" w:space="0" w:color="DCE6DC" w:themeColor="light1"/>
          <w:bottom w:val="single" w:sz="4" w:space="0" w:color="DCE6DC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DCE6DC" w:themeColor="light1"/>
          <w:bottom w:val="single" w:sz="4" w:space="0" w:color="DCE6DC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DCE6DC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DCE6DC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DCE6DC" w:themeColor="light1"/>
        <w:sz w:val="22"/>
      </w:rPr>
    </w:tblStylePr>
    <w:tblStylePr w:type="firstCol">
      <w:rPr>
        <w:rFonts w:ascii="Arial" w:hAnsi="Arial"/>
        <w:b/>
        <w:color w:val="DCE6DC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DCE6DC" w:themeColor="light1"/>
        </w:tcBorders>
      </w:tcPr>
    </w:tblStylePr>
    <w:tblStylePr w:type="lastCol">
      <w:tblPr/>
      <w:tcPr>
        <w:tcBorders>
          <w:left w:val="single" w:sz="4" w:space="0" w:color="DCE6DC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DCE6DC" w:themeColor="light1"/>
          <w:right w:val="single" w:sz="4" w:space="0" w:color="DCE6DC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DCE6DC" w:themeColor="light1"/>
          <w:right w:val="single" w:sz="4" w:space="0" w:color="DCE6DC" w:themeColor="light1"/>
        </w:tcBorders>
      </w:tcPr>
    </w:tblStylePr>
    <w:tblStylePr w:type="band1Horz">
      <w:tblPr/>
      <w:tcPr>
        <w:tcBorders>
          <w:top w:val="single" w:sz="4" w:space="0" w:color="DCE6DC" w:themeColor="light1"/>
          <w:bottom w:val="single" w:sz="4" w:space="0" w:color="DCE6DC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DCE6DC" w:themeColor="light1"/>
          <w:bottom w:val="single" w:sz="4" w:space="0" w:color="DCE6DC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DCE6DC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DCE6DC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DCE6DC" w:themeColor="light1"/>
        <w:sz w:val="22"/>
      </w:rPr>
    </w:tblStylePr>
    <w:tblStylePr w:type="firstCol">
      <w:rPr>
        <w:rFonts w:ascii="Arial" w:hAnsi="Arial"/>
        <w:b/>
        <w:color w:val="DCE6DC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DCE6DC" w:themeColor="light1"/>
        </w:tcBorders>
      </w:tcPr>
    </w:tblStylePr>
    <w:tblStylePr w:type="lastCol">
      <w:tblPr/>
      <w:tcPr>
        <w:tcBorders>
          <w:left w:val="single" w:sz="4" w:space="0" w:color="DCE6DC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DCE6DC" w:themeColor="light1"/>
          <w:right w:val="single" w:sz="4" w:space="0" w:color="DCE6DC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DCE6DC" w:themeColor="light1"/>
          <w:right w:val="single" w:sz="4" w:space="0" w:color="DCE6DC" w:themeColor="light1"/>
        </w:tcBorders>
      </w:tcPr>
    </w:tblStylePr>
    <w:tblStylePr w:type="band1Horz">
      <w:tblPr/>
      <w:tcPr>
        <w:tcBorders>
          <w:top w:val="single" w:sz="4" w:space="0" w:color="DCE6DC" w:themeColor="light1"/>
          <w:bottom w:val="single" w:sz="4" w:space="0" w:color="DCE6DC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DCE6DC" w:themeColor="light1"/>
          <w:bottom w:val="single" w:sz="4" w:space="0" w:color="DCE6DC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DCE6DC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DCE6DC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DCE6DC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DCE6DC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DCE6DC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DCE6DC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DCE6DC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DCE6DC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DCE6DC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DCE6DC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DCE6DC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DCE6DC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DCE6DC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DCE6DC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de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de-CH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de-CH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de-CH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de-CH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de-CH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de-CH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hAnsi="Tahoma" w:cs="Tahoma"/>
      <w:sz w:val="16"/>
      <w:szCs w:val="16"/>
      <w:lang w:val="ru-RU" w:eastAsia="en-US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Pr>
      <w:lang w:val="ru-RU"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b/>
      <w:bCs/>
      <w:lang w:val="ru-RU" w:eastAsia="en-US"/>
    </w:rPr>
  </w:style>
  <w:style w:type="paragraph" w:styleId="af8">
    <w:name w:val="header"/>
    <w:basedOn w:val="a"/>
    <w:link w:val="af9"/>
    <w:uiPriority w:val="99"/>
    <w:unhideWhenUsed/>
    <w:pPr>
      <w:tabs>
        <w:tab w:val="center" w:pos="4513"/>
        <w:tab w:val="right" w:pos="9026"/>
      </w:tabs>
    </w:pPr>
  </w:style>
  <w:style w:type="character" w:customStyle="1" w:styleId="af9">
    <w:name w:val="Верхний колонтитул Знак"/>
    <w:link w:val="af8"/>
    <w:uiPriority w:val="99"/>
    <w:rPr>
      <w:sz w:val="22"/>
      <w:szCs w:val="22"/>
      <w:lang w:val="ru-RU" w:eastAsia="en-US"/>
    </w:rPr>
  </w:style>
  <w:style w:type="paragraph" w:styleId="afa">
    <w:name w:val="footer"/>
    <w:basedOn w:val="a"/>
    <w:link w:val="afb"/>
    <w:uiPriority w:val="99"/>
    <w:unhideWhenUsed/>
    <w:pPr>
      <w:tabs>
        <w:tab w:val="center" w:pos="4513"/>
        <w:tab w:val="right" w:pos="9026"/>
      </w:tabs>
    </w:pPr>
  </w:style>
  <w:style w:type="character" w:customStyle="1" w:styleId="afb">
    <w:name w:val="Нижний колонтитул Знак"/>
    <w:link w:val="afa"/>
    <w:uiPriority w:val="99"/>
    <w:rPr>
      <w:sz w:val="22"/>
      <w:szCs w:val="22"/>
      <w:lang w:val="ru-RU" w:eastAsia="en-US"/>
    </w:rPr>
  </w:style>
  <w:style w:type="character" w:customStyle="1" w:styleId="highlight">
    <w:name w:val="highlight"/>
  </w:style>
  <w:style w:type="paragraph" w:styleId="afc">
    <w:name w:val="Revision"/>
    <w:hidden/>
    <w:uiPriority w:val="99"/>
    <w:semiHidden/>
    <w:rPr>
      <w:sz w:val="22"/>
    </w:rPr>
  </w:style>
  <w:style w:type="character" w:customStyle="1" w:styleId="st">
    <w:name w:val="st"/>
  </w:style>
  <w:style w:type="paragraph" w:customStyle="1" w:styleId="EndNoteBibliography">
    <w:name w:val="EndNote Bibliography"/>
    <w:basedOn w:val="a"/>
    <w:link w:val="EndNoteBibliographyZchn"/>
    <w:pPr>
      <w:spacing w:after="160" w:line="240" w:lineRule="auto"/>
      <w:jc w:val="both"/>
    </w:pPr>
    <w:rPr>
      <w:rFonts w:ascii="Arial" w:eastAsia="SimSun" w:hAnsi="Arial" w:cs="Arial"/>
      <w:lang w:eastAsia="ja-JP"/>
    </w:rPr>
  </w:style>
  <w:style w:type="character" w:customStyle="1" w:styleId="EndNoteBibliographyZchn">
    <w:name w:val="EndNote Bibliography Zchn"/>
    <w:link w:val="EndNoteBibliography"/>
    <w:rPr>
      <w:rFonts w:ascii="Arial" w:eastAsia="SimSun" w:hAnsi="Arial" w:cs="Arial"/>
      <w:sz w:val="22"/>
      <w:szCs w:val="22"/>
      <w:lang w:val="ru-RU" w:eastAsia="ja-JP"/>
    </w:rPr>
  </w:style>
  <w:style w:type="character" w:customStyle="1" w:styleId="20">
    <w:name w:val="Заголовок 2 Знак"/>
    <w:link w:val="2"/>
    <w:rPr>
      <w:rFonts w:ascii="Arial" w:eastAsia="MS Gothic" w:hAnsi="Arial"/>
      <w:b/>
      <w:sz w:val="28"/>
      <w:lang w:val="ru-RU" w:eastAsia="en-GB"/>
    </w:rPr>
  </w:style>
  <w:style w:type="character" w:styleId="afd">
    <w:name w:val="page number"/>
    <w:basedOn w:val="a0"/>
    <w:uiPriority w:val="99"/>
    <w:semiHidden/>
    <w:unhideWhenUsed/>
    <w:rsid w:val="00C27F92"/>
  </w:style>
  <w:style w:type="paragraph" w:customStyle="1" w:styleId="Normalbold">
    <w:name w:val="Normal bold"/>
    <w:basedOn w:val="a"/>
    <w:qFormat/>
    <w:rsid w:val="00E53C7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/>
    </w:pPr>
    <w:rPr>
      <w:b/>
      <w:lang w:eastAsia="ja-JP"/>
    </w:rPr>
  </w:style>
  <w:style w:type="paragraph" w:customStyle="1" w:styleId="Headgeneral">
    <w:name w:val="Head general"/>
    <w:basedOn w:val="a"/>
    <w:qFormat/>
    <w:rsid w:val="00E53C7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360" w:lineRule="auto"/>
      <w:jc w:val="center"/>
    </w:pPr>
    <w:rPr>
      <w:rFonts w:eastAsia="MS Gothic" w:cs="Arial"/>
      <w:b/>
      <w:spacing w:val="5"/>
      <w:kern w:val="28"/>
      <w:sz w:val="48"/>
      <w:szCs w:val="48"/>
      <w:lang w:eastAsia="ja-JP"/>
    </w:rPr>
  </w:style>
  <w:style w:type="paragraph" w:customStyle="1" w:styleId="Bulletlist">
    <w:name w:val="Bullet list"/>
    <w:basedOn w:val="a"/>
    <w:qFormat/>
    <w:rsid w:val="00837E2D"/>
    <w:pPr>
      <w:numPr>
        <w:numId w:val="21"/>
      </w:numPr>
    </w:pPr>
  </w:style>
  <w:style w:type="paragraph" w:customStyle="1" w:styleId="Bulletlist2">
    <w:name w:val="Bullet list2"/>
    <w:basedOn w:val="a"/>
    <w:qFormat/>
    <w:rsid w:val="00375B74"/>
    <w:pPr>
      <w:numPr>
        <w:numId w:val="22"/>
      </w:numPr>
    </w:pPr>
  </w:style>
  <w:style w:type="paragraph" w:customStyle="1" w:styleId="Normalboldhead">
    <w:name w:val="Normal bold head"/>
    <w:basedOn w:val="a"/>
    <w:qFormat/>
    <w:rsid w:val="0022466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/>
    </w:pPr>
    <w:rPr>
      <w:b/>
      <w:lang w:eastAsia="ja-JP"/>
    </w:rPr>
  </w:style>
  <w:style w:type="paragraph" w:customStyle="1" w:styleId="Referencelist">
    <w:name w:val="Reference list"/>
    <w:basedOn w:val="a"/>
    <w:qFormat/>
    <w:rsid w:val="00C77B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 w:hanging="720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who.int/iris/handle/10665/2471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CE6D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Props1.xml><?xml version="1.0" encoding="utf-8"?>
<ds:datastoreItem xmlns:ds="http://schemas.openxmlformats.org/officeDocument/2006/customXml" ds:itemID="{1EF93DE1-F5E8-40EA-B335-9939F498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3230</Words>
  <Characters>18414</Characters>
  <Application>Microsoft Office Word</Application>
  <DocSecurity>0</DocSecurity>
  <Lines>153</Lines>
  <Paragraphs>43</Paragraphs>
  <ScaleCrop>false</ScaleCrop>
  <Company/>
  <LinksUpToDate>false</LinksUpToDate>
  <CharactersWithSpaces>21601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2021-03-19T16:37:00Z</dcterms:created>
  <dcterms:modified xsi:type="dcterms:W3CDTF">2021-03-19T22:36:00Z</dcterms:modified>
</cp:coreProperties>
</file>