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98F7" w14:textId="49724964" w:rsidR="00636BBC" w:rsidRDefault="00D76AA3" w:rsidP="00D76AA3">
      <w:pPr>
        <w:pStyle w:val="Title"/>
        <w:jc w:val="center"/>
        <w:rPr>
          <w:sz w:val="32"/>
        </w:rPr>
      </w:pPr>
      <w:r w:rsidRPr="008E1B29">
        <w:rPr>
          <w:sz w:val="32"/>
        </w:rPr>
        <w:t>43</w:t>
      </w:r>
      <w:r w:rsidRPr="008E1B29">
        <w:rPr>
          <w:sz w:val="32"/>
          <w:vertAlign w:val="superscript"/>
        </w:rPr>
        <w:t>rd</w:t>
      </w:r>
      <w:r w:rsidRPr="008E1B29">
        <w:rPr>
          <w:sz w:val="32"/>
        </w:rPr>
        <w:t xml:space="preserve"> Expert Committee on Drug Dependence (ECDD)</w:t>
      </w:r>
      <w:bookmarkStart w:id="0" w:name="_GoBack"/>
      <w:bookmarkEnd w:id="0"/>
    </w:p>
    <w:p w14:paraId="1999BB04" w14:textId="77777777" w:rsidR="000843D0" w:rsidRPr="008E1B29" w:rsidRDefault="000843D0" w:rsidP="000843D0">
      <w:pPr>
        <w:pStyle w:val="Title"/>
        <w:jc w:val="center"/>
        <w:rPr>
          <w:sz w:val="28"/>
        </w:rPr>
      </w:pPr>
      <w:r w:rsidRPr="008E1B29">
        <w:rPr>
          <w:sz w:val="28"/>
        </w:rPr>
        <w:t>12-16 October 2020</w:t>
      </w:r>
    </w:p>
    <w:p w14:paraId="407668A8" w14:textId="77777777" w:rsidR="000843D0" w:rsidRPr="000843D0" w:rsidRDefault="000843D0" w:rsidP="000843D0">
      <w:pPr>
        <w:spacing w:after="0"/>
      </w:pPr>
    </w:p>
    <w:p w14:paraId="5AAFEC54" w14:textId="0D99C122" w:rsidR="00D76AA3" w:rsidRPr="000843D0" w:rsidRDefault="00D76AA3" w:rsidP="000843D0">
      <w:pPr>
        <w:pStyle w:val="Title"/>
        <w:jc w:val="center"/>
        <w:rPr>
          <w:b/>
          <w:color w:val="1F3864" w:themeColor="accent1" w:themeShade="80"/>
          <w:sz w:val="32"/>
        </w:rPr>
      </w:pPr>
      <w:r w:rsidRPr="000843D0">
        <w:rPr>
          <w:b/>
          <w:color w:val="1F3864" w:themeColor="accent1" w:themeShade="80"/>
          <w:sz w:val="32"/>
        </w:rPr>
        <w:t>Substances for review</w:t>
      </w:r>
    </w:p>
    <w:p w14:paraId="4166B861" w14:textId="77777777" w:rsidR="008E1B29" w:rsidRPr="008E1B29" w:rsidRDefault="008E1B29" w:rsidP="000843D0">
      <w:pPr>
        <w:spacing w:after="0"/>
        <w:rPr>
          <w:sz w:val="12"/>
          <w:szCs w:val="12"/>
        </w:rPr>
      </w:pPr>
    </w:p>
    <w:p w14:paraId="48260319" w14:textId="1DD6D2F9" w:rsidR="00A30C59" w:rsidRPr="008E1B29" w:rsidRDefault="00A30C59" w:rsidP="008E1B29">
      <w:pPr>
        <w:rPr>
          <w:rFonts w:eastAsia="Calibri" w:cs="Times New Roman"/>
          <w:lang w:val="en-AU"/>
        </w:rPr>
      </w:pPr>
      <w:r>
        <w:rPr>
          <w:rFonts w:eastAsia="Calibri" w:cs="Times New Roman"/>
        </w:rPr>
        <w:t>The substances</w:t>
      </w:r>
      <w:r>
        <w:rPr>
          <w:rFonts w:eastAsia="Calibri" w:cs="Times New Roman"/>
          <w:lang w:val="en-AU"/>
        </w:rPr>
        <w:t xml:space="preserve"> </w:t>
      </w:r>
      <w:r w:rsidR="00F02846">
        <w:rPr>
          <w:rFonts w:eastAsia="Calibri" w:cs="Times New Roman"/>
        </w:rPr>
        <w:t xml:space="preserve">listed below </w:t>
      </w:r>
      <w:r>
        <w:rPr>
          <w:rFonts w:eastAsia="Calibri" w:cs="Times New Roman"/>
          <w:lang w:val="en-AU"/>
        </w:rPr>
        <w:t>ha</w:t>
      </w:r>
      <w:r w:rsidR="00BC58CA">
        <w:rPr>
          <w:rFonts w:eastAsia="Calibri" w:cs="Times New Roman"/>
        </w:rPr>
        <w:t>ve</w:t>
      </w:r>
      <w:r>
        <w:rPr>
          <w:rFonts w:eastAsia="Calibri" w:cs="Times New Roman"/>
          <w:lang w:val="en-AU"/>
        </w:rPr>
        <w:t xml:space="preserve"> never been formally reviewed by WHO and </w:t>
      </w:r>
      <w:r>
        <w:rPr>
          <w:rFonts w:eastAsia="Calibri" w:cs="Times New Roman"/>
        </w:rPr>
        <w:t xml:space="preserve">are </w:t>
      </w:r>
      <w:r>
        <w:rPr>
          <w:rFonts w:eastAsia="Calibri" w:cs="Times New Roman"/>
          <w:lang w:val="en-AU"/>
        </w:rPr>
        <w:t xml:space="preserve">not currently under international control. 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lang w:val="en-AU"/>
        </w:rPr>
        <w:t>Information was brought to WHO’s attention that th</w:t>
      </w:r>
      <w:r>
        <w:rPr>
          <w:rFonts w:eastAsia="Calibri" w:cs="Times New Roman"/>
        </w:rPr>
        <w:t>ese</w:t>
      </w:r>
      <w:r>
        <w:rPr>
          <w:rFonts w:eastAsia="Calibri" w:cs="Times New Roman"/>
          <w:lang w:val="en-AU"/>
        </w:rPr>
        <w:t xml:space="preserve"> substance</w:t>
      </w:r>
      <w:r>
        <w:rPr>
          <w:rFonts w:eastAsia="Calibri" w:cs="Times New Roman"/>
        </w:rPr>
        <w:t>s are</w:t>
      </w:r>
      <w:r>
        <w:rPr>
          <w:rFonts w:eastAsia="Calibri" w:cs="Times New Roman"/>
          <w:lang w:val="en-AU"/>
        </w:rPr>
        <w:t xml:space="preserve"> clandestinely manufactured, of especially serious risk to public health and society, and of no recognised therapeutic use by any Party.</w:t>
      </w:r>
    </w:p>
    <w:p w14:paraId="1EE919FB" w14:textId="06FEBEE7" w:rsidR="00AA45FB" w:rsidRDefault="00AA45FB" w:rsidP="008E1B29">
      <w:pPr>
        <w:pStyle w:val="Heading2"/>
        <w:pBdr>
          <w:top w:val="single" w:sz="4" w:space="1" w:color="auto"/>
        </w:pBdr>
        <w:shd w:val="clear" w:color="auto" w:fill="EEE5FF"/>
        <w:jc w:val="center"/>
        <w:rPr>
          <w:color w:val="auto"/>
          <w:sz w:val="24"/>
          <w:szCs w:val="24"/>
        </w:rPr>
      </w:pPr>
      <w:r w:rsidRPr="00DC6EF1">
        <w:rPr>
          <w:color w:val="auto"/>
          <w:sz w:val="24"/>
          <w:szCs w:val="24"/>
        </w:rPr>
        <w:t>Synthetic opioids</w:t>
      </w:r>
      <w:r w:rsidR="00DC5614">
        <w:rPr>
          <w:color w:val="auto"/>
          <w:sz w:val="24"/>
          <w:szCs w:val="24"/>
        </w:rPr>
        <w:t xml:space="preserve"> </w:t>
      </w:r>
    </w:p>
    <w:p w14:paraId="765C693E" w14:textId="7A46BE48" w:rsidR="00DC5614" w:rsidRPr="00DC5614" w:rsidRDefault="00DC5614" w:rsidP="00DC5614">
      <w:pPr>
        <w:rPr>
          <w:i/>
        </w:rPr>
      </w:pPr>
      <w:r w:rsidRPr="00DC5614">
        <w:rPr>
          <w:i/>
        </w:rPr>
        <w:t>Critical review:</w:t>
      </w:r>
    </w:p>
    <w:p w14:paraId="01C31A37" w14:textId="77777777" w:rsidR="004021D5" w:rsidRDefault="002B0CAD" w:rsidP="00AA45FB">
      <w:pPr>
        <w:pStyle w:val="Heading3"/>
      </w:pPr>
      <w:proofErr w:type="spellStart"/>
      <w:r w:rsidRPr="00AA45FB">
        <w:t>Isotonitazene</w:t>
      </w:r>
      <w:proofErr w:type="spellEnd"/>
    </w:p>
    <w:p w14:paraId="0CBDB7D4" w14:textId="33EBC8FB" w:rsidR="008551DF" w:rsidRDefault="003B7928" w:rsidP="000843D0">
      <w:pPr>
        <w:pStyle w:val="Heading2"/>
        <w:pBdr>
          <w:top w:val="single" w:sz="4" w:space="1" w:color="auto"/>
        </w:pBdr>
        <w:shd w:val="clear" w:color="auto" w:fill="EEE5FF"/>
        <w:jc w:val="center"/>
        <w:rPr>
          <w:color w:val="auto"/>
          <w:sz w:val="24"/>
          <w:szCs w:val="24"/>
        </w:rPr>
      </w:pPr>
      <w:r w:rsidRPr="00DC6EF1">
        <w:rPr>
          <w:color w:val="auto"/>
          <w:sz w:val="24"/>
          <w:szCs w:val="24"/>
        </w:rPr>
        <w:t>Synthetic cannabinoid receptor agonists</w:t>
      </w:r>
      <w:r w:rsidR="00DC5614">
        <w:rPr>
          <w:color w:val="auto"/>
          <w:sz w:val="24"/>
          <w:szCs w:val="24"/>
        </w:rPr>
        <w:t xml:space="preserve"> </w:t>
      </w:r>
    </w:p>
    <w:p w14:paraId="778A07A4" w14:textId="62F00544" w:rsidR="00DC5614" w:rsidRPr="00DC5614" w:rsidRDefault="00DC5614" w:rsidP="00DC5614">
      <w:pPr>
        <w:rPr>
          <w:i/>
        </w:rPr>
      </w:pPr>
      <w:r w:rsidRPr="00DC5614">
        <w:rPr>
          <w:i/>
        </w:rPr>
        <w:t>Critical review:</w:t>
      </w:r>
    </w:p>
    <w:p w14:paraId="3A1576AF" w14:textId="7B55B4E6" w:rsidR="00544950" w:rsidRPr="00DC5614" w:rsidRDefault="002B0CAD" w:rsidP="00DC5614">
      <w:pPr>
        <w:pStyle w:val="Heading3"/>
        <w:rPr>
          <w:rFonts w:eastAsia="Calibri"/>
          <w:lang w:val="en-AU"/>
        </w:rPr>
      </w:pPr>
      <w:r w:rsidRPr="00DB7AF9">
        <w:rPr>
          <w:rFonts w:eastAsia="Calibri"/>
          <w:lang w:val="en-AU"/>
        </w:rPr>
        <w:t>MDMB-4en-PINACA</w:t>
      </w:r>
      <w:r w:rsidR="00D76AA3">
        <w:rPr>
          <w:rFonts w:eastAsia="Calibri"/>
          <w:lang w:val="en-AU"/>
        </w:rPr>
        <w:t xml:space="preserve"> </w:t>
      </w:r>
    </w:p>
    <w:p w14:paraId="34EC6375" w14:textId="034EAC12" w:rsidR="004021D5" w:rsidRDefault="002B0CAD" w:rsidP="00BC58CA">
      <w:pPr>
        <w:pStyle w:val="Heading3"/>
        <w:rPr>
          <w:rFonts w:eastAsia="Calibri"/>
          <w:lang w:val="en-AU"/>
        </w:rPr>
      </w:pPr>
      <w:r w:rsidRPr="00DB7AF9">
        <w:rPr>
          <w:rFonts w:eastAsia="Calibri"/>
          <w:lang w:val="en-AU"/>
        </w:rPr>
        <w:t>CUMYL-PEGACLONE</w:t>
      </w:r>
    </w:p>
    <w:p w14:paraId="6B5E139C" w14:textId="635264A4" w:rsidR="00C65FA1" w:rsidRDefault="00181C57" w:rsidP="000843D0">
      <w:pPr>
        <w:pStyle w:val="Heading2"/>
        <w:pBdr>
          <w:top w:val="single" w:sz="4" w:space="1" w:color="auto"/>
        </w:pBdr>
        <w:shd w:val="clear" w:color="auto" w:fill="EEE5FF"/>
        <w:jc w:val="center"/>
        <w:rPr>
          <w:color w:val="auto"/>
          <w:sz w:val="24"/>
          <w:szCs w:val="24"/>
        </w:rPr>
      </w:pPr>
      <w:r w:rsidRPr="00DC6EF1">
        <w:rPr>
          <w:color w:val="auto"/>
          <w:sz w:val="24"/>
          <w:szCs w:val="24"/>
        </w:rPr>
        <w:t>Benzodiazepines</w:t>
      </w:r>
      <w:r w:rsidR="00DC5614">
        <w:rPr>
          <w:color w:val="auto"/>
          <w:sz w:val="24"/>
          <w:szCs w:val="24"/>
        </w:rPr>
        <w:t xml:space="preserve"> </w:t>
      </w:r>
    </w:p>
    <w:p w14:paraId="048BEB1D" w14:textId="07BC7147" w:rsidR="00DC5614" w:rsidRPr="00DC5614" w:rsidRDefault="00DC5614" w:rsidP="00DC5614">
      <w:pPr>
        <w:rPr>
          <w:i/>
        </w:rPr>
      </w:pPr>
      <w:r w:rsidRPr="00DC5614">
        <w:rPr>
          <w:i/>
        </w:rPr>
        <w:t>Critical review:</w:t>
      </w:r>
    </w:p>
    <w:p w14:paraId="027C794E" w14:textId="55AF27F5" w:rsidR="002B0CAD" w:rsidRDefault="002B0CAD" w:rsidP="00181C57">
      <w:pPr>
        <w:pStyle w:val="Heading3"/>
        <w:rPr>
          <w:rFonts w:eastAsia="Calibri"/>
          <w:lang w:val="en-AU"/>
        </w:rPr>
      </w:pPr>
      <w:proofErr w:type="spellStart"/>
      <w:r w:rsidRPr="00DB7AF9">
        <w:rPr>
          <w:rFonts w:eastAsia="Calibri"/>
          <w:lang w:val="en-AU"/>
        </w:rPr>
        <w:t>Flubromazolam</w:t>
      </w:r>
      <w:proofErr w:type="spellEnd"/>
    </w:p>
    <w:p w14:paraId="7C464E78" w14:textId="1A041526" w:rsidR="002B0CAD" w:rsidRDefault="002B0CAD" w:rsidP="00181C57">
      <w:pPr>
        <w:pStyle w:val="Heading3"/>
      </w:pPr>
      <w:proofErr w:type="spellStart"/>
      <w:r w:rsidRPr="00181C57">
        <w:t>Clonazolam</w:t>
      </w:r>
      <w:proofErr w:type="spellEnd"/>
    </w:p>
    <w:p w14:paraId="72C61017" w14:textId="4D57FEC7" w:rsidR="00535F9A" w:rsidRDefault="00535F9A" w:rsidP="00D76AA3">
      <w:pPr>
        <w:pStyle w:val="Heading3"/>
      </w:pPr>
      <w:proofErr w:type="spellStart"/>
      <w:r w:rsidRPr="00D76AA3">
        <w:t>Diclazepam</w:t>
      </w:r>
      <w:proofErr w:type="spellEnd"/>
    </w:p>
    <w:p w14:paraId="6A8AFCEE" w14:textId="58030AA6" w:rsidR="0042401C" w:rsidRDefault="0042401C" w:rsidP="000843D0">
      <w:pPr>
        <w:pStyle w:val="Heading2"/>
        <w:pBdr>
          <w:top w:val="single" w:sz="4" w:space="1" w:color="auto"/>
        </w:pBdr>
        <w:shd w:val="clear" w:color="auto" w:fill="EEE5FF"/>
        <w:jc w:val="center"/>
        <w:rPr>
          <w:color w:val="auto"/>
          <w:sz w:val="24"/>
          <w:szCs w:val="24"/>
        </w:rPr>
      </w:pPr>
      <w:r w:rsidRPr="00DC6EF1">
        <w:rPr>
          <w:color w:val="auto"/>
          <w:sz w:val="24"/>
          <w:szCs w:val="24"/>
        </w:rPr>
        <w:t>Dissociative-type substances</w:t>
      </w:r>
      <w:r w:rsidR="00DC5614">
        <w:rPr>
          <w:color w:val="auto"/>
          <w:sz w:val="24"/>
          <w:szCs w:val="24"/>
        </w:rPr>
        <w:t xml:space="preserve"> </w:t>
      </w:r>
    </w:p>
    <w:p w14:paraId="4680AAF4" w14:textId="7493752C" w:rsidR="00DC5614" w:rsidRPr="00DC5614" w:rsidRDefault="00DC5614" w:rsidP="00DC5614">
      <w:pPr>
        <w:rPr>
          <w:i/>
        </w:rPr>
      </w:pPr>
      <w:r w:rsidRPr="00DC5614">
        <w:rPr>
          <w:i/>
        </w:rPr>
        <w:t>Critical review:</w:t>
      </w:r>
    </w:p>
    <w:p w14:paraId="39DCDA5A" w14:textId="06230627" w:rsidR="00CA5E28" w:rsidRPr="00DC5614" w:rsidRDefault="002B0CAD" w:rsidP="00DC5614">
      <w:pPr>
        <w:pStyle w:val="Heading3"/>
        <w:rPr>
          <w:rFonts w:eastAsia="Calibri"/>
          <w:lang w:val="en-AU"/>
        </w:rPr>
      </w:pPr>
      <w:r w:rsidRPr="00DB7AF9">
        <w:rPr>
          <w:rFonts w:eastAsia="Calibri"/>
          <w:lang w:val="en-AU"/>
        </w:rPr>
        <w:t>3-MeO-PCP</w:t>
      </w:r>
      <w:r w:rsidR="00112201" w:rsidRPr="00DC5614">
        <w:rPr>
          <w:rFonts w:eastAsia="Calibri" w:cs="Times New Roman"/>
          <w:lang w:val="en-AU"/>
        </w:rPr>
        <w:t xml:space="preserve"> </w:t>
      </w:r>
    </w:p>
    <w:p w14:paraId="213CF090" w14:textId="3A3E1D28" w:rsidR="00535F9A" w:rsidRPr="00DC5614" w:rsidRDefault="00535F9A" w:rsidP="00D76AA3">
      <w:pPr>
        <w:pStyle w:val="Heading3"/>
        <w:rPr>
          <w:rFonts w:eastAsia="Calibri"/>
          <w:lang w:val="en-AU"/>
        </w:rPr>
      </w:pPr>
      <w:r w:rsidRPr="00D76AA3">
        <w:rPr>
          <w:rFonts w:eastAsia="Calibri"/>
          <w:lang w:val="en-AU"/>
        </w:rPr>
        <w:t xml:space="preserve">DIPHENIDINE </w:t>
      </w:r>
    </w:p>
    <w:p w14:paraId="7CA2C100" w14:textId="77517FC3" w:rsidR="00535F9A" w:rsidRDefault="00535F9A" w:rsidP="00535F9A">
      <w:pPr>
        <w:pStyle w:val="Heading3"/>
        <w:rPr>
          <w:rFonts w:eastAsia="Calibri"/>
          <w:lang w:val="en-AU"/>
        </w:rPr>
      </w:pPr>
      <w:r w:rsidRPr="00D76AA3">
        <w:rPr>
          <w:rFonts w:eastAsia="Calibri"/>
          <w:lang w:val="en-AU"/>
        </w:rPr>
        <w:t>2-MEO-DIPHENIDINE</w:t>
      </w:r>
      <w:r w:rsidRPr="00535F9A">
        <w:rPr>
          <w:rFonts w:eastAsia="Calibri"/>
          <w:lang w:val="en-AU"/>
        </w:rPr>
        <w:t xml:space="preserve"> </w:t>
      </w:r>
    </w:p>
    <w:p w14:paraId="3A35C862" w14:textId="7E1FF5D4" w:rsidR="004E67B0" w:rsidRDefault="00D76AA3" w:rsidP="000843D0">
      <w:pPr>
        <w:pStyle w:val="Heading2"/>
        <w:pBdr>
          <w:top w:val="single" w:sz="4" w:space="1" w:color="auto"/>
        </w:pBdr>
        <w:shd w:val="clear" w:color="auto" w:fill="EEE5FF"/>
        <w:jc w:val="center"/>
        <w:rPr>
          <w:color w:val="auto"/>
          <w:sz w:val="24"/>
          <w:szCs w:val="24"/>
        </w:rPr>
      </w:pPr>
      <w:r w:rsidRPr="00DC6EF1">
        <w:rPr>
          <w:color w:val="auto"/>
          <w:sz w:val="24"/>
          <w:szCs w:val="24"/>
        </w:rPr>
        <w:t>Hallucinogen</w:t>
      </w:r>
    </w:p>
    <w:p w14:paraId="2B26CBFD" w14:textId="7248F95E" w:rsidR="00DC5614" w:rsidRPr="00DC5614" w:rsidRDefault="00DC5614" w:rsidP="00DC5614">
      <w:pPr>
        <w:rPr>
          <w:i/>
        </w:rPr>
      </w:pPr>
      <w:r w:rsidRPr="00DC5614">
        <w:rPr>
          <w:i/>
        </w:rPr>
        <w:t>Critical review:</w:t>
      </w:r>
    </w:p>
    <w:p w14:paraId="3C552E98" w14:textId="57592869" w:rsidR="004E67B0" w:rsidRDefault="004E67B0" w:rsidP="004E67B0">
      <w:pPr>
        <w:pStyle w:val="Heading3"/>
        <w:rPr>
          <w:lang w:val="pt-BR"/>
        </w:rPr>
      </w:pPr>
      <w:r w:rsidRPr="00D76AA3">
        <w:rPr>
          <w:lang w:val="pt-BR"/>
        </w:rPr>
        <w:t>5-MEO-DALT</w:t>
      </w:r>
    </w:p>
    <w:p w14:paraId="0E2D55E8" w14:textId="7E93606C" w:rsidR="00535F9A" w:rsidRDefault="00535F9A" w:rsidP="000843D0">
      <w:pPr>
        <w:pStyle w:val="Heading2"/>
        <w:pBdr>
          <w:top w:val="single" w:sz="4" w:space="1" w:color="auto"/>
        </w:pBdr>
        <w:shd w:val="clear" w:color="auto" w:fill="EEE5FF"/>
        <w:jc w:val="center"/>
        <w:rPr>
          <w:color w:val="auto"/>
          <w:sz w:val="24"/>
          <w:szCs w:val="24"/>
        </w:rPr>
      </w:pPr>
      <w:r w:rsidRPr="00DC6EF1">
        <w:rPr>
          <w:color w:val="auto"/>
          <w:sz w:val="24"/>
          <w:szCs w:val="24"/>
        </w:rPr>
        <w:t>Synthetic stimulant</w:t>
      </w:r>
    </w:p>
    <w:p w14:paraId="76E6FA4E" w14:textId="02A79698" w:rsidR="00DC5614" w:rsidRPr="00DC5614" w:rsidRDefault="00DC5614" w:rsidP="00DC5614">
      <w:pPr>
        <w:rPr>
          <w:i/>
        </w:rPr>
      </w:pPr>
      <w:r w:rsidRPr="00DC5614">
        <w:rPr>
          <w:i/>
        </w:rPr>
        <w:t>Critical review:</w:t>
      </w:r>
    </w:p>
    <w:p w14:paraId="051483A7" w14:textId="2B1F49E2" w:rsidR="00535F9A" w:rsidRDefault="00535F9A" w:rsidP="00535F9A">
      <w:pPr>
        <w:pStyle w:val="Heading3"/>
        <w:rPr>
          <w:lang w:val="pt-BR"/>
        </w:rPr>
      </w:pPr>
      <w:r w:rsidRPr="00D76AA3">
        <w:rPr>
          <w:lang w:val="pt-BR"/>
        </w:rPr>
        <w:t>3-FLUOROPHENMETRAZINE (3-FPM)</w:t>
      </w:r>
    </w:p>
    <w:p w14:paraId="213161AB" w14:textId="591B58FB" w:rsidR="0074593B" w:rsidRPr="00A30C59" w:rsidRDefault="0074593B">
      <w:pPr>
        <w:rPr>
          <w:lang w:val="pt-BR"/>
        </w:rPr>
      </w:pPr>
    </w:p>
    <w:sectPr w:rsidR="0074593B" w:rsidRPr="00A30C59" w:rsidSect="008E1B29">
      <w:headerReference w:type="default" r:id="rId10"/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74B9" w16cex:dateUtc="2020-05-26T01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81B3B" w14:textId="77777777" w:rsidR="00A66C54" w:rsidRDefault="00A66C54" w:rsidP="00A30C59">
      <w:pPr>
        <w:spacing w:after="0" w:line="240" w:lineRule="auto"/>
      </w:pPr>
      <w:r>
        <w:separator/>
      </w:r>
    </w:p>
  </w:endnote>
  <w:endnote w:type="continuationSeparator" w:id="0">
    <w:p w14:paraId="4C8BA280" w14:textId="77777777" w:rsidR="00A66C54" w:rsidRDefault="00A66C54" w:rsidP="00A3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AE815" w14:textId="77777777" w:rsidR="00A66C54" w:rsidRDefault="00A66C54" w:rsidP="00A30C59">
      <w:pPr>
        <w:spacing w:after="0" w:line="240" w:lineRule="auto"/>
      </w:pPr>
      <w:r>
        <w:separator/>
      </w:r>
    </w:p>
  </w:footnote>
  <w:footnote w:type="continuationSeparator" w:id="0">
    <w:p w14:paraId="3379F052" w14:textId="77777777" w:rsidR="00A66C54" w:rsidRDefault="00A66C54" w:rsidP="00A3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BED0" w14:textId="704F5CB1" w:rsidR="007652DC" w:rsidRPr="007652DC" w:rsidRDefault="007652DC">
    <w:pPr>
      <w:pStyle w:val="Header"/>
      <w:rPr>
        <w:b/>
        <w:sz w:val="24"/>
        <w:szCs w:val="24"/>
        <w:lang w:val="en-CH"/>
      </w:rPr>
    </w:pPr>
    <w:r w:rsidRPr="007652DC">
      <w:rPr>
        <w:b/>
        <w:sz w:val="24"/>
        <w:szCs w:val="24"/>
        <w:lang w:val="en-CH"/>
      </w:rPr>
      <w:t>Annex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2C33"/>
    <w:multiLevelType w:val="hybridMultilevel"/>
    <w:tmpl w:val="DC4C0552"/>
    <w:lvl w:ilvl="0" w:tplc="9C2A929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800A7"/>
    <w:multiLevelType w:val="hybridMultilevel"/>
    <w:tmpl w:val="5016E63E"/>
    <w:lvl w:ilvl="0" w:tplc="E3F6F59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AD"/>
    <w:rsid w:val="00025ECA"/>
    <w:rsid w:val="0005272D"/>
    <w:rsid w:val="00053C5E"/>
    <w:rsid w:val="00067003"/>
    <w:rsid w:val="000843D0"/>
    <w:rsid w:val="00097FC5"/>
    <w:rsid w:val="0010627E"/>
    <w:rsid w:val="00112201"/>
    <w:rsid w:val="00134F02"/>
    <w:rsid w:val="00181C57"/>
    <w:rsid w:val="00187884"/>
    <w:rsid w:val="00207B4E"/>
    <w:rsid w:val="00262726"/>
    <w:rsid w:val="002B0CAD"/>
    <w:rsid w:val="003733B3"/>
    <w:rsid w:val="003B7928"/>
    <w:rsid w:val="003D29E9"/>
    <w:rsid w:val="004021D5"/>
    <w:rsid w:val="0042401C"/>
    <w:rsid w:val="00426998"/>
    <w:rsid w:val="004460E8"/>
    <w:rsid w:val="00493260"/>
    <w:rsid w:val="00493556"/>
    <w:rsid w:val="004D0F7D"/>
    <w:rsid w:val="004E67B0"/>
    <w:rsid w:val="0050072E"/>
    <w:rsid w:val="005138A4"/>
    <w:rsid w:val="00523DA2"/>
    <w:rsid w:val="00535F9A"/>
    <w:rsid w:val="00544950"/>
    <w:rsid w:val="005B36DF"/>
    <w:rsid w:val="00636BBC"/>
    <w:rsid w:val="007307A9"/>
    <w:rsid w:val="0074593B"/>
    <w:rsid w:val="007652DC"/>
    <w:rsid w:val="00770D7C"/>
    <w:rsid w:val="00790860"/>
    <w:rsid w:val="00800D06"/>
    <w:rsid w:val="00832509"/>
    <w:rsid w:val="00833056"/>
    <w:rsid w:val="008551DF"/>
    <w:rsid w:val="00897BBA"/>
    <w:rsid w:val="008E1B29"/>
    <w:rsid w:val="00970E8B"/>
    <w:rsid w:val="00977001"/>
    <w:rsid w:val="00980048"/>
    <w:rsid w:val="0099342F"/>
    <w:rsid w:val="00A30C59"/>
    <w:rsid w:val="00A66C54"/>
    <w:rsid w:val="00AA45FB"/>
    <w:rsid w:val="00AD2FAB"/>
    <w:rsid w:val="00AE42D3"/>
    <w:rsid w:val="00B22EAE"/>
    <w:rsid w:val="00B938F6"/>
    <w:rsid w:val="00BA15A1"/>
    <w:rsid w:val="00BC58CA"/>
    <w:rsid w:val="00BC767E"/>
    <w:rsid w:val="00BE1A53"/>
    <w:rsid w:val="00C040D9"/>
    <w:rsid w:val="00C65FA1"/>
    <w:rsid w:val="00C838ED"/>
    <w:rsid w:val="00CA5E28"/>
    <w:rsid w:val="00D70B7C"/>
    <w:rsid w:val="00D76AA3"/>
    <w:rsid w:val="00DB722D"/>
    <w:rsid w:val="00DC5614"/>
    <w:rsid w:val="00DC6EF1"/>
    <w:rsid w:val="00DF07E9"/>
    <w:rsid w:val="00DF6FB7"/>
    <w:rsid w:val="00E313EF"/>
    <w:rsid w:val="00E446FE"/>
    <w:rsid w:val="00E47A39"/>
    <w:rsid w:val="00EC6A1A"/>
    <w:rsid w:val="00EC71D8"/>
    <w:rsid w:val="00F02846"/>
    <w:rsid w:val="00F35687"/>
    <w:rsid w:val="00F369CA"/>
    <w:rsid w:val="00F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21D4088"/>
  <w15:chartTrackingRefBased/>
  <w15:docId w15:val="{67CDB970-9AE3-4014-8062-C1A48099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C5E"/>
    <w:pPr>
      <w:keepNext/>
      <w:keepLines/>
      <w:pBdr>
        <w:bottom w:val="single" w:sz="4" w:space="1" w:color="auto"/>
      </w:pBd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3C5E"/>
    <w:pPr>
      <w:keepNext/>
      <w:keepLines/>
      <w:numPr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0CAD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B0CAD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932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53C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53C5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4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6F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6F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FE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4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6A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AA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NoSpacing">
    <w:name w:val="No Spacing"/>
    <w:uiPriority w:val="1"/>
    <w:qFormat/>
    <w:rsid w:val="00053C5E"/>
    <w:pPr>
      <w:spacing w:after="120" w:line="240" w:lineRule="auto"/>
      <w:ind w:left="720"/>
    </w:pPr>
    <w:rPr>
      <w:i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0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C5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0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C5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25421584824F9BD6F8996586A88E" ma:contentTypeVersion="12" ma:contentTypeDescription="Create a new document." ma:contentTypeScope="" ma:versionID="fbbe0becf1d68dfd816b9a1d1a7f906c">
  <xsd:schema xmlns:xsd="http://www.w3.org/2001/XMLSchema" xmlns:xs="http://www.w3.org/2001/XMLSchema" xmlns:p="http://schemas.microsoft.com/office/2006/metadata/properties" xmlns:ns3="1f33b567-8934-4065-9424-365bd2493b30" xmlns:ns4="a9733e5a-5ef7-415c-80e3-a2618da45423" targetNamespace="http://schemas.microsoft.com/office/2006/metadata/properties" ma:root="true" ma:fieldsID="ab42de176c3b3c106033a9b9b468e6e1" ns3:_="" ns4:_="">
    <xsd:import namespace="1f33b567-8934-4065-9424-365bd2493b30"/>
    <xsd:import namespace="a9733e5a-5ef7-415c-80e3-a2618da45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b567-8934-4065-9424-365bd249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3e5a-5ef7-415c-80e3-a2618da4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047E9-E1CE-41FC-BC97-C35CB14AC5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9733e5a-5ef7-415c-80e3-a2618da45423"/>
    <ds:schemaRef ds:uri="1f33b567-8934-4065-9424-365bd2493b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ED904-D9A5-4927-BB26-297229C96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3b567-8934-4065-9424-365bd2493b30"/>
    <ds:schemaRef ds:uri="a9733e5a-5ef7-415c-80e3-a2618da45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412DE-865A-487B-BD5B-8807D61F3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POOVENDRAN, Dilkushi</dc:creator>
  <cp:keywords/>
  <dc:description/>
  <cp:lastModifiedBy>GEVREY, Patricia</cp:lastModifiedBy>
  <cp:revision>3</cp:revision>
  <dcterms:created xsi:type="dcterms:W3CDTF">2020-06-10T07:28:00Z</dcterms:created>
  <dcterms:modified xsi:type="dcterms:W3CDTF">2020-06-15T15:36:00Z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0x010100C9AA25421584824F9BD6F8996586A88E</vt:lpwstr>
  </property>
</Properties>
</file>