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282" w:rsidRDefault="00BB0282" w14:paraId="10DD4A0C" w14:textId="77777777">
      <w:pPr>
        <w:rPr>
          <w:lang w:val="fr-CH"/>
        </w:rPr>
      </w:pPr>
    </w:p>
    <w:p w:rsidRPr="00BE20EF" w:rsidR="00054E75" w:rsidP="00054E75" w:rsidRDefault="00054E75" w14:paraId="271C0E15" w14:textId="77777777">
      <w:pPr>
        <w:pStyle w:val="Heading2"/>
        <w:rPr>
          <w:lang w:val="en-GB"/>
        </w:rPr>
      </w:pPr>
      <w:bookmarkStart w:name="_Toc201308310" w:id="0"/>
      <w:bookmarkStart w:name="_Toc201318435" w:id="1"/>
      <w:bookmarkStart w:name="_Toc201318489" w:id="2"/>
      <w:r w:rsidRPr="00BE20EF">
        <w:rPr>
          <w:lang w:val="en-GB"/>
        </w:rPr>
        <w:t xml:space="preserve">Annex 1. </w:t>
      </w:r>
      <w:r>
        <w:rPr>
          <w:lang w:val="en-GB"/>
        </w:rPr>
        <w:t>Example of mapped</w:t>
      </w:r>
      <w:r w:rsidRPr="00BE20EF">
        <w:rPr>
          <w:lang w:val="en-GB"/>
        </w:rPr>
        <w:t xml:space="preserve"> baseline set of services and interventions for a country priority-setting exercise</w:t>
      </w:r>
      <w:bookmarkEnd w:id="0"/>
      <w:bookmarkEnd w:id="1"/>
      <w:bookmarkEnd w:id="2"/>
    </w:p>
    <w:tbl>
      <w:tblPr>
        <w:tblStyle w:val="TableGrid"/>
        <w:tblW w:w="15475" w:type="dxa"/>
        <w:tblLayout w:type="fixed"/>
        <w:tblLook w:val="06A0" w:firstRow="1" w:lastRow="0" w:firstColumn="1" w:lastColumn="0" w:noHBand="1" w:noVBand="1"/>
      </w:tblPr>
      <w:tblGrid>
        <w:gridCol w:w="1634"/>
        <w:gridCol w:w="10061"/>
        <w:gridCol w:w="3780"/>
      </w:tblGrid>
      <w:tr w:rsidRPr="00FE6C1E" w:rsidR="00054E75" w:rsidTr="5CDCBBD9" w14:paraId="20340976" w14:textId="77777777">
        <w:trPr>
          <w:trHeight w:val="300"/>
        </w:trPr>
        <w:tc>
          <w:tcPr>
            <w:tcW w:w="11695" w:type="dxa"/>
            <w:gridSpan w:val="2"/>
            <w:tcMar/>
            <w:vAlign w:val="center"/>
          </w:tcPr>
          <w:p w:rsidRPr="00691893" w:rsidR="00054E75" w:rsidP="00831E4C" w:rsidRDefault="00054E75" w14:paraId="7A550415" w14:textId="77777777">
            <w:pPr>
              <w:jc w:val="center"/>
              <w:rPr>
                <w:rFonts w:eastAsia="Calibri"/>
                <w:b/>
                <w:color w:val="0F4761" w:themeColor="accent1" w:themeShade="BF"/>
                <w:sz w:val="20"/>
                <w:szCs w:val="20"/>
                <w:lang w:eastAsia="en-US"/>
              </w:rPr>
            </w:pPr>
            <w:r w:rsidRPr="00691893">
              <w:rPr>
                <w:b/>
                <w:color w:val="0F4761" w:themeColor="accent1" w:themeShade="BF"/>
                <w:sz w:val="20"/>
                <w:szCs w:val="20"/>
                <w:lang w:eastAsia="en-US"/>
              </w:rPr>
              <w:t>Services and interventions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831E4C" w:rsidRDefault="00054E75" w14:paraId="2A8A8C45" w14:textId="77777777">
            <w:pPr>
              <w:jc w:val="center"/>
              <w:rPr>
                <w:b/>
                <w:color w:val="0F4761" w:themeColor="accent1" w:themeShade="BF"/>
                <w:sz w:val="20"/>
                <w:szCs w:val="20"/>
                <w:lang w:eastAsia="en-US"/>
              </w:rPr>
            </w:pPr>
            <w:r w:rsidRPr="00691893">
              <w:rPr>
                <w:b/>
                <w:bCs/>
                <w:color w:val="0F4761" w:themeColor="accent1" w:themeShade="BF"/>
                <w:sz w:val="20"/>
                <w:szCs w:val="20"/>
                <w:lang w:eastAsia="en-US"/>
              </w:rPr>
              <w:t>Systems, operational and enabling contexts</w:t>
            </w:r>
          </w:p>
        </w:tc>
      </w:tr>
      <w:tr w:rsidRPr="00FE6C1E" w:rsidR="00054E75" w:rsidTr="5CDCBBD9" w14:paraId="0DE7AFE9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075BB7E8" w14:textId="77777777">
            <w:pPr>
              <w:jc w:val="center"/>
              <w:rPr>
                <w:b/>
                <w:color w:val="156082" w:themeColor="accent1"/>
                <w:sz w:val="20"/>
                <w:szCs w:val="20"/>
                <w:lang w:eastAsia="en-US"/>
              </w:rPr>
            </w:pPr>
          </w:p>
          <w:p w:rsidRPr="00054E75" w:rsidR="00054E75" w:rsidP="00054E75" w:rsidRDefault="00054E75" w14:paraId="0CC852CF" w14:textId="13734278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Prevention of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vertical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transmission of HIV, hepatitis B and syphilis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>
                <w:fldData xml:space="preserve">PEVuZE5vdGU+PENpdGU+PFllYXI+MjAyMTwvWWVhcj48UmVjTnVtPjg2PC9SZWNOdW0+PERpc3Bs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</w:fldData>
              </w:fldCha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>
                <w:fldData xml:space="preserve">PEVuZE5vdGU+PENpdGU+PFllYXI+MjAyMTwvWWVhcj48UmVjTnVtPjg2PC9SZWNOdW0+PERpc3Bs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</w:fldData>
              </w:fldCha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EN.CITE.DATA 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(1–3)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7C1D7D20" w14:textId="77777777">
            <w:pPr>
              <w:numPr>
                <w:ilvl w:val="0"/>
                <w:numId w:val="142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Integrate testing into routine antenatal care contacts</w:t>
            </w:r>
          </w:p>
          <w:p w:rsidRPr="00691893" w:rsidR="00054E75" w:rsidP="00054E75" w:rsidRDefault="00054E75" w14:paraId="12564218" w14:textId="77777777">
            <w:pPr>
              <w:numPr>
                <w:ilvl w:val="0"/>
                <w:numId w:val="142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Test all pregnant women as early as possible in pregnancy or during breastfeeding for HIV, hepatitis B surface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antigen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and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syphilis</w:t>
            </w:r>
          </w:p>
          <w:p w:rsidRPr="00691893" w:rsidR="00054E75" w:rsidP="00054E75" w:rsidRDefault="00054E75" w14:paraId="123243CD" w14:textId="77777777">
            <w:pPr>
              <w:numPr>
                <w:ilvl w:val="0"/>
                <w:numId w:val="142"/>
              </w:numPr>
              <w:spacing/>
              <w:contextualSpacing/>
              <w:rPr>
                <w:rFonts w:eastAsia="Calibri"/>
                <w:strike w:val="0"/>
                <w:dstrike w:val="0"/>
                <w:color w:val="000000" w:themeColor="text1"/>
                <w:sz w:val="20"/>
                <w:szCs w:val="20"/>
                <w:lang w:eastAsia="en-US"/>
              </w:rPr>
            </w:pPr>
            <w:r w:rsidRPr="5CDCBBD9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Provide partner testing of pregnant women diagnosed with HIV and syphilis</w:t>
            </w:r>
            <w:r w:rsidRPr="5CDCBBD9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and</w:t>
            </w:r>
            <w:r w:rsidRPr="5CDCBBD9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network-based testing for household members and partners of women diagnosed with chronic </w:t>
            </w:r>
            <w:r w:rsidRPr="5CDCBBD9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hepatitis B</w:t>
            </w:r>
            <w:r w:rsidRPr="5CDCBBD9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infection</w:t>
            </w:r>
          </w:p>
          <w:p w:rsidRPr="00691893" w:rsidR="00054E75" w:rsidP="00054E75" w:rsidRDefault="00054E75" w14:paraId="2D5FC1FA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options should be available for HIV </w:t>
            </w:r>
            <w:proofErr w:type="spell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serodiscordant</w:t>
            </w:r>
            <w:proofErr w:type="spell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couples</w:t>
            </w:r>
          </w:p>
          <w:p w:rsidRPr="00691893" w:rsidR="00054E75" w:rsidP="00054E75" w:rsidRDefault="00054E75" w14:paraId="4DA157A1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Use lower-cost, WHO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prequalified rapid diagnostics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including dual HIV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and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syphilis rapid tests and HIV self-testing</w:t>
            </w:r>
          </w:p>
          <w:p w:rsidRPr="00691893" w:rsidR="00054E75" w:rsidP="00054E75" w:rsidRDefault="00054E75" w14:paraId="41ABA417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Immediate ART initiation or referral for initiation for all pregnant or breastfeeding women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testing HIV positive</w:t>
            </w:r>
          </w:p>
          <w:p w:rsidR="00054E75" w:rsidP="47DD4F58" w:rsidRDefault="00054E75" w14:paraId="481CFF01" w14:textId="04B3A9A0">
            <w:pPr>
              <w:numPr>
                <w:ilvl w:val="0"/>
                <w:numId w:val="142"/>
              </w:numPr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</w:pP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Prophylaxis with tenofovir disoproxil fumarate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for all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hepatitis B surface antigen–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positive pregnant women with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hepatitis B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DNA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&gt;200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 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000 IU/mL or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hepatitis B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e antigen–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positive (or to all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hepatitis B surface antigen–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positive pregnant women whe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n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hepatitis B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DNA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is </w:t>
            </w:r>
            <w:r w:rsidRPr="47DD4F58" w:rsidR="00054E75">
              <w:rPr>
                <w:rFonts w:eastAsia="Calibri"/>
                <w:color w:val="000000" w:themeColor="text1" w:themeTint="FF" w:themeShade="FF"/>
                <w:sz w:val="20"/>
                <w:szCs w:val="20"/>
                <w:lang w:eastAsia="en-US"/>
              </w:rPr>
              <w:t>not available)</w:t>
            </w:r>
          </w:p>
          <w:p w:rsidR="00054E75" w:rsidP="00054E75" w:rsidRDefault="00054E75" w14:paraId="7CA74C49" w14:textId="77777777">
            <w:pPr>
              <w:numPr>
                <w:ilvl w:val="0"/>
                <w:numId w:val="142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DE573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enofovir disoproxil fumarate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is recommended preferably from the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seco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nd trimester of pregnancy until at least delivery or completion of the infant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hepatitis B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vaccination series. This should be accompanied by counselling and linkage to appropriate care and follow-up</w:t>
            </w:r>
          </w:p>
          <w:p w:rsidRPr="00691893" w:rsidR="00054E75" w:rsidP="00054E75" w:rsidRDefault="00054E75" w14:paraId="39267E30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For pregnant women with early syphilis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treat with single benzylpenicillin (penicillin G) injection given as one </w:t>
            </w:r>
            <w:proofErr w:type="gram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2.4 million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unit</w:t>
            </w:r>
            <w:proofErr w:type="gram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injection or two 1.2 million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unit injections. For those with late or unknown stage of syphilis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treat with 2.4 million units of benzathine benzylpenicillin intramuscularly once weekly for three consecutive weeks. This can be given as one </w:t>
            </w:r>
            <w:proofErr w:type="gram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2.4 million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unit</w:t>
            </w:r>
            <w:proofErr w:type="gram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injection or two 1.2 million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unit injections per dose.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enicillin G once weekly for three consecutive weeks</w:t>
            </w:r>
          </w:p>
          <w:p w:rsidRPr="00691893" w:rsidR="00054E75" w:rsidP="00054E75" w:rsidRDefault="00054E75" w14:paraId="14C3C00C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HIV retesting for pregnant women in the third trimester in settings with HIV prevalence ≥5% and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for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those with ongoing risk of infection</w:t>
            </w:r>
          </w:p>
          <w:p w:rsidRPr="00691893" w:rsidR="00054E75" w:rsidP="00054E75" w:rsidRDefault="00054E75" w14:paraId="34AB4036" w14:textId="77777777">
            <w:pPr>
              <w:pStyle w:val="ListParagraph"/>
              <w:numPr>
                <w:ilvl w:val="0"/>
                <w:numId w:val="142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Tracing of pregnant women having positive results for HIV,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hepatitis B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and/or syphilis to ensure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that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they receive appropriate care and treatment</w:t>
            </w:r>
          </w:p>
          <w:p w:rsidRPr="00691893" w:rsidR="00054E75" w:rsidP="00054E75" w:rsidRDefault="00054E75" w14:paraId="28CB25C5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Infant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antiretroviral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drug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prophylaxis for infants born to mother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living with HIV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in accordance with the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national protocol and co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trimoxazole prophylaxis from 4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 weeks onwards until HIV infection is ruled out</w:t>
            </w:r>
          </w:p>
          <w:p w:rsidRPr="00691893" w:rsidR="00054E75" w:rsidP="00054E75" w:rsidRDefault="00054E75" w14:paraId="1474BB5B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Timely infant hepatitis B birth dose vaccination for all newborn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within 24 hours of birth (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regardless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of maternal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hepatitis B surface antigen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status) followed by routine childhood vaccination series</w:t>
            </w:r>
          </w:p>
          <w:p w:rsidRPr="00691893" w:rsidR="00054E75" w:rsidP="00054E75" w:rsidRDefault="00054E75" w14:paraId="5D443BCB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After delivery, catch-up testing for mothers and early infant diagnosis for infants could be integrated into routine postpartum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contacts</w:t>
            </w:r>
          </w:p>
          <w:p w:rsidRPr="00691893" w:rsidR="00054E75" w:rsidP="00054E75" w:rsidRDefault="00054E75" w14:paraId="1DB6BB42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Early infant diagnosis for HIV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exposed infants at 4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 weeks of life using nucleic acid amplification testing (DNA-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polymerase chain reaction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), with immediate ART initiation for all positive infants (see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the section on t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reatment)</w:t>
            </w:r>
          </w:p>
          <w:p w:rsidR="00054E75" w:rsidP="00054E75" w:rsidRDefault="00054E75" w14:paraId="063A84A8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Immediate infant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or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child ART initiation for positive infants or young children with redrawing of lab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oratory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sample for confirmatory testing</w:t>
            </w:r>
          </w:p>
          <w:p w:rsidRPr="00691893" w:rsidR="00054E75" w:rsidP="00054E75" w:rsidRDefault="00054E75" w14:paraId="0DFFE4EB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Routine follow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up and repeat HIV testing at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nine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months and the end of breastfeeding using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an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age-appropriate test for breastfeeding infants exposed to HIV</w:t>
            </w:r>
          </w:p>
          <w:p w:rsidRPr="00691893" w:rsidR="00054E75" w:rsidP="00054E75" w:rsidRDefault="00054E75" w14:paraId="2CFDD494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For infants with confirmed congenital syphilis or born to mothers with untreated or inadequately treated syphilis, treat with benzyl penicillin or procaine benzylpenicillin using weight-based dosing for 10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days</w:t>
            </w:r>
          </w:p>
          <w:p w:rsidRPr="00691893" w:rsidR="00054E75" w:rsidP="00054E75" w:rsidRDefault="00054E75" w14:paraId="20D0F700" w14:textId="77777777">
            <w:pPr>
              <w:numPr>
                <w:ilvl w:val="0"/>
                <w:numId w:val="142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Offer </w:t>
            </w:r>
            <w:proofErr w:type="spell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to reduce the risk of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acquiring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HIV for pregnant and breastfeeding women at high risk (</w:t>
            </w:r>
            <w:proofErr w:type="spell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serodiscordance</w:t>
            </w:r>
            <w:proofErr w:type="spell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780" w:type="dxa"/>
            <w:tcMar/>
            <w:vAlign w:val="center"/>
          </w:tcPr>
          <w:p w:rsidRPr="00054E75" w:rsidR="00054E75" w:rsidP="00054E75" w:rsidRDefault="00054E75" w14:paraId="298958A4" w14:textId="77777777">
            <w:pPr>
              <w:pStyle w:val="ListParagraph"/>
              <w:numPr>
                <w:ilvl w:val="0"/>
                <w:numId w:val="142"/>
              </w:numPr>
              <w:rPr>
                <w:sz w:val="20"/>
                <w:szCs w:val="20"/>
                <w:lang w:eastAsia="en-US"/>
              </w:rPr>
            </w:pPr>
            <w:r w:rsidRPr="00054E7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Ensure that health-care personnel are equipped with the knowledge, skills and resources to provide services for preventing vertical transmission alongside routine maternal, newborn and immunization services</w:t>
            </w:r>
          </w:p>
          <w:p w:rsidRPr="00691893" w:rsidR="00054E75" w:rsidP="00054E75" w:rsidRDefault="00054E75" w14:paraId="151A65DF" w14:textId="77777777">
            <w:pPr>
              <w:numPr>
                <w:ilvl w:val="0"/>
                <w:numId w:val="142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Align or integrate post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delivery follow-up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contacts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with routine postnatal and immunization schedules</w:t>
            </w:r>
          </w:p>
          <w:p w:rsidRPr="00691893" w:rsidR="00054E75" w:rsidP="00054E75" w:rsidRDefault="00054E75" w14:paraId="30C2CAC5" w14:textId="77777777">
            <w:pPr>
              <w:numPr>
                <w:ilvl w:val="0"/>
                <w:numId w:val="142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Develop catch-up plans for mothers and newborns who miss follow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up visits, including HIV and syphilis testing, prophylaxis and treatment (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such as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infant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antiretroviral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drug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prophylaxis).</w:t>
            </w:r>
          </w:p>
          <w:p w:rsidRPr="00691893" w:rsidR="00054E75" w:rsidP="00054E75" w:rsidRDefault="00054E75" w14:paraId="3BE9A83B" w14:textId="77777777">
            <w:pPr>
              <w:numPr>
                <w:ilvl w:val="0"/>
                <w:numId w:val="142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If services are moved, relocated or co-located with related services, convene a multidisciplinary transition team and assess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related systems implications, opportunities including commodity supply chain coordination, health workforce training and roster planning, client information and any physical adjustments that may be required within facilities</w:t>
            </w:r>
          </w:p>
        </w:tc>
      </w:tr>
      <w:tr w:rsidRPr="00FE6C1E" w:rsidR="00054E75" w:rsidTr="5CDCBBD9" w14:paraId="42973781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054E75" w:rsidR="00054E75" w:rsidP="00054E75" w:rsidRDefault="00054E75" w14:paraId="1565FE81" w14:textId="7024724C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Hepatitis B vaccination –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i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nfants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&lt;EndNote&gt;&lt;Cite&gt;&lt;Year&gt;2022&lt;/Year&gt;&lt;RecNum&gt;10&lt;/RecNum&gt;&lt;DisplayText&gt;(27, 85)&lt;/DisplayText&gt;&lt;record&gt;&lt;rec-number&gt;10&lt;/rec-number&gt;&lt;foreign-keys&gt;&lt;key app="EN" db-id="a5zftsaz79dzdne0xrl5drtqdp2tatz0d2zr" timestamp="1747676398"&gt;10&lt;/key&gt;&lt;/foreign-keys&gt;&lt;ref-type name="Book"&gt;6&lt;/ref-type&gt;&lt;contributors&gt;&lt;/contributors&gt;&lt;titles&gt;&lt;title&gt;Consolidated guidelines on HIV, viral hepatitis and STI prevention, diagnosis, treatment and care for key populations&lt;/title&gt;&lt;/titles&gt;&lt;dates&gt;&lt;year&gt;2022&lt;/year&gt;&lt;/dates&gt;&lt;pub-location&gt;Geneva&lt;/pub-location&gt;&lt;publisher&gt;World Health Organization&lt;/publisher&gt;&lt;urls&gt;&lt;related-urls&gt;&lt;url&gt;https://www.who.int/publications/i/item/9789240052390&lt;/url&gt;&lt;/related-urls&gt;&lt;/urls&gt;&lt;/record&gt;&lt;/Cite&gt;&lt;Cite&gt;&lt;Year&gt;2024&lt;/Year&gt;&lt;RecNum&gt;55&lt;/RecNum&gt;&lt;record&gt;&lt;rec-number&gt;55&lt;/rec-number&gt;&lt;foreign-keys&gt;&lt;key app="EN" db-id="a5zftsaz79dzdne0xrl5drtqdp2tatz0d2zr" timestamp="1747743263"&gt;55&lt;/key&gt;&lt;/foreign-keys&gt;&lt;ref-type name="Book"&gt;6&lt;/ref-type&gt;&lt;contributors&gt;&lt;/contributors&gt;&lt;titles&gt;&lt;title&gt;Guidelines for the prevention, diagnosis, care and treatment for people with chronic hepatitis B infection: policy brief.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Organization&lt;/publisher&gt;&lt;urls&gt;&lt;related-urls&gt;&lt;url&gt;https://www.who.int/publications/i/item/9789240091368 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(4, 5)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04E160A0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Continue complete hepatitis B vaccine series through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the Expanded Programme on Immunization: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timely birth dose should be followed by 2–3 additional doses of hepatitis B vaccine, depending on the specific schedule used in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country; WHO recommends that all infants complete the full primary vaccination series by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six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months of age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554491B9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</w:rPr>
            </w:pPr>
            <w:r w:rsidRPr="00691893">
              <w:rPr>
                <w:sz w:val="20"/>
                <w:szCs w:val="20"/>
              </w:rPr>
              <w:t>Coordinate hepatitis B vaccination with routine immunization schedules and maternal</w:t>
            </w:r>
            <w:r>
              <w:rPr>
                <w:sz w:val="20"/>
                <w:szCs w:val="20"/>
              </w:rPr>
              <w:t xml:space="preserve"> and </w:t>
            </w:r>
            <w:r w:rsidRPr="00691893">
              <w:rPr>
                <w:sz w:val="20"/>
                <w:szCs w:val="20"/>
              </w:rPr>
              <w:t>newborn services to reduce missed opportunities and resource duplication</w:t>
            </w:r>
          </w:p>
        </w:tc>
      </w:tr>
      <w:tr w:rsidRPr="00FE6C1E" w:rsidR="00054E75" w:rsidTr="5CDCBBD9" w14:paraId="6D0944C7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054E75" w:rsidR="00054E75" w:rsidP="00054E75" w:rsidRDefault="00054E75" w14:paraId="32778AC3" w14:textId="56AB143B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Hepatitis B vaccination –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a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dults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&lt;EndNote&gt;&lt;Cite&gt;&lt;Year&gt;2022&lt;/Year&gt;&lt;RecNum&gt;10&lt;/RecNum&gt;&lt;DisplayText&gt;(27, 85)&lt;/DisplayText&gt;&lt;record&gt;&lt;rec-number&gt;10&lt;/rec-number&gt;&lt;foreign-keys&gt;&lt;key app="EN" db-id="a5zftsaz79dzdne0xrl5drtqdp2tatz0d2zr" timestamp="1747676398"&gt;10&lt;/key&gt;&lt;/foreign-keys&gt;&lt;ref-type name="Book"&gt;6&lt;/ref-type&gt;&lt;contributors&gt;&lt;/contributors&gt;&lt;titles&gt;&lt;title&gt;Consolidated guidelines on HIV, viral hepatitis and STI prevention, diagnosis, treatment and care for key populations&lt;/title&gt;&lt;/titles&gt;&lt;dates&gt;&lt;year&gt;2022&lt;/year&gt;&lt;/dates&gt;&lt;pub-location&gt;Geneva&lt;/pub-location&gt;&lt;publisher&gt;World Health Organization&lt;/publisher&gt;&lt;urls&gt;&lt;related-urls&gt;&lt;url&gt;https://www.who.int/publications/i/item/9789240052390&lt;/url&gt;&lt;/related-urls&gt;&lt;/urls&gt;&lt;/record&gt;&lt;/Cite&gt;&lt;Cite&gt;&lt;Year&gt;2024&lt;/Year&gt;&lt;RecNum&gt;55&lt;/RecNum&gt;&lt;record&gt;&lt;rec-number&gt;55&lt;/rec-number&gt;&lt;foreign-keys&gt;&lt;key app="EN" db-id="a5zftsaz79dzdne0xrl5drtqdp2tatz0d2zr" timestamp="1747743263"&gt;55&lt;/key&gt;&lt;/foreign-keys&gt;&lt;ref-type name="Book"&gt;6&lt;/ref-type&gt;&lt;contributors&gt;&lt;/contributors&gt;&lt;titles&gt;&lt;title&gt;Guidelines for the prevention, diagnosis, care and treatment for people with chronic hepatitis B infection: policy brief.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Organization&lt;/publisher&gt;&lt;urls&gt;&lt;related-urls&gt;&lt;url&gt;https://www.who.int/publications/i/item/9789240091368 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(4, 5)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2F1324B8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Hepatitis B vaccination of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u w:val="single"/>
                <w:lang w:eastAsia="en-US"/>
              </w:rPr>
              <w:t>adults (</w:t>
            </w:r>
            <w:r>
              <w:rPr>
                <w:rFonts w:eastAsia="Calibri"/>
                <w:color w:val="000000" w:themeColor="text1"/>
                <w:sz w:val="20"/>
                <w:szCs w:val="20"/>
                <w:u w:val="single"/>
                <w:lang w:eastAsia="en-US"/>
              </w:rPr>
              <w:t>especially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key populations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u w:val="single"/>
                <w:lang w:eastAsia="en-US"/>
              </w:rPr>
              <w:t>)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according to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national protocol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0C74846F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Pre-vaccination serological testing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for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adults is preferrable but not essential</w:t>
            </w:r>
          </w:p>
        </w:tc>
      </w:tr>
      <w:tr w:rsidRPr="00FE6C1E" w:rsidR="00054E75" w:rsidTr="5CDCBBD9" w14:paraId="46B95B96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17A077D0" w14:textId="77777777">
            <w:pPr>
              <w:jc w:val="center"/>
              <w:rPr>
                <w:rFonts w:eastAsia="Calibri"/>
                <w:b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HIV PEP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&lt;EndNote&gt;&lt;Cite&gt;&lt;Year&gt;2024&lt;/Year&gt;&lt;RecNum&gt;53&lt;/RecNum&gt;&lt;DisplayText&gt;(86)&lt;/DisplayText&gt;&lt;record&gt;&lt;rec-number&gt;53&lt;/rec-number&gt;&lt;foreign-keys&gt;&lt;key app="EN" db-id="a5zftsaz79dzdne0xrl5drtqdp2tatz0d2zr" timestamp="1747743132"&gt;53&lt;/key&gt;&lt;/foreign-keys&gt;&lt;ref-type name="Book"&gt;6&lt;/ref-type&gt;&lt;contributors&gt;&lt;/contributors&gt;&lt;titles&gt;&lt;title&gt;Guidelines for HIV post-exposure prophylaxis&lt;/title&gt;&lt;/titles&gt;&lt;dates&gt;&lt;year&gt;2024&lt;/year&gt;&lt;/dates&gt;&lt;pub-location&gt;Geneva&lt;/pub-location&gt;&lt;publisher&gt;World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Organization&lt;/publisher&gt;&lt;urls&gt;&lt;related-urls&gt;&lt;url&gt;https://www.who.int/publications/i/item/9789240095137 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(6)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0221213C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Maintain availability of HIV PEP in care settings for occupational exposure</w:t>
            </w:r>
          </w:p>
          <w:p w:rsidR="00054E75" w:rsidP="00054E75" w:rsidRDefault="00054E75" w14:paraId="4C04B6E4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Expanded availability of HIV PEP, including for non-occupational exposure</w:t>
            </w:r>
          </w:p>
          <w:p w:rsidRPr="00691893" w:rsidR="00054E75" w:rsidP="00054E75" w:rsidRDefault="00054E75" w14:paraId="6BE9163B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Use rapid diagnostic testing and HIV self-test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ing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for PEP initiation and follow-up</w:t>
            </w:r>
          </w:p>
        </w:tc>
        <w:tc>
          <w:tcPr>
            <w:tcW w:w="3780" w:type="dxa"/>
            <w:tcMar/>
            <w:vAlign w:val="center"/>
          </w:tcPr>
          <w:p w:rsidR="00054E75" w:rsidP="00054E75" w:rsidRDefault="00054E75" w14:paraId="6806B843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Distribute PEP through task sharing in primary care settings and pharmacies</w:t>
            </w:r>
          </w:p>
          <w:p w:rsidRPr="00691893" w:rsidR="00054E75" w:rsidP="00054E75" w:rsidRDefault="00054E75" w14:paraId="64D7D2A8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Use simplified protocols and job aids to enable non-specialist health workers to initiate PEP</w:t>
            </w:r>
          </w:p>
        </w:tc>
      </w:tr>
      <w:tr w:rsidRPr="00FE6C1E" w:rsidR="00054E75" w:rsidTr="5CDCBBD9" w14:paraId="5CECF2CB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4FFB5A30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HIV </w:t>
            </w:r>
            <w:proofErr w:type="spellStart"/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&lt;EndNote&gt;&lt;Cite&gt;&lt;Year&gt;2022&lt;/Year&gt;&lt;RecNum&gt;58&lt;/RecNum&gt;&lt;DisplayText&gt;(87, 1)&lt;/DisplayText&gt;&lt;record&gt;&lt;rec-number&gt;58&lt;/rec-number&gt;&lt;foreign-keys&gt;&lt;key app="EN" db-id="a5zftsaz79dzdne0xrl5drtqdp2tatz0d2zr" timestamp="1747743742"&gt;58&lt;/key&gt;&lt;/foreign-keys&gt;&lt;ref-type name="Book"&gt;6&lt;/ref-type&gt;&lt;contributors&gt;&lt;/contributors&gt;&lt;titles&gt;&lt;title&gt;Differentiated and simplified pre-exposure prophylaxis for HIV prevention: update to WHO implementation guidance. Technical Brief&lt;/title&gt;&lt;/titles&gt;&lt;dates&gt;&lt;year&gt;2022&lt;/year&gt;&lt;/dates&gt;&lt;pub-location&gt;Geneva&lt;/pub-location&gt;&lt;publisher&gt;World Health Organization&lt;/publisher&gt;&lt;urls&gt;&lt;related-urls&gt;&lt;url&gt;https://www.who.int/publications/i/item/9789240053694&lt;/url&gt;&lt;/related-urls&gt;&lt;/urls&gt;&lt;/record&gt;&lt;/Cite&gt;&lt;Cite&gt;&lt;Year&gt;2021&lt;/Year&gt;&lt;RecNum&gt;9&lt;/RecNum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(1, 7)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78BFD553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Uninterrupted access to HIV </w:t>
            </w:r>
            <w:proofErr w:type="spell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to reduce the risk of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acquiring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HIV, notably for key populations</w:t>
            </w:r>
          </w:p>
          <w:p w:rsidRPr="00691893" w:rsidR="00054E75" w:rsidP="00054E75" w:rsidRDefault="00054E75" w14:paraId="7267D4F3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Use oral </w:t>
            </w:r>
            <w:proofErr w:type="spellStart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over long-acting (</w:t>
            </w:r>
            <w:r w:rsidRPr="00DE573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long-acting</w:t>
            </w:r>
            <w:r w:rsidRPr="00B81C3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cabotegravir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and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dapavirine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vaginal ring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Pr="00691893" w:rsidR="00054E75" w:rsidP="00054E75" w:rsidRDefault="00054E75" w14:paraId="14615B9A" w14:textId="77777777">
            <w:pPr>
              <w:numPr>
                <w:ilvl w:val="0"/>
                <w:numId w:val="144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Use rapid diagnostic test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ing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and self-test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ing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for HIV testing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before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initiati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ng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573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PrEP</w:t>
            </w:r>
            <w:proofErr w:type="spellEnd"/>
            <w:r w:rsidRPr="00DE573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sz w:val="20"/>
                <w:szCs w:val="20"/>
                <w:lang w:eastAsia="en-US"/>
              </w:rPr>
              <w:t xml:space="preserve">and </w:t>
            </w:r>
            <w:r>
              <w:rPr>
                <w:sz w:val="20"/>
                <w:szCs w:val="20"/>
                <w:lang w:eastAsia="en-US"/>
              </w:rPr>
              <w:t xml:space="preserve">for </w:t>
            </w:r>
            <w:r w:rsidRPr="00691893">
              <w:rPr>
                <w:sz w:val="20"/>
                <w:szCs w:val="20"/>
                <w:lang w:eastAsia="en-US"/>
              </w:rPr>
              <w:t>continuation.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7603D704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Whe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691893">
              <w:rPr>
                <w:sz w:val="20"/>
                <w:szCs w:val="20"/>
                <w:lang w:eastAsia="en-US"/>
              </w:rPr>
              <w:t xml:space="preserve"> possible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91893">
              <w:rPr>
                <w:sz w:val="20"/>
                <w:szCs w:val="20"/>
                <w:lang w:eastAsia="en-US"/>
              </w:rPr>
              <w:t xml:space="preserve"> organize stocks and systems to facilitate </w:t>
            </w:r>
            <w:proofErr w:type="spellStart"/>
            <w:r w:rsidRPr="00691893">
              <w:rPr>
                <w:sz w:val="20"/>
                <w:szCs w:val="20"/>
                <w:lang w:eastAsia="en-US"/>
              </w:rPr>
              <w:t>multimonth</w:t>
            </w:r>
            <w:proofErr w:type="spellEnd"/>
            <w:r w:rsidRPr="00691893">
              <w:rPr>
                <w:sz w:val="20"/>
                <w:szCs w:val="20"/>
                <w:lang w:eastAsia="en-US"/>
              </w:rPr>
              <w:t xml:space="preserve"> dispensing of oral </w:t>
            </w:r>
            <w:proofErr w:type="spellStart"/>
            <w:r w:rsidRPr="00691893">
              <w:rPr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sz w:val="20"/>
                <w:szCs w:val="20"/>
                <w:lang w:eastAsia="en-US"/>
              </w:rPr>
              <w:t xml:space="preserve"> (3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691893">
              <w:rPr>
                <w:sz w:val="20"/>
                <w:szCs w:val="20"/>
                <w:lang w:eastAsia="en-US"/>
              </w:rPr>
              <w:t xml:space="preserve">6 months), including for clients initiating </w:t>
            </w:r>
            <w:proofErr w:type="spellStart"/>
            <w:r w:rsidRPr="00691893">
              <w:rPr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sz w:val="20"/>
                <w:szCs w:val="20"/>
                <w:lang w:eastAsia="en-US"/>
              </w:rPr>
              <w:t>, depending on stock availability</w:t>
            </w:r>
          </w:p>
          <w:p w:rsidRPr="00691893" w:rsidR="00054E75" w:rsidP="00054E75" w:rsidRDefault="00054E75" w14:paraId="0C5CBDE0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Waiting for kidney function or hepatitis test results should not delay </w:t>
            </w:r>
            <w:proofErr w:type="spellStart"/>
            <w:r w:rsidRPr="00691893">
              <w:rPr>
                <w:sz w:val="20"/>
                <w:szCs w:val="20"/>
                <w:lang w:eastAsia="en-US"/>
              </w:rPr>
              <w:t>PrEP</w:t>
            </w:r>
            <w:proofErr w:type="spellEnd"/>
            <w:r w:rsidRPr="00691893">
              <w:rPr>
                <w:sz w:val="20"/>
                <w:szCs w:val="20"/>
                <w:lang w:eastAsia="en-US"/>
              </w:rPr>
              <w:t xml:space="preserve"> initiation or continuation. In addition, lack of available kidney function or hepatitis testing should not be a barrier to initiati</w:t>
            </w:r>
            <w:r>
              <w:rPr>
                <w:sz w:val="20"/>
                <w:szCs w:val="20"/>
                <w:lang w:eastAsia="en-US"/>
              </w:rPr>
              <w:t>ng</w:t>
            </w:r>
            <w:r w:rsidRPr="00691893">
              <w:rPr>
                <w:sz w:val="20"/>
                <w:szCs w:val="20"/>
                <w:lang w:eastAsia="en-US"/>
              </w:rPr>
              <w:t xml:space="preserve"> or us</w:t>
            </w:r>
            <w:r>
              <w:rPr>
                <w:sz w:val="20"/>
                <w:szCs w:val="20"/>
                <w:lang w:eastAsia="en-US"/>
              </w:rPr>
              <w:t>ing</w:t>
            </w:r>
            <w:r w:rsidRPr="00DE57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E5733">
              <w:rPr>
                <w:sz w:val="20"/>
                <w:szCs w:val="20"/>
                <w:lang w:eastAsia="en-US"/>
              </w:rPr>
              <w:t>PrEP</w:t>
            </w:r>
            <w:proofErr w:type="spellEnd"/>
          </w:p>
        </w:tc>
      </w:tr>
      <w:tr w:rsidRPr="00FE6C1E" w:rsidR="00054E75" w:rsidTr="5CDCBBD9" w14:paraId="45D2ECBB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092B4D56" w14:textId="77777777">
            <w:pPr>
              <w:jc w:val="center"/>
              <w:rPr>
                <w:rFonts w:eastAsia="Calibri"/>
                <w:b/>
                <w:color w:val="156082" w:themeColor="accent1"/>
                <w:sz w:val="20"/>
                <w:szCs w:val="20"/>
                <w:lang w:eastAsia="en-US"/>
              </w:rPr>
            </w:pPr>
            <w:r w:rsidRPr="00691893" w:rsidDel="00AB3E89">
              <w:rPr>
                <w:color w:val="156082" w:themeColor="accent1"/>
                <w:sz w:val="20"/>
                <w:szCs w:val="20"/>
                <w:lang w:eastAsia="en-US"/>
              </w:rPr>
              <w:t xml:space="preserve">Blood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product safety and health care infection control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&lt;EndNote&gt;&lt;Cite&gt;&lt;Year&gt;2009&lt;/Year&gt;&lt;RecNum&gt;59&lt;/RecNum&gt;&lt;DisplayText&gt;(88)&lt;/DisplayText&gt;&lt;record&gt;&lt;rec-number&gt;59&lt;/rec-number&gt;&lt;foreign-keys&gt;&lt;key app="EN" db-id="a5zftsaz79dzdne0xrl5drtqdp2tatz0d2zr" timestamp="1747743795"&gt;59&lt;/key&gt;&lt;/foreign-keys&gt;&lt;ref-type name="Book"&gt;6&lt;/ref-type&gt;&lt;contributors&gt;&lt;/contributors&gt;&lt;titles&gt;&lt;title&gt;Screening donated blood for transfusion-transmissible infections: recommendations.&lt;/title&gt;&lt;/titles&gt;&lt;dates&gt;&lt;year&gt;2009&lt;/year&gt;&lt;/dates&gt;&lt;pub-location&gt;Geneva&lt;/pub-location&gt;&lt;publisher&gt;World Health Organization&lt;/publisher&gt;&lt;urls&gt;&lt;related-urls&gt;&lt;url&gt;https://www.who.int/publications/i/item/screening-donated-blood-for-transfusion-transmissible-infections-recommendations 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(8)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5D428BD2" w14:textId="77777777" w14:noSpellErr="1">
            <w:pPr>
              <w:numPr>
                <w:ilvl w:val="0"/>
                <w:numId w:val="144"/>
              </w:numPr>
              <w:rPr>
                <w:rFonts w:eastAsia="Calibri"/>
                <w:strike w:val="0"/>
                <w:dstrike w:val="0"/>
                <w:color w:val="000000" w:themeColor="text1"/>
                <w:sz w:val="20"/>
                <w:szCs w:val="20"/>
                <w:lang w:eastAsia="en-US"/>
              </w:rPr>
            </w:pP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Mandatory screening of all blood donations for HIV, hepatitis B, hepatitis C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and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syphilis before use in clinical care 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in accordance with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WHO’s recommended essential in vitro diagnostics</w:t>
            </w:r>
          </w:p>
          <w:p w:rsidRPr="00691893" w:rsidR="00054E75" w:rsidP="00054E75" w:rsidRDefault="00054E75" w14:paraId="5CFADE3D" w14:textId="77777777" w14:noSpellErr="1">
            <w:pPr>
              <w:numPr>
                <w:ilvl w:val="0"/>
                <w:numId w:val="144"/>
              </w:numPr>
              <w:rPr>
                <w:rFonts w:eastAsia="Calibri"/>
                <w:strike w:val="0"/>
                <w:dstrike w:val="0"/>
                <w:color w:val="000000" w:themeColor="text1"/>
                <w:sz w:val="20"/>
                <w:szCs w:val="20"/>
                <w:lang w:eastAsia="en-US"/>
              </w:rPr>
            </w:pP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Use sterile, single-use needles and syringes and proper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ly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dispos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e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of sharps in puncture-proof containers; consider 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using 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safety-engineered injection devices where </w:t>
            </w:r>
            <w:r w:rsidRPr="1B255D85" w:rsidR="00054E75">
              <w:rPr>
                <w:rFonts w:eastAsia="Calibri"/>
                <w:strike w:val="0"/>
                <w:dstrike w:val="0"/>
                <w:color w:val="000000" w:themeColor="text1" w:themeTint="FF" w:themeShade="FF"/>
                <w:sz w:val="20"/>
                <w:szCs w:val="20"/>
                <w:lang w:eastAsia="en-US"/>
              </w:rPr>
              <w:t>feasible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1F2CBA08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Ensure linkage to care for people with positive screening results</w:t>
            </w:r>
          </w:p>
          <w:p w:rsidRPr="00691893" w:rsidR="00054E75" w:rsidP="00054E75" w:rsidRDefault="00054E75" w14:paraId="11E97FA7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Eliminate unnecessary injections, favo</w:t>
            </w:r>
            <w:r>
              <w:rPr>
                <w:sz w:val="20"/>
                <w:szCs w:val="20"/>
                <w:lang w:eastAsia="en-US"/>
              </w:rPr>
              <w:t>u</w:t>
            </w:r>
            <w:r w:rsidRPr="00691893">
              <w:rPr>
                <w:sz w:val="20"/>
                <w:szCs w:val="20"/>
                <w:lang w:eastAsia="en-US"/>
              </w:rPr>
              <w:t>ring oral medications when possible</w:t>
            </w:r>
          </w:p>
        </w:tc>
      </w:tr>
      <w:tr w:rsidRPr="00FE6C1E" w:rsidR="00054E75" w:rsidTr="5CDCBBD9" w14:paraId="5ADA35DA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47D08B37" w14:textId="77777777">
            <w:pPr>
              <w:ind w:left="90"/>
              <w:contextualSpacing/>
              <w:jc w:val="center"/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>Harm</w:t>
            </w:r>
            <w:r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>reduction services</w:t>
            </w:r>
            <w:r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 xml:space="preserve"> including </w:t>
            </w:r>
            <w:r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>opioid agonist maintenance therapy</w:t>
            </w:r>
            <w:r w:rsidRPr="00691893">
              <w:rPr>
                <w:rFonts w:eastAsiaTheme="minorEastAsia"/>
                <w:color w:val="156082" w:themeColor="accent1"/>
                <w:sz w:val="20"/>
                <w:szCs w:val="20"/>
                <w:lang w:eastAsia="en-US"/>
              </w:rPr>
              <w:t xml:space="preserve">, needle and syringe programmes and naloxone provision for opioid overdose management </w:t>
            </w:r>
            <w:r w:rsidRPr="00691893">
              <w:rPr>
                <w:rFonts w:eastAsiaTheme="minorEastAsia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rFonts w:eastAsiaTheme="minorEastAsia"/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&lt;EndNote&gt;&lt;Cite&gt;&lt;Year&gt;2022&lt;/Year&gt;&lt;RecNum&gt;10&lt;/RecNum&gt;&lt;DisplayText&gt;(27, 89)&lt;/DisplayText&gt;&lt;record&gt;&lt;rec-number&gt;10&lt;/rec-number&gt;&lt;foreign-keys&gt;&lt;key app="EN" db-id="a5zftsaz79dzdne0xrl5drtqdp2tatz0d2zr" timestamp="1747676398"&gt;10&lt;/key&gt;&lt;/foreign-keys&gt;&lt;ref-type name="Book"&gt;6&lt;/ref-type&gt;&lt;contributors&gt;&lt;/contributors&gt;&lt;titles&gt;&lt;title&gt;Consolidated guidelines on HIV, viral hepatitis and STI prevention, diagnosis, treatment and care for key populations&lt;/title&gt;&lt;/titles&gt;&lt;dates&gt;&lt;year&gt;2022&lt;/year&gt;&lt;/dates&gt;&lt;pub-location&gt;Geneva&lt;/pub-location&gt;&lt;publisher&gt;World Health Organization&lt;/publisher&gt;&lt;urls&gt;&lt;related-urls&gt;&lt;url&gt;https://www.who.int/publications/i/item/9789240052390&lt;/url&gt;&lt;/related-urls&gt;&lt;/urls&gt;&lt;/record&gt;&lt;/Cite&gt;&lt;Cite&gt;&lt;Author&gt;UNODC&lt;/Author&gt;&lt;Year&gt;2022&lt;/Year&gt;&lt;RecNum&gt;14&lt;/RecNum&gt;&lt;record&gt;&lt;rec-number&gt;14&lt;/rec-number&gt;&lt;foreign-keys&gt;&lt;key app="EN" db-id="a5zftsaz79dzdne0xrl5drtqdp2tatz0d2zr" timestamp="1747731883"&gt;14&lt;/key&gt;&lt;/foreign-keys&gt;&lt;ref-type name="Generic"&gt;13&lt;/ref-type&gt;&lt;contributors&gt;&lt;authors&gt;&lt;author&gt;UNODC&lt;/author&gt;&lt;/authors&gt;&lt;secondary-authors&gt;&lt;author&gt;WHO&lt;/author&gt;&lt;/secondary-authors&gt;&lt;/contributors&gt;&lt;titles&gt;&lt;title&gt;Establishing and delivering evidence-based, high-quality opioid agonist therapy services: An operational tool for low- and middle-income countries&lt;/title&gt;&lt;/titles&gt;&lt;dates&gt;&lt;year&gt;2022&lt;/year&gt;&lt;/dates&gt;&lt;pub-location&gt;Vienna&lt;/pub-location&gt;&lt;publisher&gt;United Nathions Office on Drugs and Crime&lt;/publisher&gt;&lt;urls&gt;&lt;related-urls&gt;&lt;url&gt;https://www.unodc.org/documents/drug-prevention-and-treatment/22-10821_eBook_OAT_implementing_tool.pdf&lt;/url&gt;&lt;/related-urls&gt;&lt;/urls&gt;&lt;/record&gt;&lt;/Cite&gt;&lt;/EndNote&gt;</w:instrText>
            </w:r>
            <w:r w:rsidRPr="00691893">
              <w:rPr>
                <w:rFonts w:eastAsiaTheme="minorEastAsia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rFonts w:eastAsiaTheme="minorEastAsia"/>
                <w:i/>
                <w:iCs/>
                <w:color w:val="156082" w:themeColor="accent1"/>
                <w:sz w:val="20"/>
                <w:szCs w:val="20"/>
                <w:lang w:eastAsia="en-US"/>
              </w:rPr>
              <w:t>(4, 9)</w:t>
            </w:r>
            <w:r w:rsidRPr="00691893">
              <w:rPr>
                <w:rFonts w:eastAsiaTheme="minorEastAsia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  <w:p w:rsidRPr="00691893" w:rsidR="00054E75" w:rsidP="00831E4C" w:rsidRDefault="00054E75" w14:paraId="2679892F" w14:textId="77777777">
            <w:pPr>
              <w:ind w:left="90"/>
              <w:contextualSpacing/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1F909F80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Distribution of sterile needles, syringes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other harm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reduction supplies through facility-based and community-based services</w:t>
            </w:r>
          </w:p>
          <w:p w:rsidRPr="00691893" w:rsidR="00054E75" w:rsidP="00054E75" w:rsidRDefault="00054E75" w14:paraId="0A43B9A9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Us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ing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alternative distribution routes, including public or private pharmacies, secondary distribution through peers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vending machines</w:t>
            </w:r>
          </w:p>
          <w:p w:rsidR="00054E75" w:rsidP="00054E75" w:rsidRDefault="00054E75" w14:paraId="633638CC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Offering facility-based opioid agonist maintenance therapy services to people with opioid dependenc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e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ideally including psychosocial support</w:t>
            </w:r>
          </w:p>
          <w:p w:rsidR="00054E75" w:rsidP="00054E75" w:rsidRDefault="00054E75" w14:paraId="322DD0FD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Offering take-home dosages of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opioid agonist maintenance therapy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for stable clients</w:t>
            </w:r>
          </w:p>
          <w:p w:rsidR="00054E75" w:rsidP="00054E75" w:rsidRDefault="00054E75" w14:paraId="22B73C73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Facility-based and community-based distribution (through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opioid agonist maintenance therapy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and needle and syringe program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me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s) of naloxone kits for overdose management and prevention to clients, families and peers</w:t>
            </w:r>
          </w:p>
          <w:p w:rsidRPr="00691893" w:rsidR="00054E75" w:rsidP="00054E75" w:rsidRDefault="00054E75" w14:paraId="6A96C6A4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Medical withdrawal management when requested by clients, when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opioid agonist maintenance therapy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continuation is not possible or in other specific circumstances</w:t>
            </w:r>
          </w:p>
        </w:tc>
        <w:tc>
          <w:tcPr>
            <w:tcW w:w="3780" w:type="dxa"/>
            <w:tcMar/>
            <w:vAlign w:val="center"/>
          </w:tcPr>
          <w:p w:rsidR="00054E75" w:rsidP="00054E75" w:rsidRDefault="00054E75" w14:paraId="354F6AA1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When </w:t>
            </w:r>
            <w:r>
              <w:rPr>
                <w:sz w:val="20"/>
                <w:szCs w:val="20"/>
                <w:lang w:eastAsia="en-US"/>
              </w:rPr>
              <w:t>setting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priorities for </w:t>
            </w:r>
            <w:r w:rsidRPr="00691893">
              <w:rPr>
                <w:sz w:val="20"/>
                <w:szCs w:val="20"/>
                <w:lang w:eastAsia="en-US"/>
              </w:rPr>
              <w:t>harm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>reduction interventions, consider that continu</w:t>
            </w:r>
            <w:r>
              <w:rPr>
                <w:sz w:val="20"/>
                <w:szCs w:val="20"/>
                <w:lang w:eastAsia="en-US"/>
              </w:rPr>
              <w:t>ing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opioid agonist maintenance therapy</w:t>
            </w:r>
            <w:r w:rsidRPr="00691893">
              <w:rPr>
                <w:sz w:val="20"/>
                <w:szCs w:val="20"/>
                <w:lang w:eastAsia="en-US"/>
              </w:rPr>
              <w:t xml:space="preserve"> services for clients who are already in the programme </w:t>
            </w:r>
            <w:r>
              <w:rPr>
                <w:sz w:val="20"/>
                <w:szCs w:val="20"/>
                <w:lang w:eastAsia="en-US"/>
              </w:rPr>
              <w:t xml:space="preserve">and providing </w:t>
            </w:r>
            <w:r w:rsidRPr="00691893">
              <w:rPr>
                <w:sz w:val="20"/>
                <w:szCs w:val="20"/>
                <w:lang w:eastAsia="en-US"/>
              </w:rPr>
              <w:t xml:space="preserve">naloxone for overdose management should be </w:t>
            </w:r>
            <w:r>
              <w:rPr>
                <w:sz w:val="20"/>
                <w:szCs w:val="20"/>
                <w:lang w:eastAsia="en-US"/>
              </w:rPr>
              <w:t xml:space="preserve">given </w:t>
            </w:r>
            <w:r w:rsidRPr="00691893">
              <w:rPr>
                <w:sz w:val="20"/>
                <w:szCs w:val="20"/>
                <w:lang w:eastAsia="en-US"/>
              </w:rPr>
              <w:t>priorit</w:t>
            </w:r>
            <w:r>
              <w:rPr>
                <w:sz w:val="20"/>
                <w:szCs w:val="20"/>
                <w:lang w:eastAsia="en-US"/>
              </w:rPr>
              <w:t>y</w:t>
            </w:r>
            <w:r w:rsidRPr="00691893">
              <w:rPr>
                <w:sz w:val="20"/>
                <w:szCs w:val="20"/>
                <w:lang w:eastAsia="en-US"/>
              </w:rPr>
              <w:t xml:space="preserve"> as lifesaving in the short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sz w:val="20"/>
                <w:szCs w:val="20"/>
                <w:lang w:eastAsia="en-US"/>
              </w:rPr>
              <w:t>term</w:t>
            </w:r>
          </w:p>
          <w:p w:rsidRPr="00691893" w:rsidR="00054E75" w:rsidP="00054E75" w:rsidRDefault="00054E75" w14:paraId="42BA6F4A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Direct collaboration with communities and key population networks </w:t>
            </w:r>
            <w:r>
              <w:rPr>
                <w:sz w:val="20"/>
                <w:szCs w:val="20"/>
                <w:lang w:eastAsia="en-US"/>
              </w:rPr>
              <w:t xml:space="preserve">since </w:t>
            </w:r>
            <w:r w:rsidRPr="00691893">
              <w:rPr>
                <w:sz w:val="20"/>
                <w:szCs w:val="20"/>
                <w:lang w:eastAsia="en-US"/>
              </w:rPr>
              <w:t>they are essential to identify and provide safe, effective service delivery channels with greater reach</w:t>
            </w:r>
          </w:p>
          <w:p w:rsidRPr="00691893" w:rsidR="00054E75" w:rsidP="00054E75" w:rsidRDefault="00054E75" w14:paraId="054C4AB2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Engaging peer workers may mitigate stigma towards clients of harm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>reduction services</w:t>
            </w:r>
            <w:r>
              <w:rPr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sz w:val="20"/>
                <w:szCs w:val="20"/>
                <w:lang w:eastAsia="en-US"/>
              </w:rPr>
              <w:t xml:space="preserve"> improve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acceptability and uptake of services</w:t>
            </w:r>
          </w:p>
        </w:tc>
      </w:tr>
      <w:tr w:rsidRPr="00FE6C1E" w:rsidR="00054E75" w:rsidTr="5CDCBBD9" w14:paraId="1496DFF6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0050C5F7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Provision of condoms and lubricants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35C73912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</w:t>
            </w:r>
            <w:r w:rsidRPr="00691893" w:rsidDel="00927E9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vailability and distribution of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condoms and lubricants at health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-care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facilities and, whe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feasible, at communities,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giving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priorit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y to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key populations and you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ng people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36E5450D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Integrate condom and lubricant distribution with other health services (</w:t>
            </w:r>
            <w:r>
              <w:rPr>
                <w:sz w:val="20"/>
                <w:szCs w:val="20"/>
                <w:lang w:eastAsia="en-US"/>
              </w:rPr>
              <w:t>such as</w:t>
            </w:r>
            <w:r w:rsidRPr="00691893">
              <w:rPr>
                <w:sz w:val="20"/>
                <w:szCs w:val="20"/>
                <w:lang w:eastAsia="en-US"/>
              </w:rPr>
              <w:t xml:space="preserve"> family planning)</w:t>
            </w:r>
          </w:p>
        </w:tc>
      </w:tr>
      <w:tr w:rsidRPr="00FE6C1E" w:rsidR="00054E75" w:rsidTr="5CDCBBD9" w14:paraId="0A60A390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7B1AAAD8" w14:textId="77777777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Voluntary </w:t>
            </w:r>
            <w:r w:rsidRPr="00AA6BD2">
              <w:rPr>
                <w:color w:val="156082" w:themeColor="accent1"/>
                <w:sz w:val="20"/>
                <w:szCs w:val="20"/>
                <w:lang w:eastAsia="en-US"/>
              </w:rPr>
              <w:t xml:space="preserve">medical male circumcision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&lt;EndNote&gt;&lt;Cite&gt;&lt;Year&gt;2023&lt;/Year&gt;&lt;RecNum&gt;44&lt;/RecNum&gt;&lt;DisplayText&gt;(90)&lt;/DisplayText&gt;&lt;record&gt;&lt;rec-number&gt;44&lt;/rec-number&gt;&lt;foreign-keys&gt;&lt;key app="EN" db-id="a5zftsaz79dzdne0xrl5drtqdp2tatz0d2zr" timestamp="1747742382"&gt;44&lt;/key&gt;&lt;/foreign-keys&gt;&lt;ref-type name="Report"&gt;27&lt;/ref-type&gt;&lt;contributors&gt;&lt;tertiary-authors&gt;&lt;author&gt;World Health Organization&lt;/author&gt;&lt;/tertiary-authors&gt;&lt;/contributors&gt;&lt;titles&gt;&lt;title&gt;Assessing and enhancing sustainable voluntary medical male circumcision services for HIV prevention in East and Southern Africa: a landscape report of voluntary medical male circumcision priority countries&lt;/title&gt;&lt;/titles&gt;&lt;dates&gt;&lt;year&gt;2023&lt;/year&gt;&lt;/dates&gt;&lt;pub-location&gt;Geneva&lt;/pub-location&gt;&lt;urls&gt;&lt;related-urls&gt;&lt;url&gt;https://www.who.int/publications/i/item/9789240072312&lt;/url&gt;&lt;/related-urls&gt;&lt;/urls&gt;&lt;/record&gt;&lt;/Cite&gt;&lt;Cite&gt;&lt;Year&gt;2023&lt;/Year&gt;&lt;RecNum&gt;44&lt;/RecNum&gt;&lt;record&gt;&lt;rec-number&gt;44&lt;/rec-number&gt;&lt;foreign-keys&gt;&lt;key app="EN" db-id="a5zftsaz79dzdne0xrl5drtqdp2tatz0d2zr" timestamp="1747742382"&gt;44&lt;/key&gt;&lt;/foreign-keys&gt;&lt;ref-type name="Report"&gt;27&lt;/ref-type&gt;&lt;contributors&gt;&lt;tertiary-authors&gt;&lt;author&gt;World Health Organization&lt;/author&gt;&lt;/tertiary-authors&gt;&lt;/contributors&gt;&lt;titles&gt;&lt;title&gt;Assessing and enhancing sustainable voluntary medical male circumcision services for HIV prevention in East and Southern Africa: a landscape report of voluntary medical male circumcision priority countries&lt;/title&gt;&lt;/titles&gt;&lt;dates&gt;&lt;year&gt;2023&lt;/year&gt;&lt;/dates&gt;&lt;pub-location&gt;Geneva&lt;/pub-location&gt;&lt;urls&gt;&lt;related-urls&gt;&lt;url&gt;https://www.who.int/publications/i/item/9789240072312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(10)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49190F70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Give priority to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voluntary medical male circumcision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services in settings and districts with high HIV prevalence and lower circumcision coverage for adolescents aged 15 years and older and adult men</w:t>
            </w:r>
          </w:p>
          <w:p w:rsidRPr="00691893" w:rsidR="00054E75" w:rsidP="00054E75" w:rsidRDefault="00054E75" w14:paraId="617215F9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Ensure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that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adequate information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is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provided and informed consent and assent are obtained before each procedure and other preoperative necessities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in accordance with the 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WHO manual for male circumcision under local anaesthesia.</w:t>
            </w:r>
          </w:p>
          <w:p w:rsidRPr="00691893" w:rsidR="00054E75" w:rsidP="00054E75" w:rsidRDefault="00054E75" w14:paraId="70C1ECF0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Continue follow-up services for clients recently circumcised (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such as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post-operative checks)</w:t>
            </w:r>
          </w:p>
          <w:p w:rsidRPr="00691893" w:rsidR="00054E75" w:rsidP="00054E75" w:rsidRDefault="00054E75" w14:paraId="5AAB9A36" w14:textId="77777777">
            <w:pPr>
              <w:numPr>
                <w:ilvl w:val="0"/>
                <w:numId w:val="144"/>
              </w:num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 minimum package of services, including education on safer sex, condom promotion, offer of HIV testing services and management of STIs, must be delivered along with the surgical procedure</w:t>
            </w:r>
          </w:p>
          <w:p w:rsidRPr="00691893" w:rsidR="00054E75" w:rsidP="00054E75" w:rsidRDefault="00054E75" w14:paraId="04480088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Transition to sustainable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voluntary medical male circumcision</w:t>
            </w:r>
            <w:r w:rsidRPr="0069189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services and integrate with other health services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for men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59491EFF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Voluntary medical male circumcision</w:t>
            </w:r>
            <w:r w:rsidRPr="00691893">
              <w:rPr>
                <w:sz w:val="20"/>
                <w:szCs w:val="20"/>
                <w:lang w:eastAsia="en-US"/>
              </w:rPr>
              <w:t xml:space="preserve"> services should be provided based on the principles of sustainability as described in WHO </w:t>
            </w:r>
            <w:r>
              <w:rPr>
                <w:sz w:val="20"/>
                <w:szCs w:val="20"/>
                <w:lang w:eastAsia="en-US"/>
              </w:rPr>
              <w:t>voluntary medical male circumcision</w:t>
            </w:r>
            <w:r w:rsidRPr="00691893">
              <w:rPr>
                <w:sz w:val="20"/>
                <w:szCs w:val="20"/>
                <w:lang w:eastAsia="en-US"/>
              </w:rPr>
              <w:t xml:space="preserve"> sustainability guidance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486D">
              <w:rPr>
                <w:i/>
                <w:iCs/>
                <w:sz w:val="20"/>
                <w:szCs w:val="20"/>
                <w:lang w:eastAsia="en-US"/>
              </w:rPr>
              <w:t>(10)</w:t>
            </w:r>
            <w:r w:rsidRPr="00691893">
              <w:rPr>
                <w:sz w:val="20"/>
                <w:szCs w:val="20"/>
                <w:lang w:eastAsia="en-US"/>
              </w:rPr>
              <w:t xml:space="preserve"> with a focus on </w:t>
            </w:r>
            <w:r>
              <w:rPr>
                <w:sz w:val="20"/>
                <w:szCs w:val="20"/>
                <w:lang w:eastAsia="en-US"/>
              </w:rPr>
              <w:t xml:space="preserve">men </w:t>
            </w:r>
            <w:r w:rsidRPr="00691893">
              <w:rPr>
                <w:sz w:val="20"/>
                <w:szCs w:val="20"/>
                <w:lang w:eastAsia="en-US"/>
              </w:rPr>
              <w:t>aged 15 years and older.</w:t>
            </w:r>
          </w:p>
          <w:p w:rsidRPr="00691893" w:rsidR="00054E75" w:rsidP="00054E75" w:rsidRDefault="00054E75" w14:paraId="65370250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Client safety, infection prevention and control remain critical operational considerations </w:t>
            </w:r>
            <w:r>
              <w:rPr>
                <w:sz w:val="20"/>
                <w:szCs w:val="20"/>
                <w:lang w:eastAsia="en-US"/>
              </w:rPr>
              <w:t xml:space="preserve">in accordance with the </w:t>
            </w:r>
            <w:r w:rsidRPr="00691893">
              <w:rPr>
                <w:sz w:val="20"/>
                <w:szCs w:val="20"/>
                <w:lang w:eastAsia="en-US"/>
              </w:rPr>
              <w:t xml:space="preserve">WHO manual for male circumcision under local anaesthesia and HIV prevention services for adolescent boys and men </w:t>
            </w:r>
          </w:p>
        </w:tc>
      </w:tr>
      <w:tr w:rsidRPr="00FE6C1E" w:rsidR="00054E75" w:rsidTr="5CDCBBD9" w14:paraId="3DC2AD12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386F7F63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Facility-based HIV </w:t>
            </w:r>
            <w:r w:rsidRPr="004D6928">
              <w:rPr>
                <w:color w:val="156082" w:themeColor="accent1"/>
                <w:sz w:val="20"/>
                <w:szCs w:val="20"/>
                <w:lang w:eastAsia="en-US"/>
              </w:rPr>
              <w:t>testing services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&lt;EndNote&gt;&lt;Cite&gt;&lt;Year&gt;2024&lt;/Year&gt;&lt;RecNum&gt;48&lt;/RecNum&gt;&lt;DisplayText&gt;(91)&lt;/DisplayText&gt;&lt;record&gt;&lt;rec-number&gt;48&lt;/rec-number&gt;&lt;foreign-keys&gt;&lt;key app="EN" db-id="a5zftsaz79dzdne0xrl5drtqdp2tatz0d2zr" timestamp="1747742685"&gt;48&lt;/key&gt;&lt;/foreign-keys&gt;&lt;ref-type name="Book"&gt;6&lt;/ref-type&gt;&lt;contributors&gt;&lt;/contributors&gt;&lt;titles&gt;&lt;title&gt;Consolidated guidelines on differentiated HIV testing services&lt;/title&gt;&lt;/titles&gt;&lt;dates&gt;&lt;year&gt;2024&lt;/year&gt;&lt;/dates&gt;&lt;pub-location&gt;Geneva&lt;/pub-location&gt;&lt;publisher&gt;World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Organization&lt;/publisher&gt;&lt;urls&gt;&lt;related-urls&gt;&lt;url&gt;https://www.who.int/publications/i/item/9789240096394&lt;/url&gt;&lt;/related-urls&gt;&lt;/urls&gt;&lt;/record&gt;&lt;/Cite&gt;&lt;/EndNote&gt;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2876DC06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Give priority to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testing based on HIV burden, latest epidemiology and ART coverage and information on viral suppression at </w:t>
            </w:r>
            <w:r>
              <w:rPr>
                <w:rFonts w:eastAsia="Calibri"/>
                <w:sz w:val="20"/>
                <w:szCs w:val="20"/>
                <w:lang w:eastAsia="en-US"/>
              </w:rPr>
              <w:t>the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subnational level</w:t>
            </w:r>
          </w:p>
          <w:p w:rsidR="00054E75" w:rsidP="00054E75" w:rsidRDefault="00054E75" w14:paraId="72E38A99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Give priority to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maintaining routine testing access and coverage to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facilities with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greatest number of HIV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positive diagnoses and ART initiations</w:t>
            </w:r>
          </w:p>
          <w:p w:rsidR="00054E75" w:rsidP="00054E75" w:rsidRDefault="00054E75" w14:paraId="1E49072C" w14:textId="77777777" w14:noSpellErr="1">
            <w:pPr>
              <w:numPr>
                <w:ilvl w:val="0"/>
                <w:numId w:val="144"/>
              </w:numPr>
              <w:rPr>
                <w:rStyle w:val="eop"/>
                <w:strike w:val="0"/>
                <w:dstrike w:val="0"/>
                <w:sz w:val="20"/>
                <w:szCs w:val="20"/>
              </w:rPr>
            </w:pP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>Give priority to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 xml:space="preserve"> 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>testing for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 xml:space="preserve"> specific populations based on public health impact and 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 xml:space="preserve">the 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 xml:space="preserve">ability to 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>identify</w:t>
            </w:r>
            <w:r w:rsidRPr="1B255D85" w:rsidR="00054E75">
              <w:rPr>
                <w:rFonts w:eastAsia="Calibri"/>
                <w:strike w:val="0"/>
                <w:dstrike w:val="0"/>
                <w:sz w:val="20"/>
                <w:szCs w:val="20"/>
                <w:lang w:eastAsia="en-US"/>
              </w:rPr>
              <w:t xml:space="preserve"> the greatest number of</w:t>
            </w:r>
            <w:r w:rsidRPr="1B255D85" w:rsidR="00054E75">
              <w:rPr>
                <w:rStyle w:val="normaltextrun"/>
                <w:strike w:val="0"/>
                <w:dstrike w:val="0"/>
                <w:sz w:val="20"/>
                <w:szCs w:val="20"/>
              </w:rPr>
              <w:t xml:space="preserve"> HIV cases and the potential to prevent new infections. HIV testing priorities should include</w:t>
            </w:r>
            <w:r w:rsidRPr="1B255D85" w:rsidR="00054E75">
              <w:rPr>
                <w:rStyle w:val="normaltextrun"/>
                <w:strike w:val="0"/>
                <w:dstrike w:val="0"/>
                <w:sz w:val="20"/>
                <w:szCs w:val="20"/>
                <w:u w:val="single"/>
              </w:rPr>
              <w:t>:</w:t>
            </w:r>
          </w:p>
          <w:p w:rsidRPr="004D6928" w:rsidR="00054E75" w:rsidP="00054E75" w:rsidRDefault="00054E75" w14:paraId="72A4D290" w14:textId="77777777">
            <w:pPr>
              <w:numPr>
                <w:ilvl w:val="1"/>
                <w:numId w:val="144"/>
              </w:numPr>
              <w:contextualSpacing/>
              <w:rPr>
                <w:rStyle w:val="eop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s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exually active adults and adolescents (15+): </w:t>
            </w:r>
            <w:r>
              <w:rPr>
                <w:rStyle w:val="normaltextrun"/>
                <w:bCs/>
                <w:sz w:val="20"/>
                <w:szCs w:val="20"/>
              </w:rPr>
              <w:t>w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ith HIV-related signs, symptoms or risk factors (including key populations) attending any clinic or </w:t>
            </w:r>
            <w:proofErr w:type="gramStart"/>
            <w:r w:rsidRPr="00691893">
              <w:rPr>
                <w:rStyle w:val="normaltextrun"/>
                <w:bCs/>
                <w:sz w:val="20"/>
                <w:szCs w:val="20"/>
              </w:rPr>
              <w:t>hospital</w:t>
            </w:r>
            <w:r>
              <w:rPr>
                <w:rStyle w:val="normaltextrun"/>
                <w:bCs/>
                <w:sz w:val="20"/>
                <w:szCs w:val="20"/>
              </w:rPr>
              <w:t>;</w:t>
            </w:r>
            <w:proofErr w:type="gramEnd"/>
          </w:p>
          <w:p w:rsidRPr="004D6928" w:rsidR="00054E75" w:rsidP="00054E75" w:rsidRDefault="00054E75" w14:paraId="382EC544" w14:textId="77777777">
            <w:pPr>
              <w:numPr>
                <w:ilvl w:val="1"/>
                <w:numId w:val="144"/>
              </w:numPr>
              <w:contextualSpacing/>
              <w:rPr>
                <w:rStyle w:val="eop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i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ndividuals with TB, hepatitis C or STI coinfections: </w:t>
            </w:r>
            <w:r>
              <w:rPr>
                <w:rStyle w:val="normaltextrun"/>
                <w:bCs/>
                <w:sz w:val="20"/>
                <w:szCs w:val="20"/>
              </w:rPr>
              <w:t>t</w:t>
            </w:r>
            <w:r w:rsidRPr="00691893">
              <w:rPr>
                <w:rStyle w:val="normaltextrun"/>
                <w:bCs/>
                <w:sz w:val="20"/>
                <w:szCs w:val="20"/>
              </w:rPr>
              <w:t>esting should be tailored to the local</w:t>
            </w:r>
            <w:r w:rsidRPr="00691893">
              <w:rPr>
                <w:rStyle w:val="normaltextrun"/>
                <w:bCs/>
                <w:strike/>
                <w:sz w:val="20"/>
                <w:szCs w:val="20"/>
              </w:rPr>
              <w:t xml:space="preserve"> </w:t>
            </w:r>
            <w:proofErr w:type="gramStart"/>
            <w:r w:rsidRPr="00691893">
              <w:rPr>
                <w:rStyle w:val="normaltextrun"/>
                <w:bCs/>
                <w:sz w:val="20"/>
                <w:szCs w:val="20"/>
              </w:rPr>
              <w:t>burden</w:t>
            </w:r>
            <w:r>
              <w:rPr>
                <w:rStyle w:val="normaltextrun"/>
                <w:bCs/>
                <w:sz w:val="20"/>
                <w:szCs w:val="20"/>
              </w:rPr>
              <w:t>;</w:t>
            </w:r>
            <w:proofErr w:type="gramEnd"/>
          </w:p>
          <w:p w:rsidRPr="004D6928" w:rsidR="00054E75" w:rsidP="00054E75" w:rsidRDefault="00054E75" w14:paraId="75528B34" w14:textId="77777777">
            <w:pPr>
              <w:numPr>
                <w:ilvl w:val="1"/>
                <w:numId w:val="144"/>
              </w:numPr>
              <w:contextualSpacing/>
              <w:rPr>
                <w:rStyle w:val="eop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c</w:t>
            </w:r>
            <w:r w:rsidRPr="00691893">
              <w:rPr>
                <w:rStyle w:val="normaltextrun"/>
                <w:bCs/>
                <w:sz w:val="20"/>
                <w:szCs w:val="20"/>
              </w:rPr>
              <w:t>hildren</w:t>
            </w:r>
            <w:r w:rsidRPr="00691893">
              <w:rPr>
                <w:rStyle w:val="normaltextrun"/>
                <w:bCs/>
                <w:sz w:val="20"/>
                <w:szCs w:val="20"/>
                <w:u w:val="single"/>
              </w:rPr>
              <w:t>: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</w:rPr>
              <w:t>t</w:t>
            </w:r>
            <w:r w:rsidRPr="00691893">
              <w:rPr>
                <w:rStyle w:val="normaltextrun"/>
                <w:bCs/>
                <w:sz w:val="20"/>
                <w:szCs w:val="20"/>
              </w:rPr>
              <w:t>hose who are sick in high</w:t>
            </w:r>
            <w:r>
              <w:rPr>
                <w:rStyle w:val="normaltextrun"/>
                <w:bCs/>
                <w:sz w:val="20"/>
                <w:szCs w:val="20"/>
              </w:rPr>
              <w:t>-</w:t>
            </w:r>
            <w:r w:rsidRPr="00691893">
              <w:rPr>
                <w:rStyle w:val="normaltextrun"/>
                <w:bCs/>
                <w:sz w:val="20"/>
                <w:szCs w:val="20"/>
              </w:rPr>
              <w:t>HIV</w:t>
            </w:r>
            <w:r>
              <w:rPr>
                <w:rStyle w:val="normaltextrun"/>
                <w:bCs/>
                <w:sz w:val="20"/>
                <w:szCs w:val="20"/>
              </w:rPr>
              <w:t>-</w:t>
            </w:r>
            <w:r w:rsidRPr="00691893">
              <w:rPr>
                <w:rStyle w:val="normaltextrun"/>
                <w:bCs/>
                <w:sz w:val="20"/>
                <w:szCs w:val="20"/>
              </w:rPr>
              <w:t>burden settings (≥5% prevalence)</w:t>
            </w:r>
            <w:r>
              <w:rPr>
                <w:rStyle w:val="normaltextrun"/>
                <w:bCs/>
                <w:sz w:val="20"/>
                <w:szCs w:val="20"/>
              </w:rPr>
              <w:t>,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 HIV</w:t>
            </w:r>
            <w:r>
              <w:rPr>
                <w:rStyle w:val="normaltextrun"/>
                <w:bCs/>
                <w:sz w:val="20"/>
                <w:szCs w:val="20"/>
              </w:rPr>
              <w:t>-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exposed infants (optimally at </w:t>
            </w:r>
            <w:r>
              <w:rPr>
                <w:rStyle w:val="normaltextrun"/>
                <w:bCs/>
                <w:sz w:val="20"/>
                <w:szCs w:val="20"/>
              </w:rPr>
              <w:t xml:space="preserve">six 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weeks) and any biological children of newly diagnosed people with HIV at any clinic or </w:t>
            </w:r>
            <w:proofErr w:type="gramStart"/>
            <w:r w:rsidRPr="00691893">
              <w:rPr>
                <w:rStyle w:val="normaltextrun"/>
                <w:bCs/>
                <w:sz w:val="20"/>
                <w:szCs w:val="20"/>
              </w:rPr>
              <w:t>hospital</w:t>
            </w:r>
            <w:r>
              <w:rPr>
                <w:rStyle w:val="normaltextrun"/>
                <w:bCs/>
                <w:sz w:val="20"/>
                <w:szCs w:val="20"/>
              </w:rPr>
              <w:t>;</w:t>
            </w:r>
            <w:proofErr w:type="gramEnd"/>
          </w:p>
          <w:p w:rsidRPr="004D6928" w:rsidR="00054E75" w:rsidP="00054E75" w:rsidRDefault="00054E75" w14:paraId="7AB3515C" w14:textId="77777777">
            <w:pPr>
              <w:numPr>
                <w:ilvl w:val="1"/>
                <w:numId w:val="144"/>
              </w:numPr>
              <w:contextualSpacing/>
              <w:rPr>
                <w:rStyle w:val="normaltextrun"/>
                <w:bCs/>
                <w:strike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p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regnant women: </w:t>
            </w:r>
            <w:r>
              <w:rPr>
                <w:rStyle w:val="normaltextrun"/>
                <w:bCs/>
                <w:sz w:val="20"/>
                <w:szCs w:val="20"/>
              </w:rPr>
              <w:t>f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irst antenatal care </w:t>
            </w:r>
            <w:r w:rsidRPr="00691893">
              <w:rPr>
                <w:rStyle w:val="normaltextrun"/>
                <w:bCs/>
                <w:sz w:val="20"/>
                <w:szCs w:val="20"/>
                <w:shd w:val="clear" w:color="auto" w:fill="E1E3E6"/>
              </w:rPr>
              <w:t>(</w:t>
            </w:r>
            <w:r>
              <w:rPr>
                <w:rStyle w:val="normaltextrun"/>
                <w:bCs/>
                <w:sz w:val="20"/>
                <w:szCs w:val="20"/>
                <w:shd w:val="clear" w:color="auto" w:fill="E1E3E6"/>
              </w:rPr>
              <w:t>1</w:t>
            </w:r>
            <w:r w:rsidRPr="00691893">
              <w:rPr>
                <w:rStyle w:val="normaltextrun"/>
                <w:bCs/>
                <w:sz w:val="20"/>
                <w:szCs w:val="20"/>
                <w:shd w:val="clear" w:color="auto" w:fill="E1E3E6"/>
              </w:rPr>
              <w:t>2)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 contact or as early as possible if missed (aligned with guidance on preventing vertical transmission)</w:t>
            </w:r>
            <w:r>
              <w:rPr>
                <w:rStyle w:val="normaltextrun"/>
                <w:bCs/>
                <w:sz w:val="20"/>
                <w:szCs w:val="20"/>
              </w:rPr>
              <w:t>; and</w:t>
            </w:r>
          </w:p>
          <w:p w:rsidRPr="00691893" w:rsidR="00054E75" w:rsidP="00054E75" w:rsidRDefault="00054E75" w14:paraId="4C451FD8" w14:textId="77777777">
            <w:pPr>
              <w:numPr>
                <w:ilvl w:val="1"/>
                <w:numId w:val="144"/>
              </w:numPr>
              <w:contextualSpacing/>
              <w:rPr>
                <w:rStyle w:val="normaltextrun"/>
                <w:bCs/>
                <w:sz w:val="20"/>
                <w:szCs w:val="20"/>
              </w:rPr>
            </w:pPr>
            <w:r w:rsidRPr="00691893">
              <w:rPr>
                <w:rStyle w:val="normaltextrun"/>
                <w:bCs/>
                <w:sz w:val="20"/>
                <w:szCs w:val="20"/>
              </w:rPr>
              <w:t xml:space="preserve">Partners of newly diagnosed </w:t>
            </w:r>
            <w:r>
              <w:rPr>
                <w:rStyle w:val="normaltextrun"/>
                <w:bCs/>
                <w:sz w:val="20"/>
                <w:szCs w:val="20"/>
              </w:rPr>
              <w:t>people living with HIV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 and those in risk networks: </w:t>
            </w:r>
            <w:r>
              <w:rPr>
                <w:rStyle w:val="normaltextrun"/>
                <w:bCs/>
                <w:sz w:val="20"/>
                <w:szCs w:val="20"/>
              </w:rPr>
              <w:t>a</w:t>
            </w:r>
            <w:r w:rsidRPr="00691893">
              <w:rPr>
                <w:rStyle w:val="normaltextrun"/>
                <w:bCs/>
                <w:sz w:val="20"/>
                <w:szCs w:val="20"/>
              </w:rPr>
              <w:t>t minimum</w:t>
            </w:r>
            <w:r>
              <w:rPr>
                <w:rStyle w:val="normaltextrun"/>
                <w:bCs/>
                <w:sz w:val="20"/>
                <w:szCs w:val="20"/>
              </w:rPr>
              <w:t>,</w:t>
            </w:r>
            <w:r w:rsidRPr="00691893">
              <w:rPr>
                <w:rStyle w:val="normaltextrun"/>
                <w:bCs/>
                <w:sz w:val="20"/>
                <w:szCs w:val="20"/>
              </w:rPr>
              <w:t xml:space="preserve"> offering client referral with option of a self-test for all sexual and drug</w:t>
            </w:r>
            <w:r>
              <w:rPr>
                <w:rStyle w:val="normaltextrun"/>
                <w:bCs/>
                <w:sz w:val="20"/>
                <w:szCs w:val="20"/>
              </w:rPr>
              <w:t>-</w:t>
            </w:r>
            <w:r w:rsidRPr="00691893">
              <w:rPr>
                <w:rStyle w:val="normaltextrun"/>
                <w:bCs/>
                <w:sz w:val="20"/>
                <w:szCs w:val="20"/>
              </w:rPr>
              <w:t>injecting contacts as well as close contacts and associates identified to have substantial HIV risk</w:t>
            </w:r>
            <w:r>
              <w:rPr>
                <w:rStyle w:val="normaltextrun"/>
                <w:bCs/>
                <w:sz w:val="20"/>
                <w:szCs w:val="20"/>
              </w:rPr>
              <w:t>.</w:t>
            </w:r>
          </w:p>
          <w:p w:rsidR="00054E75" w:rsidP="00054E75" w:rsidRDefault="00054E75" w14:paraId="12E39131" w14:textId="77777777">
            <w:pPr>
              <w:numPr>
                <w:ilvl w:val="0"/>
                <w:numId w:val="144"/>
              </w:num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Give priority to</w:t>
            </w:r>
            <w:r w:rsidRPr="00691893">
              <w:rPr>
                <w:rStyle w:val="normaltextrun"/>
                <w:sz w:val="20"/>
                <w:szCs w:val="20"/>
              </w:rPr>
              <w:t xml:space="preserve"> services to facilitate rapid ART initiation (or re-engagement) for all people following an HIV-positive diagnosis</w:t>
            </w:r>
          </w:p>
          <w:p w:rsidRPr="00691893" w:rsidR="00054E75" w:rsidP="00054E75" w:rsidRDefault="00054E75" w14:paraId="3F45B19C" w14:textId="77777777">
            <w:pPr>
              <w:numPr>
                <w:ilvl w:val="0"/>
                <w:numId w:val="144"/>
              </w:numPr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Give priority to</w:t>
            </w:r>
            <w:r w:rsidRPr="00691893">
              <w:rPr>
                <w:rStyle w:val="normaltextrun"/>
                <w:sz w:val="20"/>
                <w:szCs w:val="20"/>
              </w:rPr>
              <w:t xml:space="preserve"> approaches that support low</w:t>
            </w:r>
            <w:r w:rsidRPr="00691893">
              <w:rPr>
                <w:rStyle w:val="normaltextrun"/>
                <w:sz w:val="20"/>
                <w:szCs w:val="20"/>
                <w:u w:val="single"/>
              </w:rPr>
              <w:t>-</w:t>
            </w:r>
            <w:r w:rsidRPr="00691893">
              <w:rPr>
                <w:rStyle w:val="normaltextrun"/>
                <w:strike/>
                <w:sz w:val="20"/>
                <w:szCs w:val="20"/>
              </w:rPr>
              <w:t xml:space="preserve"> </w:t>
            </w:r>
            <w:r w:rsidRPr="00691893">
              <w:rPr>
                <w:rStyle w:val="normaltextrun"/>
                <w:sz w:val="20"/>
                <w:szCs w:val="20"/>
              </w:rPr>
              <w:t>cost rapid initiation and continuation of HIV prevention wherever available</w:t>
            </w:r>
            <w:r>
              <w:rPr>
                <w:rStyle w:val="normaltextrun"/>
                <w:sz w:val="20"/>
                <w:szCs w:val="20"/>
              </w:rPr>
              <w:t xml:space="preserve"> or </w:t>
            </w:r>
            <w:r w:rsidRPr="00691893">
              <w:rPr>
                <w:rStyle w:val="normaltextrun"/>
                <w:sz w:val="20"/>
                <w:szCs w:val="20"/>
              </w:rPr>
              <w:t>offered</w:t>
            </w:r>
            <w:r w:rsidRPr="00691893">
              <w:rPr>
                <w:rStyle w:val="normaltextrun"/>
                <w:sz w:val="20"/>
                <w:szCs w:val="20"/>
                <w:u w:val="single"/>
              </w:rPr>
              <w:t xml:space="preserve"> for </w:t>
            </w:r>
            <w:r w:rsidRPr="00691893">
              <w:rPr>
                <w:rStyle w:val="normaltextrun"/>
                <w:sz w:val="20"/>
                <w:szCs w:val="20"/>
              </w:rPr>
              <w:t xml:space="preserve">PEP and </w:t>
            </w:r>
            <w:proofErr w:type="spellStart"/>
            <w:r w:rsidRPr="00691893">
              <w:rPr>
                <w:rStyle w:val="normaltextrun"/>
                <w:sz w:val="20"/>
                <w:szCs w:val="20"/>
              </w:rPr>
              <w:t>PrEP.</w:t>
            </w:r>
            <w:proofErr w:type="spellEnd"/>
          </w:p>
        </w:tc>
        <w:tc>
          <w:tcPr>
            <w:tcW w:w="3780" w:type="dxa"/>
            <w:tcMar/>
            <w:vAlign w:val="center"/>
          </w:tcPr>
          <w:p w:rsidR="00054E75" w:rsidP="00054E75" w:rsidRDefault="00054E75" w14:paraId="6FBB78F9" w14:textId="77777777">
            <w:pPr>
              <w:pStyle w:val="ListParagraph"/>
              <w:numPr>
                <w:ilvl w:val="0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Simplify testing delivery and discontinue all non-essential retesting: biannual testing for key populations and annual testing for other groups with ongoing risk, one targeted retest exclusively for pregnant women from key populations or in high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-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HIV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-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burden settings (≥5% prevalence) during third trimester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or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labo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u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r and delivery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and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 one retest for HIV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-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exposed infants at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the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6-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to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9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-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month visit if breastfeeding</w:t>
            </w:r>
          </w:p>
          <w:p w:rsidR="00054E75" w:rsidP="00054E75" w:rsidRDefault="00054E75" w14:paraId="061CD75B" w14:textId="77777777">
            <w:pPr>
              <w:pStyle w:val="ListParagraph"/>
              <w:numPr>
                <w:ilvl w:val="0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D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iscontinue all recency testing,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W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estern blotting, use of other line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immunoassays for routine HIV diagnosis and only use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DE573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nucleic acid amplification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for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infant</w:t>
            </w:r>
            <w:r w:rsidRPr="00691893">
              <w:rPr>
                <w:rStyle w:val="Heading1Char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691893">
              <w:rPr>
                <w:rStyle w:val="normaltextrun"/>
                <w:color w:val="000000"/>
                <w:sz w:val="20"/>
                <w:szCs w:val="20"/>
                <w:bdr w:val="none" w:color="auto" w:sz="0" w:space="0" w:frame="1"/>
              </w:rPr>
              <w:t>diagnosis &lt;18 months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  <w:p w:rsidR="00054E75" w:rsidP="00054E75" w:rsidRDefault="00054E75" w14:paraId="1B7E6AF1" w14:textId="77777777">
            <w:pPr>
              <w:pStyle w:val="ListParagraph"/>
              <w:numPr>
                <w:ilvl w:val="0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Use lower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-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cost rapid tests and self-tests such as those prequalified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by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WHO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: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rapid diagnostic testing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, dual HIV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and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syphilis tests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and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HIV self-testing</w:t>
            </w:r>
          </w:p>
          <w:p w:rsidR="00054E75" w:rsidP="00054E75" w:rsidRDefault="00054E75" w14:paraId="5BD971D2" w14:textId="77777777">
            <w:pPr>
              <w:pStyle w:val="ListParagraph"/>
              <w:numPr>
                <w:ilvl w:val="0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Use WHO-recommended flexible three-test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rapid diagnostic testing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 strategy and simplified quality tools to ensure accuracy and prevent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misdiagnosis and unnecessary ART initiation</w:t>
            </w:r>
          </w:p>
          <w:p w:rsidR="00054E75" w:rsidP="00054E75" w:rsidRDefault="00054E75" w14:paraId="3FF07010" w14:textId="77777777">
            <w:pPr>
              <w:pStyle w:val="ListParagraph"/>
              <w:numPr>
                <w:ilvl w:val="0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Consider integrated testing and multiplexing (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such as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 dual HIV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and 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 xml:space="preserve">syphilis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rapid diagnostic testing</w:t>
            </w:r>
            <w:r w:rsidRPr="00FE6C1E">
              <w:rPr>
                <w:rFonts w:eastAsiaTheme="minorEastAsia"/>
                <w:sz w:val="20"/>
                <w:szCs w:val="20"/>
                <w:lang w:eastAsia="en-US"/>
              </w:rPr>
              <w:t>) based on epidemiology and resources</w:t>
            </w:r>
          </w:p>
          <w:p w:rsidR="00054E75" w:rsidP="00054E75" w:rsidRDefault="00054E75" w14:paraId="0607E970" w14:textId="77777777">
            <w:pPr>
              <w:pStyle w:val="ListParagraph"/>
              <w:numPr>
                <w:ilvl w:val="0"/>
                <w:numId w:val="144"/>
              </w:num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69189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Task shift testing and test for triage using lay providers and self-tests across delivery</w:t>
            </w:r>
          </w:p>
          <w:p w:rsidRPr="00691893" w:rsidR="00054E75" w:rsidP="00831E4C" w:rsidRDefault="00054E75" w14:paraId="78931612" w14:textId="77777777">
            <w:pPr>
              <w:pStyle w:val="ListParagraph"/>
              <w:ind w:left="360"/>
              <w:rPr>
                <w:rFonts w:eastAsia="Aptos"/>
                <w:sz w:val="20"/>
                <w:szCs w:val="20"/>
              </w:rPr>
            </w:pPr>
          </w:p>
        </w:tc>
      </w:tr>
      <w:tr w:rsidRPr="00FE6C1E" w:rsidR="00054E75" w:rsidTr="5CDCBBD9" w14:paraId="06B74E28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70766108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Facility-based testing for syphilis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&lt;EndNote&gt;&lt;Cite&gt;&lt;Year&gt;2021&lt;/Year&gt;&lt;RecNum&gt;32&lt;/RecNum&gt;&lt;DisplayText&gt;(92)&lt;/DisplayText&gt;&lt;record&gt;&lt;rec-number&gt;32&lt;/rec-number&gt;&lt;foreign-keys&gt;&lt;key app="EN" db-id="a5zftsaz79dzdne0xrl5drtqdp2tatz0d2zr" timestamp="1747740410"&gt;32&lt;/key&gt;&lt;/foreign-keys&gt;&lt;ref-type name="Book"&gt;6&lt;/ref-type&gt;&lt;contributors&gt;&lt;/contributors&gt;&lt;titles&gt;&lt;title&gt;Guidelines of the management of symptomatic sexually transmitted infections&lt;/title&gt;&lt;/titles&gt;&lt;dates&gt;&lt;year&gt;2021&lt;/year&gt;&lt;/dates&gt;&lt;pub-location&gt;Geneva&lt;/pub-location&gt;&lt;publisher&gt;World Health Organization. &lt;/publisher&gt;&lt;urls&gt;&lt;related-urls&gt;&lt;url&gt;https://www.who.int/publications/i/item/9789240024168&lt;/url&gt;&lt;/related-urls&gt;&lt;/urls&gt;&lt;/record&gt;&lt;/Cite&gt;&lt;/EndNote&gt;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(12)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0875536A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Ensure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that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syphilis testing is available for pregnant women and key populations</w:t>
            </w:r>
          </w:p>
          <w:p w:rsidRPr="00691893" w:rsidR="00054E75" w:rsidP="00054E75" w:rsidRDefault="00054E75" w14:paraId="180DC561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Manage all positive cases with same-day treatment provided whenever possible.</w:t>
            </w:r>
          </w:p>
          <w:p w:rsidRPr="00691893" w:rsidR="00054E75" w:rsidP="00054E75" w:rsidRDefault="00054E75" w14:paraId="6359D2BB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Deliver prevention messages through community-based or remote channels.</w:t>
            </w:r>
          </w:p>
          <w:p w:rsidRPr="00691893" w:rsidR="00054E75" w:rsidP="00054E75" w:rsidRDefault="00054E75" w14:paraId="07F64E7E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Follow up with pregnant women and key populations who missed testing</w:t>
            </w:r>
          </w:p>
          <w:p w:rsidRPr="00691893" w:rsidR="00054E75" w:rsidP="00054E75" w:rsidRDefault="00054E75" w14:paraId="0F2DE33C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Continue clinic-based syphilis screening for pregnant women and key populations</w:t>
            </w:r>
          </w:p>
          <w:p w:rsidRPr="00691893" w:rsidR="00054E75" w:rsidP="00054E75" w:rsidRDefault="00054E75" w14:paraId="6E7335C2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Offer catch-up testing and treatment for key populations and pregnant women who were affected by service interruptions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54E23FD2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Use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 network-based testing when community testing is no longer feasible to reach key populations and individuals at high risk of HIV infection out</w:t>
            </w:r>
            <w:r>
              <w:rPr>
                <w:rFonts w:eastAsia="Aptos"/>
                <w:sz w:val="20"/>
                <w:szCs w:val="20"/>
                <w:lang w:eastAsia="en-US"/>
              </w:rPr>
              <w:t>side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 facilities</w:t>
            </w:r>
          </w:p>
        </w:tc>
      </w:tr>
      <w:tr w:rsidRPr="00FE6C1E" w:rsidR="00054E75" w:rsidTr="5CDCBBD9" w14:paraId="0A975234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413E1977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Facility-based testing for viral hepatitis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&lt;EndNote&gt;&lt;Cite&gt;&lt;Year&gt;2024&lt;/Year&gt;&lt;RecNum&gt;57&lt;/RecNum&gt;&lt;DisplayText&gt;(93, 85, 27)&lt;/DisplayText&gt;&lt;record&gt;&lt;rec-number&gt;57&lt;/rec-number&gt;&lt;foreign-keys&gt;&lt;key app="EN" db-id="a5zftsaz79dzdne0xrl5drtqdp2tatz0d2zr" timestamp="1747743697"&gt;57&lt;/key&gt;&lt;/foreign-keys&gt;&lt;ref-type name="Book"&gt;6&lt;/ref-type&gt;&lt;contributors&gt;&lt;/contributors&gt;&lt;titles&gt;&lt;title&gt;New recommendation on hepatitis C virus testing and treatment for people at ongoing risk of infection: policy brief.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9789240071872&lt;/url&gt;&lt;/related-urls&gt;&lt;/urls&gt;&lt;/record&gt;&lt;/Cite&gt;&lt;Cite&gt;&lt;Year&gt;2024&lt;/Year&gt;&lt;RecNum&gt;55&lt;/RecNum&gt;&lt;record&gt;&lt;rec-number&gt;55&lt;/rec-number&gt;&lt;foreign-keys&gt;&lt;key app="EN" db-id="a5zftsaz79dzdne0xrl5drtqdp2tatz0d2zr" timestamp="1747743263"&gt;55&lt;/key&gt;&lt;/foreign-keys&gt;&lt;ref-type name="Book"&gt;6&lt;/ref-type&gt;&lt;contributors&gt;&lt;/contributors&gt;&lt;titles&gt;&lt;title&gt;Guidelines for the prevention, diagnosis, care and treatment for people with chronic hepatitis B infection: policy brief.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Organization&lt;/publisher&gt;&lt;urls&gt;&lt;related-urls&gt;&lt;url&gt;https://www.who.int/publications/i/item/9789240091368 &lt;/url&gt;&lt;/related-urls&gt;&lt;/urls&gt;&lt;/record&gt;&lt;/Cite&gt;&lt;Cite&gt;&lt;Year&gt;2022&lt;/Year&gt;&lt;RecNum&gt;10&lt;/RecNum&gt;&lt;record&gt;&lt;rec-number&gt;10&lt;/rec-number&gt;&lt;foreign-keys&gt;&lt;key app="EN" db-id="a5zftsaz79dzdne0xrl5drtqdp2tatz0d2zr" timestamp="1747676398"&gt;10&lt;/key&gt;&lt;/foreign-keys&gt;&lt;ref-type name="Book"&gt;6&lt;/ref-type&gt;&lt;contributors&gt;&lt;/contributors&gt;&lt;titles&gt;&lt;title&gt;Consolidated guidelines on HIV, viral hepatitis and STI prevention, diagnosis, treatment and care for key populations&lt;/title&gt;&lt;/titles&gt;&lt;dates&gt;&lt;year&gt;2022&lt;/year&gt;&lt;/dates&gt;&lt;pub-location&gt;Geneva&lt;/pub-location&gt;&lt;publisher&gt;World Health Organization&lt;/publisher&gt;&lt;urls&gt;&lt;related-urls&gt;&lt;url&gt;https://www.who.int/publications/i/item/9789240052390&lt;/url&gt;&lt;/related-urls&gt;&lt;/urls&gt;&lt;/record&gt;&lt;/Cite&gt;&lt;/EndNote&gt;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(4, 5, 13)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0663C845" w14:textId="77777777">
            <w:pPr>
              <w:numPr>
                <w:ilvl w:val="0"/>
                <w:numId w:val="144"/>
              </w:num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Facility-based testing for hepatitis B </w:t>
            </w:r>
            <w:r>
              <w:rPr>
                <w:rFonts w:eastAsia="Calibri"/>
                <w:sz w:val="20"/>
                <w:szCs w:val="20"/>
                <w:lang w:eastAsia="en-US"/>
              </w:rPr>
              <w:t>and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C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hepatitis B surface antigen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 and anti-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hepatitis C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 serological testing in all settings for:</w:t>
            </w:r>
          </w:p>
          <w:p w:rsidR="00054E75" w:rsidP="00054E75" w:rsidRDefault="00054E75" w14:paraId="3D06B0F8" w14:textId="77777777">
            <w:pPr>
              <w:numPr>
                <w:ilvl w:val="1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a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dults and adolescents living with HIV, TB or </w:t>
            </w:r>
            <w:proofErr w:type="gramStart"/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STIs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;</w:t>
            </w:r>
            <w:proofErr w:type="gramEnd"/>
          </w:p>
          <w:p w:rsidRPr="00691893" w:rsidR="00054E75" w:rsidP="00054E75" w:rsidRDefault="00054E75" w14:paraId="44BFF2E2" w14:textId="77777777">
            <w:pPr>
              <w:numPr>
                <w:ilvl w:val="1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k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ey and high-risk populations, including migrant and indigenous populations, as well as populations from areas of high </w:t>
            </w:r>
            <w:proofErr w:type="gramStart"/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endemicity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;</w:t>
            </w:r>
            <w:proofErr w:type="gramEnd"/>
          </w:p>
          <w:p w:rsidR="00054E75" w:rsidP="00054E75" w:rsidRDefault="00054E75" w14:paraId="12D5AB4F" w14:textId="77777777">
            <w:pPr>
              <w:numPr>
                <w:ilvl w:val="1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a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dults, adolescents and children with a clinical suspicion of chronic viral hepatitis (symptoms, signs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 laboratory markers)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; and</w:t>
            </w:r>
          </w:p>
          <w:p w:rsidR="00054E75" w:rsidP="00054E75" w:rsidRDefault="00054E75" w14:paraId="2A19BC0F" w14:textId="77777777">
            <w:pPr>
              <w:numPr>
                <w:ilvl w:val="1"/>
                <w:numId w:val="144"/>
              </w:num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b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>lood donors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  <w:p w:rsidRPr="00691893" w:rsidR="00054E75" w:rsidP="00054E75" w:rsidRDefault="00054E75" w14:paraId="3850546E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All pregnant women should be tested for HIV, syphilis and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hepatitis B surface antigen</w:t>
            </w:r>
            <w:r w:rsidRPr="00691893">
              <w:rPr>
                <w:rFonts w:eastAsiaTheme="minorEastAsia"/>
                <w:sz w:val="20"/>
                <w:szCs w:val="20"/>
                <w:lang w:eastAsia="en-US"/>
              </w:rPr>
              <w:t xml:space="preserve"> at least once and as early as possible during pregnancy </w:t>
            </w:r>
            <w:r w:rsidRPr="00691893">
              <w:rPr>
                <w:rStyle w:val="normaltextrun"/>
                <w:sz w:val="20"/>
                <w:szCs w:val="20"/>
                <w:shd w:val="clear" w:color="auto" w:fill="FFFFFF"/>
              </w:rPr>
              <w:t>(information aligned with the section on preventing vertical transmission)</w:t>
            </w:r>
          </w:p>
        </w:tc>
        <w:tc>
          <w:tcPr>
            <w:tcW w:w="3780" w:type="dxa"/>
            <w:tcMar/>
            <w:vAlign w:val="center"/>
          </w:tcPr>
          <w:p w:rsidR="00054E75" w:rsidP="00054E75" w:rsidRDefault="00054E75" w14:paraId="7CC3D6A6" w14:textId="77777777">
            <w:pPr>
              <w:numPr>
                <w:ilvl w:val="0"/>
                <w:numId w:val="144"/>
              </w:numPr>
              <w:rPr>
                <w:rFonts w:eastAsia="Aptos"/>
                <w:sz w:val="20"/>
                <w:szCs w:val="20"/>
                <w:lang w:eastAsia="en-US"/>
              </w:rPr>
            </w:pP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Use low-cost, WHO-prequalified </w:t>
            </w:r>
            <w:r>
              <w:rPr>
                <w:rFonts w:eastAsia="Aptos"/>
                <w:sz w:val="20"/>
                <w:szCs w:val="20"/>
                <w:lang w:eastAsia="en-US"/>
              </w:rPr>
              <w:t>rapid diagnostic testing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 or immunoassays</w:t>
            </w:r>
          </w:p>
          <w:p w:rsidRPr="00691893" w:rsidR="00054E75" w:rsidP="00054E75" w:rsidRDefault="00054E75" w14:paraId="000EA495" w14:textId="77777777">
            <w:pPr>
              <w:numPr>
                <w:ilvl w:val="0"/>
                <w:numId w:val="144"/>
              </w:numPr>
              <w:rPr>
                <w:rFonts w:eastAsiaTheme="majorEastAsia"/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Ensure linkage to care for people with positive test results</w:t>
            </w:r>
          </w:p>
          <w:p w:rsidRPr="00691893" w:rsidR="00054E75" w:rsidP="00054E75" w:rsidRDefault="00054E75" w14:paraId="4CCC886C" w14:textId="77777777">
            <w:pPr>
              <w:numPr>
                <w:ilvl w:val="0"/>
                <w:numId w:val="144"/>
              </w:numPr>
              <w:rPr>
                <w:rFonts w:eastAsia="Aptos"/>
                <w:sz w:val="20"/>
                <w:szCs w:val="20"/>
                <w:lang w:eastAsia="en-US"/>
              </w:rPr>
            </w:pPr>
            <w:r w:rsidRPr="00FE6C1E">
              <w:rPr>
                <w:rFonts w:eastAsia="Aptos"/>
                <w:sz w:val="20"/>
                <w:szCs w:val="20"/>
                <w:lang w:eastAsia="en-US"/>
              </w:rPr>
              <w:t>Consider task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shifting and </w:t>
            </w:r>
            <w:r>
              <w:rPr>
                <w:rFonts w:eastAsia="Aptos"/>
                <w:sz w:val="20"/>
                <w:szCs w:val="20"/>
                <w:lang w:eastAsia="en-US"/>
              </w:rPr>
              <w:t>hepatitis C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 self-testing approaches to reduce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the 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>burden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on the 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>health workforce</w:t>
            </w:r>
          </w:p>
          <w:p w:rsidRPr="00691893" w:rsidR="00054E75" w:rsidP="00831E4C" w:rsidRDefault="00054E75" w14:paraId="5D9A7C16" w14:textId="77777777">
            <w:pPr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</w:tr>
      <w:tr w:rsidRPr="00FE6C1E" w:rsidR="00054E75" w:rsidTr="5CDCBBD9" w14:paraId="06E9BF33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6A39522E" w14:textId="77777777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Community-based testing for HIV, viral hepatitis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syphilis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&lt;EndNote&gt;&lt;Cite&gt;&lt;Year&gt;2024&lt;/Year&gt;&lt;RecNum&gt;54&lt;/RecNum&gt;&lt;DisplayText&gt;(94, 91)&lt;/DisplayText&gt;&lt;record&gt;&lt;rec-number&gt;54&lt;/rec-number&gt;&lt;foreign-keys&gt;&lt;key app="EN" db-id="a5zftsaz79dzdne0xrl5drtqdp2tatz0d2zr" timestamp="1747743218"&gt;54&lt;/key&gt;&lt;/foreign-keys&gt;&lt;ref-type name="Book"&gt;6&lt;/ref-type&gt;&lt;contributors&gt;&lt;/contributors&gt;&lt;titles&gt;&lt;title&gt;Consolidated guidelines on person-centred viral hepatitis strategic information: using data to support country scale-up of hepatitis prevention, diagnosis and treatment services.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Organization&lt;/publisher&gt;&lt;urls&gt;&lt;related-urls&gt;&lt;url&gt;https://www.who.int/publications/i/item/9789240104082 &lt;/url&gt;&lt;/related-urls&gt;&lt;/urls&gt;&lt;/record&gt;&lt;/Cite&gt;&lt;Cite&gt;&lt;Year&gt;2024&lt;/Year&gt;&lt;RecNum&gt;48&lt;/RecNum&gt;&lt;record&gt;&lt;rec-number&gt;48&lt;/rec-number&gt;&lt;foreign-keys&gt;&lt;key app="EN" db-id="a5zftsaz79dzdne0xrl5drtqdp2tatz0d2zr" timestamp="1747742685"&gt;48&lt;/key&gt;&lt;/foreign-keys&gt;&lt;ref-type name="Book"&gt;6&lt;/ref-type&gt;&lt;contributors&gt;&lt;/contributors&gt;&lt;titles&gt;&lt;title&gt;Consolidated guidelines on differentiated HIV testing services&lt;/title&gt;&lt;/titles&gt;&lt;dates&gt;&lt;year&gt;2024&lt;/year&gt;&lt;/dates&gt;&lt;pub-location&gt;Geneva&lt;/pub-location&gt;&lt;publisher&gt;World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Organization&lt;/publisher&gt;&lt;urls&gt;&lt;related-urls&gt;&lt;url&gt;https://www.who.int/publications/i/item/9789240096394&lt;/url&gt;&lt;/related-urls&gt;&lt;/urls&gt;&lt;/record&gt;&lt;/Cite&gt;&lt;/EndNote&gt;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(11, 14)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34129EE1" w14:textId="77777777">
            <w:pPr>
              <w:pStyle w:val="ListParagraph"/>
              <w:numPr>
                <w:ilvl w:val="0"/>
                <w:numId w:val="144"/>
              </w:numPr>
              <w:rPr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Focus community-based testing for high-risk populations, with attention to the needs of key populations</w:t>
            </w:r>
          </w:p>
          <w:p w:rsidRPr="00691893" w:rsidR="00054E75" w:rsidP="00054E75" w:rsidRDefault="00054E75" w14:paraId="4965F45B" w14:textId="77777777">
            <w:pPr>
              <w:pStyle w:val="ListParagraph"/>
              <w:numPr>
                <w:ilvl w:val="0"/>
                <w:numId w:val="144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Collaborate with community stakeholders to plan periodic (1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691893">
              <w:rPr>
                <w:sz w:val="20"/>
                <w:szCs w:val="20"/>
                <w:lang w:eastAsia="en-US"/>
              </w:rPr>
              <w:t xml:space="preserve">3 years) outreach testing activities based on </w:t>
            </w:r>
            <w:r>
              <w:rPr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sz w:val="20"/>
                <w:szCs w:val="20"/>
                <w:lang w:eastAsia="en-US"/>
              </w:rPr>
              <w:t>latest epidemiology and across disease areas</w:t>
            </w:r>
          </w:p>
          <w:p w:rsidRPr="00691893" w:rsidR="00054E75" w:rsidP="00054E75" w:rsidRDefault="00054E75" w14:paraId="675C1FFF" w14:textId="77777777">
            <w:pPr>
              <w:pStyle w:val="ListParagraph"/>
              <w:numPr>
                <w:ilvl w:val="0"/>
                <w:numId w:val="144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Workplace testing for men in high-risk industries through financing and partnerships with the private sector</w:t>
            </w:r>
          </w:p>
          <w:p w:rsidRPr="00691893" w:rsidR="00054E75" w:rsidP="00054E75" w:rsidRDefault="00054E75" w14:paraId="54446AC7" w14:textId="77777777">
            <w:pPr>
              <w:pStyle w:val="ListParagraph"/>
              <w:numPr>
                <w:ilvl w:val="0"/>
                <w:numId w:val="144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Virtual service delivery and expand </w:t>
            </w:r>
            <w:r>
              <w:rPr>
                <w:sz w:val="20"/>
                <w:szCs w:val="20"/>
                <w:lang w:eastAsia="en-US"/>
              </w:rPr>
              <w:t>HIV self-testing</w:t>
            </w:r>
            <w:r w:rsidRPr="00691893">
              <w:rPr>
                <w:sz w:val="20"/>
                <w:szCs w:val="20"/>
                <w:lang w:eastAsia="en-US"/>
              </w:rPr>
              <w:t xml:space="preserve"> access, including through pharmacies and user-paid delivery options</w:t>
            </w:r>
          </w:p>
          <w:p w:rsidRPr="00691893" w:rsidR="00054E75" w:rsidP="00054E75" w:rsidRDefault="00054E75" w14:paraId="5FC138C5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Consider options for </w:t>
            </w:r>
            <w:r>
              <w:rPr>
                <w:sz w:val="20"/>
                <w:szCs w:val="20"/>
                <w:lang w:eastAsia="en-US"/>
              </w:rPr>
              <w:t>hepatitis C</w:t>
            </w:r>
            <w:r w:rsidRPr="00691893">
              <w:rPr>
                <w:sz w:val="20"/>
                <w:szCs w:val="20"/>
                <w:lang w:eastAsia="en-US"/>
              </w:rPr>
              <w:t xml:space="preserve"> self-testing distribution</w:t>
            </w:r>
          </w:p>
          <w:p w:rsidR="00054E75" w:rsidP="00054E75" w:rsidRDefault="00054E75" w14:paraId="12ABCDAA" w14:textId="77777777">
            <w:pPr>
              <w:numPr>
                <w:ilvl w:val="0"/>
                <w:numId w:val="144"/>
              </w:numPr>
              <w:rPr>
                <w:rFonts w:eastAsia="Calibri"/>
                <w:sz w:val="20"/>
                <w:szCs w:val="20"/>
              </w:rPr>
            </w:pPr>
            <w:r w:rsidRPr="00691893">
              <w:rPr>
                <w:rFonts w:eastAsia="Calibri"/>
                <w:sz w:val="20"/>
                <w:szCs w:val="20"/>
              </w:rPr>
              <w:t>When traditional community testing is no longer feasible, leverage facility network-based approaches to reach key populations and individuals at high risk of HIV infection</w:t>
            </w:r>
          </w:p>
          <w:p w:rsidRPr="00691893" w:rsidR="00054E75" w:rsidP="00831E4C" w:rsidRDefault="00054E75" w14:paraId="63FD9C0B" w14:textId="77777777">
            <w:pPr>
              <w:ind w:left="36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Mar/>
            <w:vAlign w:val="center"/>
          </w:tcPr>
          <w:p w:rsidR="00054E75" w:rsidP="00054E75" w:rsidRDefault="00054E75" w14:paraId="13582F0F" w14:textId="77777777">
            <w:pPr>
              <w:numPr>
                <w:ilvl w:val="0"/>
                <w:numId w:val="144"/>
              </w:numPr>
              <w:rPr>
                <w:rFonts w:eastAsiaTheme="majorEastAsia"/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Establish referral and follow-up systems that remain functional even when community-based services are temporarily disrupted</w:t>
            </w:r>
          </w:p>
          <w:p w:rsidRPr="00691893" w:rsidR="00054E75" w:rsidP="00054E75" w:rsidRDefault="00054E75" w14:paraId="39121CDB" w14:textId="77777777">
            <w:pPr>
              <w:numPr>
                <w:ilvl w:val="0"/>
                <w:numId w:val="144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Integrate hepatitis and syphilis testing with HIV testing in community outreach to maximize efficiency</w:t>
            </w:r>
          </w:p>
        </w:tc>
      </w:tr>
      <w:tr w:rsidRPr="00FE6C1E" w:rsidR="00054E75" w:rsidTr="5CDCBBD9" w14:paraId="4BDB51E8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5058BF80" w14:textId="77777777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Routine ART for </w:t>
            </w:r>
            <w:r w:rsidRPr="00BA7CDE">
              <w:rPr>
                <w:color w:val="156082" w:themeColor="accent1"/>
                <w:sz w:val="20"/>
                <w:szCs w:val="20"/>
                <w:lang w:eastAsia="en-US"/>
              </w:rPr>
              <w:t xml:space="preserve">all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children, adolescents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and adults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,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including pregnant, breastfeeding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women and key populations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 ExcludeAuth="1" ExcludeYear="1"&gt;&lt;Year&gt;2024&lt;/Year&gt;&lt;RecNum&gt;54&lt;/RecNum&gt;&lt;DisplayText&gt;(94)&lt;/DisplayText&gt;&lt;record&gt;&lt;rec-number&gt;54&lt;/rec-number&gt;&lt;foreign-keys&gt;&lt;key app="EN" db-id="a5zftsaz79dzdne0xrl5drtqdp2tatz0d2zr" timestamp="1747743218"&gt;54&lt;/key&gt;&lt;/foreign-keys&gt;&lt;ref-type name="Book"&gt;6&lt;/ref-type&gt;&lt;contributors&gt;&lt;/contributors&gt;&lt;titles&gt;&lt;title&gt;Consolidated guidelines on person-centred viral hepatitis strategic information: using data to support country scale-up of hepatitis prevention, diagnosis and treatment services.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Organization&lt;/publisher&gt;&lt;urls&gt;&lt;related-urls&gt;&lt;url&gt;https://www.who.int/publications/i/item/9789240104082 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(14)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77B75F46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Uninterrupted treatment to </w:t>
            </w:r>
            <w:r w:rsidRPr="005D14FE">
              <w:rPr>
                <w:sz w:val="20"/>
                <w:szCs w:val="20"/>
                <w:lang w:eastAsia="en-US"/>
              </w:rPr>
              <w:t xml:space="preserve">all </w:t>
            </w:r>
            <w:r w:rsidRPr="00691893">
              <w:rPr>
                <w:sz w:val="20"/>
                <w:szCs w:val="20"/>
                <w:lang w:eastAsia="en-US"/>
              </w:rPr>
              <w:t xml:space="preserve">individuals </w:t>
            </w:r>
            <w:r>
              <w:rPr>
                <w:sz w:val="20"/>
                <w:szCs w:val="20"/>
                <w:lang w:eastAsia="en-US"/>
              </w:rPr>
              <w:t xml:space="preserve">receiving </w:t>
            </w:r>
            <w:r w:rsidRPr="00691893">
              <w:rPr>
                <w:sz w:val="20"/>
                <w:szCs w:val="20"/>
                <w:lang w:eastAsia="en-US"/>
              </w:rPr>
              <w:t>ART, all populations (including pregnant, breastfeeding women and key populations) and regimens</w:t>
            </w:r>
          </w:p>
          <w:p w:rsidR="00054E75" w:rsidP="00054E75" w:rsidRDefault="00054E75" w14:paraId="50CEEF19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Rapid ART initiation for all people diagnosed with HIV, including s</w:t>
            </w:r>
            <w:r w:rsidRPr="00691893">
              <w:rPr>
                <w:sz w:val="20"/>
                <w:szCs w:val="20"/>
                <w:lang w:eastAsia="en-US"/>
              </w:rPr>
              <w:t>ame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 xml:space="preserve">day ART initiation, including for individuals starting treatment outside </w:t>
            </w:r>
            <w:r>
              <w:rPr>
                <w:sz w:val="20"/>
                <w:szCs w:val="20"/>
                <w:lang w:eastAsia="en-US"/>
              </w:rPr>
              <w:t xml:space="preserve">a </w:t>
            </w:r>
            <w:r w:rsidRPr="00691893">
              <w:rPr>
                <w:sz w:val="20"/>
                <w:szCs w:val="20"/>
                <w:lang w:eastAsia="en-US"/>
              </w:rPr>
              <w:t>facility (</w:t>
            </w:r>
            <w:r>
              <w:rPr>
                <w:sz w:val="20"/>
                <w:szCs w:val="20"/>
                <w:lang w:eastAsia="en-US"/>
              </w:rPr>
              <w:t>such as</w:t>
            </w:r>
            <w:r w:rsidRPr="00691893">
              <w:rPr>
                <w:sz w:val="20"/>
                <w:szCs w:val="20"/>
                <w:lang w:eastAsia="en-US"/>
              </w:rPr>
              <w:t xml:space="preserve"> during outreach or when attending mobile services)</w:t>
            </w:r>
          </w:p>
          <w:p w:rsidRPr="00FE6C1E" w:rsidR="00054E75" w:rsidP="00054E75" w:rsidRDefault="00054E75" w14:paraId="2DB776DD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Routine ART for </w:t>
            </w:r>
            <w:r>
              <w:rPr>
                <w:sz w:val="20"/>
                <w:szCs w:val="20"/>
                <w:lang w:eastAsia="en-US"/>
              </w:rPr>
              <w:t>c</w:t>
            </w:r>
            <w:r w:rsidRPr="00691893">
              <w:rPr>
                <w:sz w:val="20"/>
                <w:szCs w:val="20"/>
                <w:lang w:eastAsia="en-US"/>
              </w:rPr>
              <w:t>hildren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054E75" w:rsidP="00054E75" w:rsidRDefault="00054E75" w14:paraId="7257BB86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691893">
              <w:rPr>
                <w:sz w:val="20"/>
                <w:szCs w:val="20"/>
                <w:lang w:eastAsia="en-US"/>
              </w:rPr>
              <w:t xml:space="preserve">ninterrupted dolutegravir-containing treatment to </w:t>
            </w:r>
            <w:r w:rsidRPr="00BA7CDE">
              <w:rPr>
                <w:sz w:val="20"/>
                <w:szCs w:val="20"/>
                <w:lang w:eastAsia="en-US"/>
              </w:rPr>
              <w:t xml:space="preserve">all </w:t>
            </w:r>
            <w:r w:rsidRPr="00691893">
              <w:rPr>
                <w:sz w:val="20"/>
                <w:szCs w:val="20"/>
                <w:lang w:eastAsia="en-US"/>
              </w:rPr>
              <w:t xml:space="preserve">children who are already </w:t>
            </w:r>
            <w:r>
              <w:rPr>
                <w:sz w:val="20"/>
                <w:szCs w:val="20"/>
                <w:lang w:eastAsia="en-US"/>
              </w:rPr>
              <w:t>receiving</w:t>
            </w:r>
            <w:r w:rsidRPr="00691893">
              <w:rPr>
                <w:sz w:val="20"/>
                <w:szCs w:val="20"/>
                <w:lang w:eastAsia="en-US"/>
              </w:rPr>
              <w:t xml:space="preserve"> ART</w:t>
            </w:r>
            <w:r>
              <w:rPr>
                <w:sz w:val="20"/>
                <w:szCs w:val="20"/>
                <w:lang w:eastAsia="en-US"/>
              </w:rPr>
              <w:t>; and</w:t>
            </w:r>
          </w:p>
          <w:p w:rsidRPr="00FE6C1E" w:rsidR="00054E75" w:rsidP="00054E75" w:rsidRDefault="00054E75" w14:paraId="2AC1E936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691893">
              <w:rPr>
                <w:sz w:val="20"/>
                <w:szCs w:val="20"/>
                <w:lang w:eastAsia="en-US"/>
              </w:rPr>
              <w:t xml:space="preserve">ispense </w:t>
            </w:r>
            <w:r>
              <w:rPr>
                <w:sz w:val="20"/>
                <w:szCs w:val="20"/>
                <w:lang w:eastAsia="en-US"/>
              </w:rPr>
              <w:t xml:space="preserve">three </w:t>
            </w:r>
            <w:r w:rsidRPr="00691893">
              <w:rPr>
                <w:sz w:val="20"/>
                <w:szCs w:val="20"/>
                <w:lang w:eastAsia="en-US"/>
              </w:rPr>
              <w:t xml:space="preserve">months </w:t>
            </w:r>
            <w:r>
              <w:rPr>
                <w:sz w:val="20"/>
                <w:szCs w:val="20"/>
                <w:lang w:eastAsia="en-US"/>
              </w:rPr>
              <w:t xml:space="preserve">of </w:t>
            </w:r>
            <w:r w:rsidRPr="00691893">
              <w:rPr>
                <w:sz w:val="20"/>
                <w:szCs w:val="20"/>
                <w:lang w:eastAsia="en-US"/>
              </w:rPr>
              <w:t>ART refills for children aged &gt;2 years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6C1C74E3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In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situations of severe </w:t>
            </w:r>
            <w:r>
              <w:rPr>
                <w:rFonts w:eastAsia="Aptos"/>
                <w:sz w:val="20"/>
                <w:szCs w:val="20"/>
                <w:lang w:eastAsia="en-US"/>
              </w:rPr>
              <w:t>antiretroviral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drug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stock</w:t>
            </w:r>
            <w:r>
              <w:rPr>
                <w:rFonts w:eastAsia="Aptos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out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or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limited access, consider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giving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priorit</w:t>
            </w:r>
            <w:r>
              <w:rPr>
                <w:rFonts w:eastAsia="Aptos"/>
                <w:sz w:val="20"/>
                <w:szCs w:val="20"/>
                <w:lang w:eastAsia="en-US"/>
              </w:rPr>
              <w:t>y to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Aptos"/>
                <w:sz w:val="20"/>
                <w:szCs w:val="20"/>
                <w:lang w:eastAsia="en-US"/>
              </w:rPr>
              <w:t>people living with HIV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with symptomatic disease and/or with CD4 &lt;350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calls/mL</w:t>
            </w:r>
          </w:p>
          <w:p w:rsidRPr="00691893" w:rsidR="00054E75" w:rsidP="00054E75" w:rsidRDefault="00054E75" w14:paraId="1ABD121E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In situation of forced ART interruption </w:t>
            </w:r>
            <w:r>
              <w:rPr>
                <w:rFonts w:eastAsia="Aptos"/>
                <w:sz w:val="20"/>
                <w:szCs w:val="20"/>
                <w:lang w:eastAsia="en-US"/>
              </w:rPr>
              <w:t>because of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stock</w:t>
            </w:r>
            <w:r>
              <w:rPr>
                <w:rFonts w:eastAsia="Aptos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outs, all drug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components of the regimen should be stopped at the same time and reinitiated together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as soon as possible</w:t>
            </w:r>
          </w:p>
          <w:p w:rsidRPr="00691893" w:rsidR="00054E75" w:rsidP="00054E75" w:rsidRDefault="00054E75" w14:paraId="626CC0B8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Ensure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stability of the supply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chain for paediatric formulations: redistribution, confirm </w:t>
            </w:r>
            <w:r>
              <w:rPr>
                <w:rFonts w:eastAsia="Calibri"/>
                <w:sz w:val="20"/>
                <w:szCs w:val="20"/>
                <w:lang w:eastAsia="en-US"/>
              </w:rPr>
              <w:t>antiretroviral drugs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in the pipeline and plan for future orders</w:t>
            </w:r>
          </w:p>
          <w:p w:rsidRPr="00691893" w:rsidR="00054E75" w:rsidP="00054E75" w:rsidRDefault="00054E75" w14:paraId="012A390D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On-site capacity-building and tools for non-trained government health workers for paediatric formulations and dosing, adherence support and referral for advanced HIV disease management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for children</w:t>
            </w:r>
          </w:p>
        </w:tc>
      </w:tr>
      <w:tr w:rsidRPr="00FE6C1E" w:rsidR="00054E75" w:rsidTr="5CDCBBD9" w14:paraId="7565F003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37E2153D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Routine screening for people living with HIV initiating (and reinitiating) ART</w:t>
            </w:r>
            <w:r w:rsidRPr="00691893" w:rsidDel="00BE3501"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77558FEF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CD4 testing:</w:t>
            </w:r>
          </w:p>
          <w:p w:rsidR="00054E75" w:rsidP="00054E75" w:rsidRDefault="00054E75" w14:paraId="287FCEAB" w14:textId="77777777">
            <w:pPr>
              <w:numPr>
                <w:ilvl w:val="1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for individuals newly initiating ART</w:t>
            </w:r>
            <w:r>
              <w:rPr>
                <w:rFonts w:eastAsia="Calibri"/>
                <w:sz w:val="20"/>
                <w:szCs w:val="20"/>
                <w:lang w:eastAsia="en-US"/>
              </w:rPr>
              <w:t>; and</w:t>
            </w:r>
          </w:p>
          <w:p w:rsidRPr="00691893" w:rsidR="00054E75" w:rsidP="00054E75" w:rsidRDefault="00054E75" w14:paraId="4A283FED" w14:textId="77777777">
            <w:pPr>
              <w:numPr>
                <w:ilvl w:val="1"/>
                <w:numId w:val="144"/>
              </w:numPr>
              <w:contextualSpacing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for those returning to care after a period of disengagement.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05293DB8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Establish</w:t>
            </w:r>
            <w:r>
              <w:rPr>
                <w:rFonts w:eastAsia="Aptos"/>
                <w:sz w:val="20"/>
                <w:szCs w:val="20"/>
                <w:lang w:eastAsia="en-US"/>
              </w:rPr>
              <w:t>ing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a stock threshold that triggers an alert when reached may help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to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prevent stock</w:t>
            </w:r>
            <w:r>
              <w:rPr>
                <w:rFonts w:eastAsia="Aptos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outs and ensure the continuity of activities by enabling timely supply, response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coordination</w:t>
            </w:r>
          </w:p>
          <w:p w:rsidRPr="00691893" w:rsidR="00054E75" w:rsidP="00054E75" w:rsidRDefault="00054E75" w14:paraId="1A316E6C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Requires supply chain support to ensure the availability of reagents, maintain functional laboratory equipment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the presence of trained staff to support uninterrupted CD4 testing across all service delivery points</w:t>
            </w:r>
          </w:p>
        </w:tc>
      </w:tr>
      <w:tr w:rsidRPr="00FE6C1E" w:rsidR="00054E75" w:rsidTr="5CDCBBD9" w14:paraId="287995FA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62B58791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Advanced HIV disease management </w: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 ExcludeAuth="1"&gt;&lt;Year&gt;2021&lt;/Year&gt;&lt;RecNum&gt;9&lt;/RecNum&gt;&lt;DisplayText&gt;(1)&lt;/DisplayText&gt;&lt;record&gt;&lt;rec-number&gt;9&lt;/rec-number&gt;&lt;foreign-keys&gt;&lt;key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691EB5D7" w14:textId="77777777">
            <w:pPr>
              <w:pStyle w:val="ListParagraph"/>
              <w:numPr>
                <w:ilvl w:val="0"/>
                <w:numId w:val="144"/>
              </w:numPr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Advanced disease package of care, including for those returning after having disengaged from treatment:</w:t>
            </w:r>
          </w:p>
          <w:p w:rsidRPr="00691893" w:rsidR="00054E75" w:rsidP="00054E75" w:rsidRDefault="00054E75" w14:paraId="5A32F616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691893">
              <w:rPr>
                <w:sz w:val="20"/>
                <w:szCs w:val="20"/>
                <w:lang w:eastAsia="en-US"/>
              </w:rPr>
              <w:t>creening and prophylaxis for common opportunistic infections (</w:t>
            </w:r>
            <w:r>
              <w:rPr>
                <w:sz w:val="20"/>
                <w:szCs w:val="20"/>
                <w:lang w:eastAsia="en-US"/>
              </w:rPr>
              <w:t>such as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TB</w:t>
            </w:r>
            <w:r w:rsidRPr="00691893">
              <w:rPr>
                <w:sz w:val="20"/>
                <w:szCs w:val="20"/>
                <w:lang w:eastAsia="en-US"/>
              </w:rPr>
              <w:t>, cryptococcal meningitis and histoplasmosis</w:t>
            </w:r>
            <w:proofErr w:type="gramStart"/>
            <w:r w:rsidRPr="00691893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</w:p>
          <w:p w:rsidRPr="00691893" w:rsidR="00054E75" w:rsidP="00054E75" w:rsidRDefault="00054E75" w14:paraId="701782EE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</w:t>
            </w:r>
            <w:r w:rsidRPr="00691893">
              <w:rPr>
                <w:sz w:val="20"/>
                <w:szCs w:val="20"/>
                <w:lang w:eastAsia="en-US"/>
              </w:rPr>
              <w:t xml:space="preserve">apid ART </w:t>
            </w:r>
            <w:proofErr w:type="gramStart"/>
            <w:r w:rsidRPr="00691893">
              <w:rPr>
                <w:sz w:val="20"/>
                <w:szCs w:val="20"/>
                <w:lang w:eastAsia="en-US"/>
              </w:rPr>
              <w:t>initiation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</w:p>
          <w:p w:rsidRPr="00691893" w:rsidR="00054E75" w:rsidP="00054E75" w:rsidRDefault="00054E75" w14:paraId="5106D59A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Pr="00691893">
              <w:rPr>
                <w:sz w:val="20"/>
                <w:szCs w:val="20"/>
                <w:lang w:eastAsia="en-US"/>
              </w:rPr>
              <w:t>reatment of identified opportunistic infections</w:t>
            </w:r>
            <w:r>
              <w:rPr>
                <w:sz w:val="20"/>
                <w:szCs w:val="20"/>
                <w:lang w:eastAsia="en-US"/>
              </w:rPr>
              <w:t>; and</w:t>
            </w:r>
          </w:p>
          <w:p w:rsidRPr="00691893" w:rsidR="00054E75" w:rsidP="00054E75" w:rsidRDefault="00054E75" w14:paraId="0E3D596D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Pr="00691893">
              <w:rPr>
                <w:sz w:val="20"/>
                <w:szCs w:val="20"/>
                <w:lang w:eastAsia="en-US"/>
              </w:rPr>
              <w:t>dherence support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54E75" w:rsidP="00054E75" w:rsidRDefault="00054E75" w14:paraId="629C7453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Use of device-free, point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>of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 xml:space="preserve">care tests can facilitate continued implementation of the </w:t>
            </w:r>
            <w:r>
              <w:rPr>
                <w:sz w:val="20"/>
                <w:szCs w:val="20"/>
                <w:lang w:eastAsia="en-US"/>
              </w:rPr>
              <w:t>advanced HIV disease</w:t>
            </w:r>
            <w:r w:rsidRPr="00691893">
              <w:rPr>
                <w:sz w:val="20"/>
                <w:szCs w:val="20"/>
                <w:lang w:eastAsia="en-US"/>
              </w:rPr>
              <w:t xml:space="preserve"> package of care – CD4 and </w:t>
            </w:r>
            <w:r w:rsidRPr="00CB6FF1">
              <w:rPr>
                <w:rFonts w:ascii="Noto Sans" w:hAnsi="Noto Sans" w:cs="Noto Sans"/>
                <w:color w:val="3C4245"/>
                <w:kern w:val="36"/>
                <w:szCs w:val="42"/>
                <w:lang w:eastAsia="en-GB"/>
              </w:rPr>
              <w:t>lateral flow urine lipoarabinomannan assay</w:t>
            </w:r>
            <w:r w:rsidRPr="008A4847" w:rsidDel="008A4847">
              <w:rPr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sz w:val="20"/>
                <w:szCs w:val="20"/>
                <w:lang w:eastAsia="en-US"/>
              </w:rPr>
              <w:t xml:space="preserve">can be conducted device-free, while </w:t>
            </w:r>
            <w:r>
              <w:rPr>
                <w:sz w:val="20"/>
                <w:szCs w:val="20"/>
                <w:lang w:eastAsia="en-US"/>
              </w:rPr>
              <w:t>c</w:t>
            </w:r>
            <w:r w:rsidRPr="00691893">
              <w:rPr>
                <w:sz w:val="20"/>
                <w:szCs w:val="20"/>
                <w:lang w:eastAsia="en-US"/>
              </w:rPr>
              <w:t xml:space="preserve">ryptococcal antigen and GeneXpert can be conducted at </w:t>
            </w:r>
            <w:r>
              <w:rPr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sz w:val="20"/>
                <w:szCs w:val="20"/>
                <w:lang w:eastAsia="en-US"/>
              </w:rPr>
              <w:t>point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sz w:val="20"/>
                <w:szCs w:val="20"/>
                <w:lang w:eastAsia="en-US"/>
              </w:rPr>
              <w:t>of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sz w:val="20"/>
                <w:szCs w:val="20"/>
                <w:lang w:eastAsia="en-US"/>
              </w:rPr>
              <w:t>care</w:t>
            </w:r>
          </w:p>
          <w:p w:rsidRPr="00691893" w:rsidR="00054E75" w:rsidP="00054E75" w:rsidRDefault="00054E75" w14:paraId="27278A2B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Preserve preventive prophylaxis with co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>trimoxazole and fluconazole, repeat CD4 testing not required for stopping co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>trimoxazole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691893">
              <w:rPr>
                <w:sz w:val="20"/>
                <w:szCs w:val="20"/>
                <w:lang w:eastAsia="en-US"/>
              </w:rPr>
              <w:t xml:space="preserve"> can be discontinued after </w:t>
            </w:r>
            <w:r>
              <w:rPr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sz w:val="20"/>
                <w:szCs w:val="20"/>
                <w:lang w:eastAsia="en-US"/>
              </w:rPr>
              <w:t>individual is established on ART</w:t>
            </w:r>
          </w:p>
          <w:p w:rsidR="00054E75" w:rsidP="00054E75" w:rsidRDefault="00054E75" w14:paraId="32EC4A52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Clinical screening to rule out signs and symptoms of meningitis</w:t>
            </w:r>
          </w:p>
          <w:p w:rsidR="00054E75" w:rsidP="00054E75" w:rsidRDefault="00054E75" w14:paraId="2DEBF632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Referral </w:t>
            </w:r>
            <w:r>
              <w:rPr>
                <w:sz w:val="20"/>
                <w:szCs w:val="20"/>
                <w:lang w:eastAsia="en-US"/>
              </w:rPr>
              <w:t>and</w:t>
            </w:r>
            <w:r w:rsidRPr="00691893">
              <w:rPr>
                <w:sz w:val="20"/>
                <w:szCs w:val="20"/>
                <w:lang w:eastAsia="en-US"/>
              </w:rPr>
              <w:t xml:space="preserve"> linkage reporting system for people transitioning in care (</w:t>
            </w:r>
            <w:r>
              <w:rPr>
                <w:sz w:val="20"/>
                <w:szCs w:val="20"/>
                <w:lang w:eastAsia="en-US"/>
              </w:rPr>
              <w:t>such as</w:t>
            </w:r>
            <w:r w:rsidRPr="00691893">
              <w:rPr>
                <w:sz w:val="20"/>
                <w:szCs w:val="20"/>
                <w:lang w:eastAsia="en-US"/>
              </w:rPr>
              <w:t xml:space="preserve"> inpatient to outpatient) to minimize individuals lost to care</w:t>
            </w:r>
          </w:p>
          <w:p w:rsidRPr="00691893" w:rsidR="00054E75" w:rsidP="00054E75" w:rsidRDefault="00054E75" w14:paraId="50509DCD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Offer TB preventive treatment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3FC29FCF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Consult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WHO guidelines on bacterial meningitis and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WHO AWARE antibiotic book for management of severe bacterial infections and WHO policy brief on caring for seriously ill </w:t>
            </w:r>
            <w:r>
              <w:rPr>
                <w:rFonts w:eastAsia="Calibri"/>
                <w:sz w:val="20"/>
                <w:szCs w:val="20"/>
                <w:lang w:eastAsia="en-US"/>
              </w:rPr>
              <w:t>people living with HIV</w:t>
            </w:r>
          </w:p>
        </w:tc>
      </w:tr>
      <w:tr w:rsidRPr="00FE6C1E" w:rsidR="00054E75" w:rsidTr="5CDCBBD9" w14:paraId="1F0FCD9C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5B7B6020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TB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screening, diagnosis, treatment and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prevention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for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people living with HIV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27239055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FE6C1E">
              <w:rPr>
                <w:sz w:val="20"/>
                <w:szCs w:val="20"/>
                <w:lang w:eastAsia="en-US"/>
              </w:rPr>
              <w:t>S</w:t>
            </w:r>
            <w:r w:rsidRPr="00691893">
              <w:rPr>
                <w:sz w:val="20"/>
                <w:szCs w:val="20"/>
                <w:lang w:eastAsia="en-US"/>
              </w:rPr>
              <w:t>creening</w:t>
            </w:r>
            <w:r w:rsidRPr="00FE6C1E">
              <w:rPr>
                <w:sz w:val="20"/>
                <w:szCs w:val="20"/>
                <w:lang w:eastAsia="en-US"/>
              </w:rPr>
              <w:t>, diagnosis, treatment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 w:rsidRPr="00FE6C1E">
              <w:rPr>
                <w:sz w:val="20"/>
                <w:szCs w:val="20"/>
                <w:lang w:eastAsia="en-US"/>
              </w:rPr>
              <w:t xml:space="preserve">and prevention </w:t>
            </w:r>
            <w:r w:rsidRPr="00691893">
              <w:rPr>
                <w:sz w:val="20"/>
                <w:szCs w:val="20"/>
                <w:lang w:eastAsia="en-US"/>
              </w:rPr>
              <w:t>for TB</w:t>
            </w:r>
          </w:p>
          <w:p w:rsidR="00054E75" w:rsidP="00054E75" w:rsidRDefault="00054E75" w14:paraId="1A64C527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FE6C1E">
              <w:rPr>
                <w:sz w:val="20"/>
                <w:szCs w:val="20"/>
                <w:lang w:eastAsia="en-US"/>
              </w:rPr>
              <w:t>P</w:t>
            </w:r>
            <w:r w:rsidRPr="00691893">
              <w:rPr>
                <w:sz w:val="20"/>
                <w:szCs w:val="20"/>
                <w:lang w:eastAsia="en-US"/>
              </w:rPr>
              <w:t>rovision of adequate stocks of TB prevention medicines to all clients to support treatment completion</w:t>
            </w:r>
          </w:p>
          <w:p w:rsidRPr="00691893" w:rsidR="00054E75" w:rsidP="00054E75" w:rsidRDefault="00054E75" w14:paraId="26EC2C75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Give priority to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using </w:t>
            </w:r>
            <w:r w:rsidRPr="00691893">
              <w:rPr>
                <w:sz w:val="20"/>
                <w:szCs w:val="20"/>
                <w:lang w:eastAsia="en-US"/>
              </w:rPr>
              <w:t>shorter WHO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 xml:space="preserve">approved </w:t>
            </w:r>
            <w:r w:rsidRPr="00DE5733">
              <w:rPr>
                <w:sz w:val="20"/>
                <w:szCs w:val="20"/>
                <w:lang w:eastAsia="en-US"/>
              </w:rPr>
              <w:t xml:space="preserve">TB preventive treatment </w:t>
            </w:r>
            <w:r w:rsidRPr="00691893">
              <w:rPr>
                <w:sz w:val="20"/>
                <w:szCs w:val="20"/>
                <w:lang w:eastAsia="en-US"/>
              </w:rPr>
              <w:t xml:space="preserve">regimens in certain populations 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4D723C53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Decentralize</w:t>
            </w:r>
            <w:r w:rsidRPr="00691893">
              <w:rPr>
                <w:sz w:val="20"/>
                <w:szCs w:val="20"/>
                <w:lang w:eastAsia="en-US"/>
              </w:rPr>
              <w:t xml:space="preserve"> TB screening and </w:t>
            </w:r>
            <w:r w:rsidRPr="00DE5733">
              <w:rPr>
                <w:sz w:val="20"/>
                <w:szCs w:val="20"/>
                <w:lang w:eastAsia="en-US"/>
              </w:rPr>
              <w:t xml:space="preserve">TB preventive treatment </w:t>
            </w:r>
            <w:r w:rsidRPr="00691893">
              <w:rPr>
                <w:sz w:val="20"/>
                <w:szCs w:val="20"/>
                <w:lang w:eastAsia="en-US"/>
              </w:rPr>
              <w:t xml:space="preserve">provision to </w:t>
            </w:r>
            <w:r w:rsidRPr="00691893">
              <w:rPr>
                <w:sz w:val="20"/>
                <w:szCs w:val="20"/>
                <w:lang w:eastAsia="en-US"/>
              </w:rPr>
              <w:t>primary care, avoiding reliance on TB specialists in low-resource settings</w:t>
            </w:r>
          </w:p>
          <w:p w:rsidRPr="00691893" w:rsidR="00054E75" w:rsidP="00054E75" w:rsidRDefault="00054E75" w14:paraId="3281225B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Optimize sample transport</w:t>
            </w:r>
          </w:p>
        </w:tc>
      </w:tr>
      <w:tr w:rsidRPr="00FE6C1E" w:rsidR="00054E75" w:rsidTr="5CDCBBD9" w14:paraId="28CFA46A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3C4F9743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ART (viral load) monitoring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&lt;EndNote&gt;&lt;Cite&gt;&lt;Year&gt;2023&lt;/Year&gt;&lt;RecNum&gt;12&lt;/RecNum&gt;&lt;DisplayText&gt;(95, 1)&lt;/DisplayText&gt;&lt;record&gt;&lt;rec-number&gt;12&lt;/rec-number&gt;&lt;foreign-keys&gt;&lt;key app="EN" db-id="a5zftsaz79dzdne0xrl5drtqdp2tatz0d2zr" timestamp="1747676704"&gt;12&lt;/key&gt;&lt;/foreign-keys&gt;&lt;ref-type name="Book"&gt;6&lt;/ref-type&gt;&lt;contributors&gt;&lt;/contributors&gt;&lt;titles&gt;&lt;title&gt;The role of HIV viral suppression in improving individual health and reducing transmission policy brief&lt;/title&gt;&lt;/titles&gt;&lt;dates&gt;&lt;year&gt;2023&lt;/year&gt;&lt;/dates&gt;&lt;pub-location&gt;Geneva&lt;/pub-location&gt;&lt;publisher&gt;World Health Organization&lt;/publisher&gt;&lt;urls&gt;&lt;related-urls&gt;&lt;url&gt;https://iris.who.int/bitstream/handle/10665/360860/9789240055179-eng.pdf&lt;/url&gt;&lt;/related-urls&gt;&lt;/urls&gt;&lt;/record&gt;&lt;/Cite&gt;&lt;Cite&gt;&lt;Year&gt;2021&lt;/Year&gt;&lt;RecNum&gt;9&lt;/RecNum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(1, 15)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546ACB04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Routine annual </w:t>
            </w: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monitoring testing (unless clinically indicated)</w:t>
            </w:r>
          </w:p>
          <w:p w:rsidRPr="00691893" w:rsidR="00054E75" w:rsidP="00054E75" w:rsidRDefault="00054E75" w14:paraId="1FFB44F4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Testing after unsuppressed </w:t>
            </w: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testing </w:t>
            </w:r>
            <w:r>
              <w:rPr>
                <w:sz w:val="20"/>
                <w:szCs w:val="20"/>
                <w:lang w:eastAsia="en-US"/>
              </w:rPr>
              <w:t>three</w:t>
            </w:r>
            <w:r w:rsidRPr="00691893">
              <w:rPr>
                <w:sz w:val="20"/>
                <w:szCs w:val="20"/>
                <w:lang w:eastAsia="en-US"/>
              </w:rPr>
              <w:t xml:space="preserve"> months after a previously elevated result (&gt;1000 copies/m</w:t>
            </w:r>
            <w:r>
              <w:rPr>
                <w:sz w:val="20"/>
                <w:szCs w:val="20"/>
                <w:lang w:eastAsia="en-US"/>
              </w:rPr>
              <w:t>L</w:t>
            </w:r>
            <w:r w:rsidRPr="00691893">
              <w:rPr>
                <w:sz w:val="20"/>
                <w:szCs w:val="20"/>
                <w:lang w:eastAsia="en-US"/>
              </w:rPr>
              <w:t>)</w:t>
            </w:r>
          </w:p>
          <w:p w:rsidRPr="00691893" w:rsidR="00054E75" w:rsidP="00054E75" w:rsidRDefault="00054E75" w14:paraId="0590F8B8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Pregnancy:</w:t>
            </w:r>
          </w:p>
          <w:p w:rsidRPr="00691893" w:rsidR="00054E75" w:rsidP="00054E75" w:rsidRDefault="00054E75" w14:paraId="25A2678A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at 34–36 weeks for all pregnant </w:t>
            </w:r>
            <w:proofErr w:type="gramStart"/>
            <w:r w:rsidRPr="00691893">
              <w:rPr>
                <w:sz w:val="20"/>
                <w:szCs w:val="20"/>
                <w:lang w:eastAsia="en-US"/>
              </w:rPr>
              <w:t>women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</w:p>
          <w:p w:rsidRPr="00691893" w:rsidR="00054E75" w:rsidP="00054E75" w:rsidRDefault="00054E75" w14:paraId="626AD18D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at first </w:t>
            </w:r>
            <w:r>
              <w:rPr>
                <w:sz w:val="20"/>
                <w:szCs w:val="20"/>
                <w:lang w:eastAsia="en-US"/>
              </w:rPr>
              <w:t>antenatal care</w:t>
            </w:r>
            <w:r w:rsidRPr="00691893">
              <w:rPr>
                <w:sz w:val="20"/>
                <w:szCs w:val="20"/>
                <w:lang w:eastAsia="en-US"/>
              </w:rPr>
              <w:t xml:space="preserve"> contact if ART started pre-conception</w:t>
            </w:r>
            <w:r>
              <w:rPr>
                <w:sz w:val="20"/>
                <w:szCs w:val="20"/>
                <w:lang w:eastAsia="en-US"/>
              </w:rPr>
              <w:t>; and</w:t>
            </w:r>
          </w:p>
          <w:p w:rsidRPr="00691893" w:rsidR="00054E75" w:rsidP="00054E75" w:rsidRDefault="00054E75" w14:paraId="36F605CF" w14:textId="77777777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at </w:t>
            </w:r>
            <w:r>
              <w:rPr>
                <w:sz w:val="20"/>
                <w:szCs w:val="20"/>
                <w:lang w:eastAsia="en-US"/>
              </w:rPr>
              <w:t>three</w:t>
            </w:r>
            <w:r w:rsidRPr="00691893">
              <w:rPr>
                <w:sz w:val="20"/>
                <w:szCs w:val="20"/>
                <w:lang w:eastAsia="en-US"/>
              </w:rPr>
              <w:t xml:space="preserve"> months if ART started during pregnancy.</w:t>
            </w:r>
          </w:p>
          <w:p w:rsidRPr="00691893" w:rsidR="00054E75" w:rsidP="00054E75" w:rsidRDefault="00054E75" w14:paraId="1749AC25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Breastfeeding: </w:t>
            </w: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at </w:t>
            </w:r>
            <w:r>
              <w:rPr>
                <w:sz w:val="20"/>
                <w:szCs w:val="20"/>
                <w:lang w:eastAsia="en-US"/>
              </w:rPr>
              <w:t>three</w:t>
            </w:r>
            <w:r w:rsidRPr="00691893">
              <w:rPr>
                <w:sz w:val="20"/>
                <w:szCs w:val="20"/>
                <w:lang w:eastAsia="en-US"/>
              </w:rPr>
              <w:t xml:space="preserve"> months postpartum, then every </w:t>
            </w:r>
            <w:r>
              <w:rPr>
                <w:sz w:val="20"/>
                <w:szCs w:val="20"/>
                <w:lang w:eastAsia="en-US"/>
              </w:rPr>
              <w:t>six</w:t>
            </w:r>
            <w:r w:rsidRPr="00691893">
              <w:rPr>
                <w:sz w:val="20"/>
                <w:szCs w:val="20"/>
                <w:lang w:eastAsia="en-US"/>
              </w:rPr>
              <w:t xml:space="preserve"> months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005DC809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Develop catch</w:t>
            </w:r>
            <w:r w:rsidRPr="00691893">
              <w:rPr>
                <w:sz w:val="20"/>
                <w:szCs w:val="20"/>
                <w:lang w:eastAsia="en-US"/>
              </w:rPr>
              <w:t xml:space="preserve">-up testing for clients who missed </w:t>
            </w:r>
            <w:r>
              <w:rPr>
                <w:sz w:val="20"/>
                <w:szCs w:val="20"/>
                <w:lang w:eastAsia="en-US"/>
              </w:rPr>
              <w:t xml:space="preserve">a </w:t>
            </w:r>
            <w:r w:rsidRPr="00691893">
              <w:rPr>
                <w:sz w:val="20"/>
                <w:szCs w:val="20"/>
                <w:lang w:eastAsia="en-US"/>
              </w:rPr>
              <w:t xml:space="preserve">routine </w:t>
            </w:r>
            <w:r>
              <w:rPr>
                <w:sz w:val="20"/>
                <w:szCs w:val="20"/>
                <w:lang w:eastAsia="en-US"/>
              </w:rPr>
              <w:t>viral load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test </w:t>
            </w:r>
            <w:r w:rsidRPr="00691893">
              <w:rPr>
                <w:sz w:val="20"/>
                <w:szCs w:val="20"/>
                <w:lang w:eastAsia="en-US"/>
              </w:rPr>
              <w:t>or had a previously unsuppressed result</w:t>
            </w:r>
          </w:p>
        </w:tc>
      </w:tr>
      <w:tr w:rsidRPr="00FE6C1E" w:rsidR="00054E75" w:rsidTr="5CDCBBD9" w14:paraId="2F27C413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40E33141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Management of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m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pox (essential for outbreak control)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>
                <w:fldData xml:space="preserve">PEVuZE5vdGU+PENpdGU+PEF1dGhvcj5NaXRqw6A8L0F1dGhvcj48WWVhcj4yMDIzPC9ZZWFyPjxS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==
</w:fldData>
              </w:fldCha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>
                <w:fldData xml:space="preserve">PEVuZE5vdGU+PENpdGU+PEF1dGhvcj5NaXRqw6A8L0F1dGhvcj48WWVhcj4yMDIzPC9ZZWFyPjxS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==
</w:fldData>
              </w:fldCha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EN.CITE.DATA 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(16, 17)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66E55C0F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Management of clients with suspected or confirmed mpox, following clinical and infection prevention guidelines</w:t>
            </w:r>
          </w:p>
          <w:p w:rsidRPr="00691893" w:rsidR="00054E75" w:rsidP="00054E75" w:rsidRDefault="00054E75" w14:paraId="0809964D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Clinical management of severe cases, </w:t>
            </w:r>
            <w:r>
              <w:rPr>
                <w:sz w:val="20"/>
                <w:szCs w:val="20"/>
                <w:lang w:eastAsia="en-US"/>
              </w:rPr>
              <w:t>especially</w:t>
            </w:r>
            <w:r w:rsidRPr="00691893">
              <w:rPr>
                <w:sz w:val="20"/>
                <w:szCs w:val="20"/>
                <w:lang w:eastAsia="en-US"/>
              </w:rPr>
              <w:t xml:space="preserve"> among individuals with advanced HIV disease</w:t>
            </w:r>
          </w:p>
          <w:p w:rsidRPr="00691893" w:rsidR="00054E75" w:rsidP="00054E75" w:rsidRDefault="00054E75" w14:paraId="72D7BC32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Referral of severe cases to specialized care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595BBB28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Develop referral pathways for severe cases for specialized care</w:t>
            </w:r>
          </w:p>
        </w:tc>
      </w:tr>
      <w:tr w:rsidRPr="00FE6C1E" w:rsidR="00054E75" w:rsidTr="5CDCBBD9" w14:paraId="490E9C47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2399DEE0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proofErr w:type="spellStart"/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>Multimonth</w:t>
            </w:r>
            <w:proofErr w:type="spellEnd"/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 dispensing</w:t>
            </w:r>
            <w:r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 of</w:t>
            </w:r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–6 </w:t>
            </w:r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>month</w:t>
            </w:r>
            <w:r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>s of</w:t>
            </w:r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 ART (</w:t>
            </w:r>
            <w:r w:rsidRPr="00E2114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reduced frequency </w:t>
            </w:r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of ART pick-up) </w: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 ExcludeAuth="1" ExcludeYear="1"&gt;&lt;Year&gt;2024&lt;/Year&gt;&lt;RecNum&gt;54&lt;/RecNum&gt;&lt;DisplayText&gt;(94)&lt;/DisplayText&gt;&lt;record&gt;&lt;rec-number&gt;54&lt;/rec-number&gt;&lt;foreign-keys&gt;&lt;key app="EN" db-id="a5zftsaz79dzdne0xrl5drtqdp2tatz0d2zr" timestamp="1747743218"&gt;54&lt;/key&gt;&lt;/foreign-keys&gt;&lt;ref-type name="Book"&gt;6&lt;/ref-type&gt;&lt;contributors&gt;&lt;/contributors&gt;&lt;titles&gt;&lt;title&gt;Consolidated guidelines on person-centred viral hepatitis strategic information: using data to support country scale-up of hepatitis prevention, diagnosis and treatment services.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Organization&lt;/publisher&gt;&lt;urls&gt;&lt;related-urls&gt;&lt;url&gt;https://www.who.int/publications/i/item/9789240104082 &lt;/url&gt;&lt;/related-urls&gt;&lt;/urls&gt;&lt;/record&gt;&lt;/Cite&gt;&lt;/EndNote&gt;</w:instrTex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t>(14)</w: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FE6C1E" w:rsidR="00054E75" w:rsidP="00054E75" w:rsidRDefault="00054E75" w14:paraId="61080646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Minimum of 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multimonth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dispensing</w:t>
            </w:r>
            <w:r w:rsidRPr="00691893">
              <w:rPr>
                <w:sz w:val="20"/>
                <w:szCs w:val="20"/>
                <w:lang w:eastAsia="en-US"/>
              </w:rPr>
              <w:t xml:space="preserve"> for all clients, unless clinically unwell, with 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multimonth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dispensing</w:t>
            </w:r>
            <w:r w:rsidRPr="00691893">
              <w:rPr>
                <w:sz w:val="20"/>
                <w:szCs w:val="20"/>
                <w:lang w:eastAsia="en-US"/>
              </w:rPr>
              <w:t xml:space="preserve"> preferred (if feasible)</w:t>
            </w:r>
          </w:p>
          <w:p w:rsidRPr="00FE6C1E" w:rsidR="00054E75" w:rsidP="00054E75" w:rsidRDefault="00054E75" w14:paraId="0BE58F8A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Enrolment of eligible clients in less-intensive </w:t>
            </w:r>
            <w:r w:rsidRPr="003C0A9E">
              <w:rPr>
                <w:sz w:val="20"/>
                <w:szCs w:val="20"/>
                <w:lang w:eastAsia="en-US"/>
              </w:rPr>
              <w:t>differentiated service delivery</w:t>
            </w:r>
            <w:r w:rsidRPr="00691893">
              <w:rPr>
                <w:sz w:val="20"/>
                <w:szCs w:val="20"/>
                <w:lang w:eastAsia="en-US"/>
              </w:rPr>
              <w:t xml:space="preserve"> models</w:t>
            </w:r>
          </w:p>
          <w:p w:rsidRPr="00691893" w:rsidR="00054E75" w:rsidP="00054E75" w:rsidRDefault="00054E75" w14:paraId="00C04806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Alternative </w:t>
            </w:r>
            <w:r>
              <w:rPr>
                <w:sz w:val="20"/>
                <w:szCs w:val="20"/>
                <w:lang w:eastAsia="en-US"/>
              </w:rPr>
              <w:t>antiretroviral</w:t>
            </w:r>
            <w:r w:rsidRPr="0069189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drug </w:t>
            </w:r>
            <w:r w:rsidRPr="00691893">
              <w:rPr>
                <w:sz w:val="20"/>
                <w:szCs w:val="20"/>
                <w:lang w:eastAsia="en-US"/>
              </w:rPr>
              <w:t>distribution routes, including public or private pharmacies, secondary distribution through peers, vending machines, faith-based groups or cent</w:t>
            </w:r>
            <w:r>
              <w:rPr>
                <w:sz w:val="20"/>
                <w:szCs w:val="20"/>
                <w:lang w:eastAsia="en-US"/>
              </w:rPr>
              <w:t>re</w:t>
            </w:r>
            <w:r w:rsidRPr="00691893">
              <w:rPr>
                <w:sz w:val="20"/>
                <w:szCs w:val="20"/>
                <w:lang w:eastAsia="en-US"/>
              </w:rPr>
              <w:t>s, community posts and community models led by trained clients (</w:t>
            </w:r>
            <w:r>
              <w:rPr>
                <w:sz w:val="20"/>
                <w:szCs w:val="20"/>
                <w:lang w:eastAsia="en-US"/>
              </w:rPr>
              <w:t>such as</w:t>
            </w:r>
            <w:r w:rsidRPr="00691893">
              <w:rPr>
                <w:sz w:val="20"/>
                <w:szCs w:val="20"/>
                <w:lang w:eastAsia="en-US"/>
              </w:rPr>
              <w:t xml:space="preserve"> community ART groups)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6B97CC11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Assess </w:t>
            </w:r>
            <w:r>
              <w:rPr>
                <w:rFonts w:eastAsia="Aptos"/>
                <w:sz w:val="20"/>
                <w:szCs w:val="20"/>
                <w:lang w:eastAsia="en-US"/>
              </w:rPr>
              <w:t>antiretroviral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drug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stock levels to guide the optimal refill and supply planning that ensures equitable distribution of </w:t>
            </w:r>
            <w:r>
              <w:rPr>
                <w:rFonts w:eastAsia="Aptos"/>
                <w:sz w:val="20"/>
                <w:szCs w:val="20"/>
                <w:lang w:eastAsia="en-US"/>
              </w:rPr>
              <w:t>antiretroviral drugs</w:t>
            </w:r>
          </w:p>
          <w:p w:rsidRPr="00691893" w:rsidR="00054E75" w:rsidP="00054E75" w:rsidRDefault="00054E75" w14:paraId="397CA9BB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Transition from </w:t>
            </w:r>
            <w:r w:rsidRPr="00DE5733">
              <w:rPr>
                <w:rFonts w:eastAsia="Aptos"/>
                <w:sz w:val="20"/>
                <w:szCs w:val="20"/>
                <w:lang w:eastAsia="en-US"/>
              </w:rPr>
              <w:t xml:space="preserve">groups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led by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health</w:t>
            </w:r>
            <w:r>
              <w:rPr>
                <w:rFonts w:eastAsia="Aptos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care worker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s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to client-led groups whe</w:t>
            </w:r>
            <w:r>
              <w:rPr>
                <w:rFonts w:eastAsia="Aptos"/>
                <w:sz w:val="20"/>
                <w:szCs w:val="20"/>
                <w:lang w:eastAsia="en-US"/>
              </w:rPr>
              <w:t>n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necessary</w:t>
            </w:r>
          </w:p>
          <w:p w:rsidRPr="00691893" w:rsidR="00054E75" w:rsidP="00054E75" w:rsidRDefault="00054E75" w14:paraId="7E882C0B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Use of early-warning indicators to monitor and manage stock levels of antiretroviral, antituberculosis and antimalaria medicines</w:t>
            </w:r>
          </w:p>
        </w:tc>
      </w:tr>
      <w:tr w:rsidRPr="00FE6C1E" w:rsidR="00054E75" w:rsidTr="5CDCBBD9" w14:paraId="64EB1C78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508E3A6A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Viral hepatitis B treatment and monitoring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&lt;EndNote&gt;&lt;Cite&gt;&lt;Year&gt;2024&lt;/Year&gt;&lt;RecNum&gt;57&lt;/RecNum&gt;&lt;DisplayText&gt;(93, 85, 27)&lt;/DisplayText&gt;&lt;record&gt;&lt;rec-number&gt;57&lt;/rec-number&gt;&lt;foreign-keys&gt;&lt;key app="EN" db-id="a5zftsaz79dzdne0xrl5drtqdp2tatz0d2zr" timestamp="1747743697"&gt;57&lt;/key&gt;&lt;/foreign-keys&gt;&lt;ref-type name="Book"&gt;6&lt;/ref-type&gt;&lt;contributors&gt;&lt;/contributors&gt;&lt;titles&gt;&lt;title&gt;New recommendation on hepatitis C virus testing and treatment for people at ongoing risk of infection: policy brief.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9789240071872&lt;/url&gt;&lt;/related-urls&gt;&lt;/urls&gt;&lt;/record&gt;&lt;/Cite&gt;&lt;Cite&gt;&lt;Year&gt;2024&lt;/Year&gt;&lt;RecNum&gt;55&lt;/RecNum&gt;&lt;record&gt;&lt;rec-number&gt;55&lt;/rec-number&gt;&lt;foreign-keys&gt;&lt;key app="EN" db-id="a5zftsaz79dzdne0xrl5drtqdp2tatz0d2zr" timestamp="1747743263"&gt;55&lt;/key&gt;&lt;/foreign-keys&gt;&lt;ref-type name="Book"&gt;6&lt;/ref-type&gt;&lt;contributors&gt;&lt;/contributors&gt;&lt;titles&gt;&lt;title&gt;Guidelines for the prevention, diagnosis, care and treatment for people with chronic hepatitis B infection: policy brief. 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Organization&lt;/publisher&gt;&lt;urls&gt;&lt;related-urls&gt;&lt;url&gt;https://www.who.int/publications/i/item/9789240091368 &lt;/url&gt;&lt;/related-urls&gt;&lt;/urls&gt;&lt;/record&gt;&lt;/Cite&gt;&lt;Cite&gt;&lt;Year&gt;2022&lt;/Year&gt;&lt;RecNum&gt;10&lt;/RecNum&gt;&lt;record&gt;&lt;rec-number&gt;10&lt;/rec-number&gt;&lt;foreign-keys&gt;&lt;key app="EN" db-id="a5zftsaz79dzdne0xrl5drtqdp2tatz0d2zr" timestamp="1747676398"&gt;10&lt;/key&gt;&lt;/foreign-keys&gt;&lt;ref-type name="Book"&gt;6&lt;/ref-type&gt;&lt;contributors&gt;&lt;/contributors&gt;&lt;titles&gt;&lt;title&gt;Consolidated guidelines on HIV, viral hepatitis and STI prevention, diagnosis, treatment and care for key populations&lt;/title&gt;&lt;/titles&gt;&lt;dates&gt;&lt;year&gt;2022&lt;/year&gt;&lt;/dates&gt;&lt;pub-location&gt;Geneva&lt;/pub-location&gt;&lt;publisher&gt;World Health Organization&lt;/publisher&gt;&lt;urls&gt;&lt;related-urls&gt;&lt;url&gt;https://www.who.int/publications/i/item/9789240052390&lt;/url&gt;&lt;/related-urls&gt;&lt;/urls&gt;&lt;/record&gt;&lt;/Cite&gt;&lt;/EndNote&gt;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(4, 5, 13)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7B63E08D" w14:textId="77777777">
            <w:pPr>
              <w:numPr>
                <w:ilvl w:val="0"/>
                <w:numId w:val="144"/>
              </w:numPr>
              <w:contextualSpacing/>
              <w:rPr>
                <w:rFonts w:eastAsiaTheme="majorEastAsia"/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 xml:space="preserve">Uninterrupted treatment to all individuals already </w:t>
            </w:r>
            <w:r>
              <w:rPr>
                <w:rFonts w:eastAsiaTheme="majorEastAsia"/>
                <w:sz w:val="20"/>
                <w:szCs w:val="20"/>
                <w:lang w:eastAsia="en-US"/>
              </w:rPr>
              <w:t>receiving</w:t>
            </w: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 xml:space="preserve"> hepatitis B treatment</w:t>
            </w:r>
          </w:p>
          <w:p w:rsidR="00054E75" w:rsidP="00054E75" w:rsidRDefault="00054E75" w14:paraId="41AA7E94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Confirm eligibility for hepatitis</w:t>
            </w:r>
            <w:r w:rsidRPr="00691893" w:rsidDel="00FA0D13">
              <w:rPr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sz w:val="20"/>
                <w:szCs w:val="20"/>
                <w:lang w:eastAsia="en-US"/>
              </w:rPr>
              <w:t>B treatment for people with positive serology and assess level of liver disease and liver fibrosis and assess coinfections and comorbidities when indicated</w:t>
            </w:r>
          </w:p>
          <w:p w:rsidR="00054E75" w:rsidP="00054E75" w:rsidRDefault="00054E75" w14:paraId="44C6C942" w14:textId="77777777">
            <w:pPr>
              <w:numPr>
                <w:ilvl w:val="0"/>
                <w:numId w:val="144"/>
              </w:numPr>
              <w:contextualSpacing/>
              <w:rPr>
                <w:rFonts w:eastAsiaTheme="majorEastAsia"/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Extended medicine supply at treatment initiation (with adherence support) to</w:t>
            </w:r>
            <w:r>
              <w:rPr>
                <w:rFonts w:eastAsiaTheme="majorEastAsia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3</w:t>
            </w:r>
            <w:r>
              <w:rPr>
                <w:rFonts w:eastAsiaTheme="majorEastAsia"/>
                <w:sz w:val="20"/>
                <w:szCs w:val="20"/>
                <w:lang w:eastAsia="en-US"/>
              </w:rPr>
              <w:t>–</w:t>
            </w: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6</w:t>
            </w:r>
            <w:r>
              <w:rPr>
                <w:rFonts w:eastAsiaTheme="majorEastAsia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month</w:t>
            </w:r>
            <w:r>
              <w:rPr>
                <w:rFonts w:eastAsiaTheme="majorEastAsia"/>
                <w:sz w:val="20"/>
                <w:szCs w:val="20"/>
                <w:lang w:eastAsia="en-US"/>
              </w:rPr>
              <w:t>s</w:t>
            </w: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 xml:space="preserve"> for hepatitis B treatment</w:t>
            </w:r>
          </w:p>
          <w:p w:rsidRPr="00691893" w:rsidR="00054E75" w:rsidP="00054E75" w:rsidRDefault="00054E75" w14:paraId="1923CC7C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Monitoring and follow-up: annual viral load monitoring for hepatitis B</w:t>
            </w:r>
          </w:p>
          <w:p w:rsidR="00054E75" w:rsidP="00054E75" w:rsidRDefault="00054E75" w14:paraId="0D686CEB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Additionally, whe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691893">
              <w:rPr>
                <w:sz w:val="20"/>
                <w:szCs w:val="20"/>
                <w:lang w:eastAsia="en-US"/>
              </w:rPr>
              <w:t xml:space="preserve"> enrolment into viral hepatitis treatment is continued:</w:t>
            </w:r>
          </w:p>
          <w:p w:rsidRPr="00691893" w:rsidR="00054E75" w:rsidP="00054E75" w:rsidRDefault="00054E75" w14:paraId="7A272BDD" w14:textId="77777777">
            <w:pPr>
              <w:numPr>
                <w:ilvl w:val="1"/>
                <w:numId w:val="144"/>
              </w:numPr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 xml:space="preserve">Provide hepatitis B </w:t>
            </w:r>
            <w:r w:rsidRPr="00691893">
              <w:rPr>
                <w:rFonts w:eastAsiaTheme="majorEastAsia"/>
                <w:sz w:val="20"/>
                <w:szCs w:val="20"/>
                <w:lang w:eastAsia="en-US"/>
              </w:rPr>
              <w:t>treatment</w:t>
            </w:r>
            <w:r w:rsidRPr="00691893">
              <w:rPr>
                <w:sz w:val="20"/>
                <w:szCs w:val="20"/>
                <w:lang w:eastAsia="en-US"/>
              </w:rPr>
              <w:t xml:space="preserve"> to all adults and adolescents aged ≥12 years with chronic hepatitis B infection (including pregnant women and girls and women of reproductive age) meeting </w:t>
            </w:r>
            <w:r>
              <w:rPr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sz w:val="20"/>
                <w:szCs w:val="20"/>
                <w:lang w:eastAsia="en-US"/>
              </w:rPr>
              <w:t>eligibility criteria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4BCABBD7" w14:textId="77777777">
            <w:pPr>
              <w:numPr>
                <w:ilvl w:val="0"/>
                <w:numId w:val="144"/>
              </w:numPr>
              <w:contextualSpacing/>
              <w:rPr>
                <w:rStyle w:val="normaltextrun"/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Style w:val="normaltextrun"/>
                <w:color w:val="403582"/>
                <w:sz w:val="20"/>
                <w:szCs w:val="20"/>
              </w:rPr>
              <w:t>Consider integration, decentralization and task-shifting approaches, notably for clients without advanced liver disease, to reduce the health workforce burden in specialized settings</w:t>
            </w:r>
          </w:p>
          <w:p w:rsidRPr="00054E75" w:rsidR="00054E75" w:rsidP="00054E75" w:rsidRDefault="00054E75" w14:paraId="3B94F901" w14:textId="77777777">
            <w:pPr>
              <w:pStyle w:val="ListParagraph"/>
              <w:numPr>
                <w:ilvl w:val="1"/>
                <w:numId w:val="144"/>
              </w:numPr>
              <w:rPr>
                <w:rFonts w:eastAsia="Aptos"/>
                <w:sz w:val="20"/>
                <w:szCs w:val="20"/>
                <w:u w:val="single"/>
                <w:lang w:eastAsia="en-US"/>
              </w:rPr>
            </w:pPr>
            <w:r w:rsidRPr="00054E75">
              <w:rPr>
                <w:rFonts w:eastAsia="Aptos"/>
                <w:sz w:val="20"/>
                <w:szCs w:val="20"/>
                <w:u w:val="single"/>
                <w:lang w:eastAsia="en-US"/>
              </w:rPr>
              <w:t>Consider using point-of-care solutions as well as reflex testing for hepatitis B DNA</w:t>
            </w:r>
          </w:p>
          <w:p w:rsidRPr="00691893" w:rsidR="00054E75" w:rsidP="00831E4C" w:rsidRDefault="00054E75" w14:paraId="5D21634B" w14:textId="77777777">
            <w:pPr>
              <w:ind w:left="720"/>
              <w:contextualSpacing/>
              <w:rPr>
                <w:rFonts w:eastAsia="Aptos"/>
                <w:sz w:val="20"/>
                <w:szCs w:val="20"/>
                <w:lang w:eastAsia="en-US"/>
              </w:rPr>
            </w:pPr>
          </w:p>
        </w:tc>
      </w:tr>
      <w:tr w:rsidRPr="00FE6C1E" w:rsidR="00054E75" w:rsidTr="5CDCBBD9" w14:paraId="7B8CA0B2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2AB01AD6" w14:textId="77777777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Viral hepatitis C treatment and monitoring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 xml:space="preserve"> (4, 5, 14)</w:t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41024528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Uninterrupted treatment </w:t>
            </w:r>
            <w:r>
              <w:rPr>
                <w:rFonts w:eastAsia="Calibri"/>
                <w:sz w:val="20"/>
                <w:szCs w:val="20"/>
                <w:lang w:eastAsia="en-US"/>
              </w:rPr>
              <w:t>for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all individuals already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receiving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hepatitis C treatment</w:t>
            </w:r>
          </w:p>
          <w:p w:rsidR="00054E75" w:rsidP="00054E75" w:rsidRDefault="00054E75" w14:paraId="0F23D8F7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Confirm chronic hepatitis C diagnosis and assess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level of liver disease and liver fibrosis and assess coinfections and comorbidities when indicated</w:t>
            </w:r>
          </w:p>
          <w:p w:rsidR="00054E75" w:rsidP="00054E75" w:rsidRDefault="00054E75" w14:paraId="6D472F81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Provide full treatment course (8, 12 or 24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weeks) for hepatitis C</w:t>
            </w:r>
          </w:p>
          <w:p w:rsidR="00054E75" w:rsidP="00054E75" w:rsidRDefault="00054E75" w14:paraId="5EF65568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Scheduling of hepatitis C confirmation of cure at 12 weeks post-treatment</w:t>
            </w:r>
          </w:p>
          <w:p w:rsidRPr="00691893" w:rsidR="00054E75" w:rsidP="00054E75" w:rsidRDefault="00054E75" w14:paraId="2B37660D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Additionally, whe</w:t>
            </w:r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enrolment into viral hepatitis treatment is continued: </w:t>
            </w:r>
            <w:r>
              <w:rPr>
                <w:rFonts w:eastAsia="Calibri"/>
                <w:sz w:val="20"/>
                <w:szCs w:val="20"/>
                <w:lang w:eastAsia="en-US"/>
              </w:rPr>
              <w:t>p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rovide hepatitis C treatment to all adults, adolescents and children aged ≥3 years with chronic hepatitis C infection, regardless of stage of disease</w:t>
            </w:r>
          </w:p>
        </w:tc>
        <w:tc>
          <w:tcPr>
            <w:tcW w:w="3780" w:type="dxa"/>
            <w:tcMar/>
            <w:vAlign w:val="center"/>
          </w:tcPr>
          <w:p w:rsidR="00054E75" w:rsidP="00054E75" w:rsidRDefault="00054E75" w14:paraId="0752D073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Consider decentralization and task-shifting approaches</w:t>
            </w:r>
            <w:r>
              <w:rPr>
                <w:rFonts w:eastAsia="Aptos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notably for clients without advanced liver disease</w:t>
            </w:r>
            <w:r>
              <w:rPr>
                <w:rFonts w:eastAsia="Aptos"/>
                <w:sz w:val="20"/>
                <w:szCs w:val="20"/>
                <w:lang w:eastAsia="en-US"/>
              </w:rPr>
              <w:t>,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to reduce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health workforce burden in specialized settings</w:t>
            </w:r>
          </w:p>
          <w:p w:rsidRPr="00691893" w:rsidR="00054E75" w:rsidP="00054E75" w:rsidRDefault="00054E75" w14:paraId="0F138972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FE6C1E">
              <w:rPr>
                <w:rFonts w:eastAsia="Aptos"/>
                <w:sz w:val="20"/>
                <w:szCs w:val="20"/>
                <w:lang w:eastAsia="en-US"/>
              </w:rPr>
              <w:t>Consider us</w:t>
            </w:r>
            <w:r>
              <w:rPr>
                <w:rFonts w:eastAsia="Aptos"/>
                <w:sz w:val="20"/>
                <w:szCs w:val="20"/>
                <w:lang w:eastAsia="en-US"/>
              </w:rPr>
              <w:t>ing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 point-of-care solutions as well as reflex testing for </w:t>
            </w:r>
            <w:r>
              <w:rPr>
                <w:rFonts w:eastAsia="Aptos"/>
                <w:sz w:val="20"/>
                <w:szCs w:val="20"/>
                <w:lang w:eastAsia="en-US"/>
              </w:rPr>
              <w:t>hepatitis C</w:t>
            </w:r>
            <w:r w:rsidRPr="00FE6C1E">
              <w:rPr>
                <w:rFonts w:eastAsia="Aptos"/>
                <w:sz w:val="20"/>
                <w:szCs w:val="20"/>
                <w:lang w:eastAsia="en-US"/>
              </w:rPr>
              <w:t xml:space="preserve"> RNA</w:t>
            </w:r>
          </w:p>
        </w:tc>
      </w:tr>
      <w:tr w:rsidRPr="00FE6C1E" w:rsidR="00054E75" w:rsidTr="5CDCBBD9" w14:paraId="2D2B0892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5CFDB50A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Syndromic management of STIs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(genital discharge; ulcer disease)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 ExcludeAuth="1" ExcludeYear="1"&gt;&lt;Year&gt;2021&lt;/Year&gt;&lt;RecNum&gt;32&lt;/RecNum&gt;&lt;DisplayText&gt;(92)&lt;/DisplayText&gt;&lt;record&gt;&lt;rec-number&gt;32&lt;/rec-number&gt;&lt;foreign-keys&gt;&lt;key app="EN" db-id="a5zftsaz79dzdne0xrl5drtqdp2tatz0d2zr" timestamp="1747740410"&gt;32&lt;/key&gt;&lt;/foreign-keys&gt;&lt;ref-type name="Book"&gt;6&lt;/ref-type&gt;&lt;contributors&gt;&lt;/contributors&gt;&lt;titles&gt;&lt;title&gt;Guidelines of the management of symptomatic sexually transmitted infections&lt;/title&gt;&lt;/titles&gt;&lt;dates&gt;&lt;year&gt;2021&lt;/year&gt;&lt;/dates&gt;&lt;pub-location&gt;Geneva&lt;/pub-location&gt;&lt;publisher&gt;World Health Organization. &lt;/publisher&gt;&lt;urls&gt;&lt;related-urls&gt;&lt;url&gt;https://www.who.int/publications/i/item/9789240024168&lt;/url&gt;&lt;/related-urls&gt;&lt;/urls&gt;&lt;/record&gt;&lt;/Cite&gt;&lt;/EndNote&gt;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(12)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="00054E75" w:rsidP="00054E75" w:rsidRDefault="00054E75" w14:paraId="0C171B86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Continue </w:t>
            </w:r>
            <w:r>
              <w:rPr>
                <w:rFonts w:eastAsia="Calibri"/>
                <w:sz w:val="20"/>
                <w:szCs w:val="20"/>
                <w:lang w:eastAsia="en-US"/>
              </w:rPr>
              <w:t>to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provi</w:t>
            </w:r>
            <w:r>
              <w:rPr>
                <w:rFonts w:eastAsia="Calibri"/>
                <w:sz w:val="20"/>
                <w:szCs w:val="20"/>
                <w:lang w:eastAsia="en-US"/>
              </w:rPr>
              <w:t>de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syndromic management</w:t>
            </w:r>
            <w:r w:rsidRPr="00691893" w:rsidDel="00A3515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of STIs</w:t>
            </w:r>
          </w:p>
          <w:p w:rsidRPr="00691893" w:rsidR="00054E75" w:rsidP="00054E75" w:rsidRDefault="00054E75" w14:paraId="6D87A3D1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Provi</w:t>
            </w:r>
            <w:r>
              <w:rPr>
                <w:rFonts w:eastAsia="Calibri"/>
                <w:sz w:val="20"/>
                <w:szCs w:val="20"/>
                <w:lang w:eastAsia="en-US"/>
              </w:rPr>
              <w:t>de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partner treatment, with a strong preference for same-day treatment whenever feasible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07A4755A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On-</w:t>
            </w:r>
            <w:r>
              <w:rPr>
                <w:rFonts w:eastAsia="Aptos"/>
                <w:sz w:val="20"/>
                <w:szCs w:val="20"/>
                <w:lang w:eastAsia="en-US"/>
              </w:rPr>
              <w:t>the-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job capacity building of health</w:t>
            </w:r>
            <w:r>
              <w:rPr>
                <w:rFonts w:eastAsia="Aptos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care providers on the syndromic management of STIs</w:t>
            </w:r>
          </w:p>
          <w:p w:rsidRPr="00691893" w:rsidR="00054E75" w:rsidP="00054E75" w:rsidRDefault="00054E75" w14:paraId="4B36AAE0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Steady supply of STI syndromic management medications and diagnostic at all primary care facilities</w:t>
            </w:r>
          </w:p>
          <w:p w:rsidRPr="00691893" w:rsidR="00054E75" w:rsidP="00054E75" w:rsidRDefault="00054E75" w14:paraId="0B464186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Collect and report STI data through existing health information systems, digital</w:t>
            </w:r>
            <w:r>
              <w:rPr>
                <w:rFonts w:eastAsia="Aptos"/>
                <w:sz w:val="20"/>
                <w:szCs w:val="20"/>
                <w:lang w:eastAsia="en-US"/>
              </w:rPr>
              <w:t>ly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if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possible</w:t>
            </w:r>
          </w:p>
          <w:p w:rsidRPr="00691893" w:rsidR="00054E75" w:rsidP="00054E75" w:rsidRDefault="00054E75" w14:paraId="214C659B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Conduct integrated regular quality and compliance with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syndromic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management guidelines</w:t>
            </w:r>
          </w:p>
          <w:p w:rsidRPr="00691893" w:rsidR="00054E75" w:rsidP="00054E75" w:rsidRDefault="00054E75" w14:paraId="0AE2C06E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Integrate awareness of syndromic management services through health outreach</w:t>
            </w:r>
          </w:p>
          <w:p w:rsidRPr="00691893" w:rsidR="00054E75" w:rsidP="00054E75" w:rsidRDefault="00054E75" w14:paraId="37FCFCA0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Strengthen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referral system for clients requiring specialized care</w:t>
            </w:r>
          </w:p>
          <w:p w:rsidRPr="00691893" w:rsidR="00054E75" w:rsidP="00054E75" w:rsidRDefault="00054E75" w14:paraId="7F745698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Develop clear pathways for partner notification</w:t>
            </w:r>
            <w:r w:rsidRPr="00691893">
              <w:rPr>
                <w:sz w:val="20"/>
                <w:szCs w:val="20"/>
              </w:rPr>
              <w:t xml:space="preserve"> and testing</w:t>
            </w:r>
          </w:p>
        </w:tc>
      </w:tr>
      <w:tr w:rsidRPr="00FE6C1E" w:rsidR="00054E75" w:rsidTr="5CDCBBD9" w14:paraId="64581942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66F48C8C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>Prevention and continu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ing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care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for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common comorbidities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>among</w:t>
            </w: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156082" w:themeColor="accent1"/>
                <w:sz w:val="20"/>
                <w:szCs w:val="20"/>
                <w:lang w:eastAsia="en-US"/>
              </w:rPr>
              <w:t xml:space="preserve">people living with HIV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054E75" w:rsidR="00054E75" w:rsidP="00054E75" w:rsidRDefault="00054E75" w14:paraId="5510491E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54E75">
              <w:rPr>
                <w:rFonts w:eastAsia="Calibri"/>
                <w:sz w:val="20"/>
                <w:szCs w:val="20"/>
                <w:lang w:eastAsia="en-US"/>
              </w:rPr>
              <w:t>Prevention and continuity of care for people living with HIV who have common noncommunicable diseases, such as hypertension, cardiovascular disease and diabetes</w:t>
            </w:r>
          </w:p>
          <w:p w:rsidRPr="00691893" w:rsidR="00054E75" w:rsidP="00054E75" w:rsidRDefault="00054E75" w14:paraId="6CD1D591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In case of chronic diseases preceding the HIV diagnosis, it is essential to assure continuity of treatment and care of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respective chronic condition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48FB1B6E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Use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combined client visits (</w:t>
            </w:r>
            <w:r>
              <w:rPr>
                <w:rFonts w:eastAsia="Calibri"/>
                <w:sz w:val="20"/>
                <w:szCs w:val="20"/>
                <w:lang w:eastAsia="en-US"/>
              </w:rPr>
              <w:t>for example,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ART + </w:t>
            </w:r>
            <w:r w:rsidRPr="00DE5733">
              <w:rPr>
                <w:rFonts w:eastAsia="Aptos"/>
                <w:sz w:val="22"/>
                <w:szCs w:val="22"/>
              </w:rPr>
              <w:t xml:space="preserve">noncommunicable diseases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refill) to reduce client burden and clinic congestion</w:t>
            </w:r>
          </w:p>
        </w:tc>
      </w:tr>
      <w:tr w:rsidRPr="00FE6C1E" w:rsidR="00054E75" w:rsidTr="5CDCBBD9" w14:paraId="065A987C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22CDF210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Cervical cancer screening and treatment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&lt;EndNote&gt;&lt;Cite&gt;&lt;Year&gt;2024&lt;/Year&gt;&lt;RecNum&gt;64&lt;/RecNum&gt;&lt;DisplayText&gt;(98)&lt;/DisplayText&gt;&lt;record&gt;&lt;rec-number&gt;64&lt;/rec-number&gt;&lt;foreign-keys&gt;&lt;key app="EN" db-id="a5zftsaz79dzdne0xrl5drtqdp2tatz0d2zr" timestamp="1747744138"&gt;64&lt;/key&gt;&lt;/foreign-keys&gt;&lt;ref-type name="Book"&gt;6&lt;/ref-type&gt;&lt;contributors&gt;&lt;/contributors&gt;&lt;titles&gt;&lt;title&gt;WHO guideline for screening and treatment of cervical pre-cancer lesions for cervical cancer prevention: use of dual-stain cytology to triage women after a positive test for human papillomavirus (HPV)&lt;/title&gt;&lt;/titles&gt;&lt;dates&gt;&lt;year&gt;2024&lt;/year&gt;&lt;/dates&gt;&lt;pub-location&gt;Geneva&lt;/pub-location&gt;&lt;publisher&gt;World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Organization&lt;/publisher&gt;&lt;urls&gt;&lt;related-urls&gt;&lt;url&gt;https://www.who.int/publications/i/item/9789240091658 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(18)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51CC17AB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Screening for </w:t>
            </w:r>
            <w:r w:rsidRPr="00DE5733">
              <w:t xml:space="preserve">human papillomavirus 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for women living with HIV who have never been screened before in their lifetime</w:t>
            </w:r>
          </w:p>
          <w:p w:rsidR="00054E75" w:rsidP="00054E75" w:rsidRDefault="00054E75" w14:paraId="1DB4DC61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Treatment for all women screen</w:t>
            </w:r>
            <w:r>
              <w:rPr>
                <w:rFonts w:eastAsia="Calibri"/>
                <w:sz w:val="20"/>
                <w:szCs w:val="20"/>
                <w:lang w:eastAsia="en-US"/>
              </w:rPr>
              <w:t>ing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positive</w:t>
            </w:r>
          </w:p>
          <w:p w:rsidRPr="00691893" w:rsidR="00054E75" w:rsidP="00054E75" w:rsidRDefault="00054E75" w14:paraId="3E77463C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Management for all women diagnosed with invasive cervical cancer disease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00CE5334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On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the-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job capacity-building of nurses and midwives to perform screening and basic treatment to maintain coverage under human resources constraints</w:t>
            </w:r>
          </w:p>
        </w:tc>
      </w:tr>
      <w:tr w:rsidRPr="00FE6C1E" w:rsidR="00054E75" w:rsidTr="5CDCBBD9" w14:paraId="1EC75D21" w14:textId="77777777">
        <w:trPr>
          <w:trHeight w:val="756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5C986F10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Adherence support for HIV treatment and care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5EE9AFFC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Provision of basic adherence assessment, support</w:t>
            </w:r>
            <w:r>
              <w:rPr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sz w:val="20"/>
                <w:szCs w:val="20"/>
                <w:lang w:eastAsia="en-US"/>
              </w:rPr>
              <w:t xml:space="preserve"> follow-up to clients who self-report non-adherence or adherence barriers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46113FBF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sz w:val="20"/>
                <w:szCs w:val="20"/>
                <w:lang w:eastAsia="en-US"/>
              </w:rPr>
              <w:t>Support can be provided by trained nurses, pharmacists and other non-specialist health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91893">
              <w:rPr>
                <w:sz w:val="20"/>
                <w:szCs w:val="20"/>
                <w:lang w:eastAsia="en-US"/>
              </w:rPr>
              <w:t>care workers</w:t>
            </w:r>
          </w:p>
        </w:tc>
      </w:tr>
      <w:tr w:rsidRPr="00FE6C1E" w:rsidR="00054E75" w:rsidTr="5CDCBBD9" w14:paraId="11DE1195" w14:textId="77777777">
        <w:trPr>
          <w:trHeight w:val="756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614C6D30" w14:textId="77777777">
            <w:pPr>
              <w:jc w:val="center"/>
              <w:rPr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color w:val="156082" w:themeColor="accent1"/>
                <w:sz w:val="20"/>
                <w:szCs w:val="20"/>
                <w:lang w:eastAsia="en-US"/>
              </w:rPr>
              <w:t xml:space="preserve">Mental health support for HIV treatment and care 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 ExcludeAuth="1" ExcludeYear="1"&gt;&lt;Year&gt;2021&lt;/Year&gt;&lt;RecNum&gt;9&lt;/RecNum&gt;&lt;DisplayText&gt;(1)&lt;/DisplayText&gt;&lt;record&gt;&lt;rec-number&gt;9&lt;/rec-number&gt;&lt;foreign-keys&gt;&lt;key app="EN" db-id="a5zftsaz79dzdne0xrl5drtqdp2tatz0d2zr" timestamp="1747676140"&gt;9&lt;/key&gt;&lt;/foreign-keys&gt;&lt;ref-type name="Book"&gt;6&lt;/ref-type&gt;&lt;contributors&gt;&lt;/contributors&gt;&lt;titles&gt;&lt;title&gt;Consolidated guidelines on HIV prevention, testing, treatment, service delivery and monitoring: recommendations for a public health approach&lt;/title&gt;&lt;/titles&gt;&lt;dates&gt;&lt;year&gt;2021&lt;/year&gt;&lt;/dates&gt;&lt;pub-location&gt;Geneva&lt;/pub-location&gt;&lt;publisher&gt;World Health Organization&lt;/publisher&gt;&lt;urls&gt;&lt;related-urls&gt;&lt;url&gt;https://www.who.int/publications/i/item/9789240031593&lt;/url&gt;&lt;/related-urls&gt;&lt;/urls&gt;&lt;/record&gt;&lt;/Cite&gt;&lt;/EndNote&gt;</w:instrTex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t>(1)</w:t>
            </w:r>
            <w:r w:rsidRPr="00691893">
              <w:rPr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P="00054E75" w:rsidRDefault="00054E75" w14:paraId="4C05BF1A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Screen for mental health concerns (</w:t>
            </w:r>
            <w:r>
              <w:rPr>
                <w:rFonts w:eastAsia="Calibri"/>
                <w:sz w:val="20"/>
                <w:szCs w:val="20"/>
                <w:lang w:eastAsia="en-US"/>
              </w:rPr>
              <w:t>such as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depression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anxiety) by nurses and non-specialist health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care workers using simplified or multi-disorder tools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13811B2B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Train nurses and other non-specialist </w:t>
            </w:r>
            <w:r w:rsidRPr="00DE5733">
              <w:rPr>
                <w:sz w:val="20"/>
                <w:szCs w:val="20"/>
                <w:lang w:eastAsia="en-US"/>
              </w:rPr>
              <w:t>health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E5733">
              <w:rPr>
                <w:sz w:val="20"/>
                <w:szCs w:val="20"/>
                <w:lang w:eastAsia="en-US"/>
              </w:rPr>
              <w:t>care workers</w:t>
            </w:r>
            <w:r w:rsidRPr="003244F4" w:rsidDel="003244F4">
              <w:rPr>
                <w:rFonts w:eastAsia="Aptos"/>
                <w:sz w:val="20"/>
                <w:szCs w:val="20"/>
                <w:lang w:eastAsia="en-US"/>
              </w:rPr>
              <w:t xml:space="preserve">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to screen for mental health concerns (</w:t>
            </w:r>
            <w:r>
              <w:rPr>
                <w:rFonts w:eastAsia="Aptos"/>
                <w:sz w:val="20"/>
                <w:szCs w:val="20"/>
                <w:lang w:eastAsia="en-US"/>
              </w:rPr>
              <w:t>such as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depression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 anxiety) and refer to available specialized services</w:t>
            </w:r>
          </w:p>
          <w:p w:rsidRPr="00691893" w:rsidR="00054E75" w:rsidP="00054E75" w:rsidRDefault="00054E75" w14:paraId="5AFC087A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Develop referral pathways to specialized mental health services</w:t>
            </w:r>
          </w:p>
        </w:tc>
      </w:tr>
      <w:tr w:rsidRPr="00FE6C1E" w:rsidR="00054E75" w:rsidTr="5CDCBBD9" w14:paraId="025470FD" w14:textId="77777777">
        <w:trPr>
          <w:trHeight w:val="300"/>
        </w:trPr>
        <w:tc>
          <w:tcPr>
            <w:tcW w:w="1634" w:type="dxa"/>
            <w:tcMar/>
            <w:vAlign w:val="center"/>
          </w:tcPr>
          <w:p w:rsidRPr="00691893" w:rsidR="00054E75" w:rsidP="00831E4C" w:rsidRDefault="00054E75" w14:paraId="0F552BC4" w14:textId="77777777">
            <w:pPr>
              <w:jc w:val="center"/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Tracing and </w:t>
            </w:r>
            <w:r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>r</w:t>
            </w:r>
            <w:r w:rsidRPr="00691893">
              <w:rPr>
                <w:rFonts w:eastAsia="Calibri"/>
                <w:color w:val="156082" w:themeColor="accent1"/>
                <w:sz w:val="20"/>
                <w:szCs w:val="20"/>
                <w:lang w:eastAsia="en-US"/>
              </w:rPr>
              <w:t xml:space="preserve">e-engagement support </w: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begin"/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instrText xml:space="preserve"> ADDIN EN.CITE &lt;EndNote&gt;&lt;Cite&gt;&lt;Year&gt;2024&lt;/Year&gt;&lt;RecNum&gt;11&lt;/RecNum&gt;&lt;DisplayText&gt;(20)&lt;/DisplayText&gt;&lt;record&gt;&lt;rec-number&gt;11&lt;/rec-number&gt;&lt;foreign-keys&gt;&lt;key app="EN" db-id="a5zftsaz79dzdne0xrl5drtqdp2tatz0d2zr" timestamp="1747676577"&gt;11&lt;/key&gt;&lt;/foreign-keys&gt;&lt;ref-type name="Book"&gt;6&lt;/ref-type&gt;&lt;contributors&gt;&lt;/contributors&gt;&lt;titles&gt;&lt;title&gt;Supporting re-engagement in HIV treatment services policy&lt;/title&gt;&lt;/titles&gt;&lt;dates&gt;&lt;year&gt;2024&lt;/year&gt;&lt;/dates&gt;&lt;pub-location&gt;Geneva&lt;/pub-location&gt;&lt;publisher&gt;World Health Organization&lt;/publisher&gt;&lt;urls&gt;&lt;related-urls&gt;&lt;url&gt;https://www.who.int/publications/i/item/9789240097339&lt;/url&gt;&lt;/related-urls&gt;&lt;/urls&gt;&lt;/record&gt;&lt;/Cite&gt;&lt;/EndNote&gt;</w:instrTex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separate"/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t>(19)</w:t>
            </w:r>
            <w:r w:rsidRPr="00691893">
              <w:rPr>
                <w:rFonts w:eastAsia="Calibri"/>
                <w:i/>
                <w:iCs/>
                <w:color w:val="156082" w:themeColor="accen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061" w:type="dxa"/>
            <w:tcMar/>
            <w:vAlign w:val="center"/>
          </w:tcPr>
          <w:p w:rsidRPr="00691893" w:rsidR="00054E75" w:rsidDel="00B971CA" w:rsidP="00054E75" w:rsidRDefault="00054E75" w14:paraId="517CBF3D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Tracing clients with abnormal lab results, including viral loads &gt;1000 copies/m</w:t>
            </w:r>
            <w:r>
              <w:rPr>
                <w:rFonts w:eastAsia="Calibri"/>
                <w:sz w:val="20"/>
                <w:szCs w:val="20"/>
                <w:lang w:eastAsia="en-US"/>
              </w:rPr>
              <w:t>L</w:t>
            </w:r>
          </w:p>
          <w:p w:rsidRPr="00691893" w:rsidR="00054E75" w:rsidDel="00B971CA" w:rsidP="00054E75" w:rsidRDefault="00054E75" w14:paraId="39C17A7A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Tracing for clients who missed scheduled appointment by more than 28 days, </w:t>
            </w:r>
            <w:r>
              <w:rPr>
                <w:rFonts w:eastAsia="Calibri"/>
                <w:sz w:val="20"/>
                <w:szCs w:val="20"/>
                <w:lang w:eastAsia="en-US"/>
              </w:rPr>
              <w:t>especially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those with active opportunistic infections, presenting with </w:t>
            </w:r>
            <w:r>
              <w:rPr>
                <w:rFonts w:eastAsia="Calibri"/>
                <w:sz w:val="20"/>
                <w:szCs w:val="20"/>
                <w:lang w:eastAsia="en-US"/>
              </w:rPr>
              <w:t>advanced HIV disease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>, pregnant and breastfeeding women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and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 children</w:t>
            </w:r>
          </w:p>
          <w:p w:rsidR="00054E75" w:rsidP="00054E75" w:rsidRDefault="00054E75" w14:paraId="4E8462B3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Re-engagement pathways that include clinical assessment upon return to care</w:t>
            </w:r>
          </w:p>
          <w:p w:rsidR="00054E75" w:rsidP="00054E75" w:rsidRDefault="00054E75" w14:paraId="47CB58B3" w14:textId="77777777">
            <w:pPr>
              <w:numPr>
                <w:ilvl w:val="0"/>
                <w:numId w:val="14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Same-day ART re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691893">
              <w:rPr>
                <w:rFonts w:eastAsia="Calibri"/>
                <w:sz w:val="20"/>
                <w:szCs w:val="20"/>
                <w:lang w:eastAsia="en-US"/>
              </w:rPr>
              <w:t xml:space="preserve">nitiation for all clients returning to care after disengagement </w:t>
            </w:r>
            <w:r w:rsidRPr="00691893">
              <w:rPr>
                <w:sz w:val="20"/>
                <w:szCs w:val="20"/>
                <w:lang w:eastAsia="en-US"/>
              </w:rPr>
              <w:t>unless clinical guidelines recommend deferral</w:t>
            </w:r>
          </w:p>
          <w:p w:rsidRPr="00691893" w:rsidR="00054E75" w:rsidP="00054E75" w:rsidRDefault="00054E75" w14:paraId="5F16A58A" w14:textId="77777777">
            <w:pPr>
              <w:numPr>
                <w:ilvl w:val="0"/>
                <w:numId w:val="144"/>
              </w:numPr>
              <w:contextualSpacing/>
              <w:rPr>
                <w:sz w:val="20"/>
                <w:szCs w:val="20"/>
                <w:lang w:eastAsia="en-US"/>
              </w:rPr>
            </w:pPr>
            <w:r w:rsidRPr="00691893">
              <w:rPr>
                <w:rFonts w:eastAsia="Calibri"/>
                <w:sz w:val="20"/>
                <w:szCs w:val="20"/>
                <w:lang w:eastAsia="en-US"/>
              </w:rPr>
              <w:t>Same-day ART reinitiation for all clients transferring from another facility, including those without formal transfer documentation</w:t>
            </w:r>
          </w:p>
        </w:tc>
        <w:tc>
          <w:tcPr>
            <w:tcW w:w="3780" w:type="dxa"/>
            <w:tcMar/>
            <w:vAlign w:val="center"/>
          </w:tcPr>
          <w:p w:rsidRPr="00691893" w:rsidR="00054E75" w:rsidP="00054E75" w:rsidRDefault="00054E75" w14:paraId="02D98929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Review criteria for phone and home tracing</w:t>
            </w:r>
          </w:p>
          <w:p w:rsidRPr="00691893" w:rsidR="00054E75" w:rsidP="00054E75" w:rsidRDefault="00054E75" w14:paraId="6E6F9E31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Provide tracing teams with simplified on-the-job guidance rather than formal training</w:t>
            </w:r>
          </w:p>
          <w:p w:rsidRPr="00691893" w:rsidR="00054E75" w:rsidP="00054E75" w:rsidRDefault="00054E75" w14:paraId="4B14B5C3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>Ensure that returning clients are not penalized or judged</w:t>
            </w:r>
          </w:p>
          <w:p w:rsidRPr="00691893" w:rsidR="00054E75" w:rsidP="00054E75" w:rsidRDefault="00054E75" w14:paraId="748DE343" w14:textId="77777777">
            <w:pPr>
              <w:numPr>
                <w:ilvl w:val="0"/>
                <w:numId w:val="144"/>
              </w:numPr>
              <w:contextualSpacing/>
              <w:rPr>
                <w:rFonts w:eastAsia="Aptos"/>
                <w:sz w:val="20"/>
                <w:szCs w:val="20"/>
                <w:lang w:eastAsia="en-US"/>
              </w:rPr>
            </w:pPr>
            <w:r w:rsidRPr="00691893">
              <w:rPr>
                <w:rFonts w:eastAsia="Aptos"/>
                <w:sz w:val="20"/>
                <w:szCs w:val="20"/>
                <w:lang w:eastAsia="en-US"/>
              </w:rPr>
              <w:t xml:space="preserve">Empower providers with simple scripts or guidance to encourage </w:t>
            </w:r>
            <w:r>
              <w:rPr>
                <w:rFonts w:eastAsia="Aptos"/>
                <w:sz w:val="20"/>
                <w:szCs w:val="20"/>
                <w:lang w:eastAsia="en-US"/>
              </w:rPr>
              <w:t xml:space="preserve">the </w:t>
            </w:r>
            <w:r w:rsidRPr="00691893">
              <w:rPr>
                <w:rFonts w:eastAsia="Aptos"/>
                <w:sz w:val="20"/>
                <w:szCs w:val="20"/>
                <w:lang w:eastAsia="en-US"/>
              </w:rPr>
              <w:t>reinitiation of care without delay</w:t>
            </w:r>
          </w:p>
        </w:tc>
      </w:tr>
    </w:tbl>
    <w:p w:rsidRPr="00DE5733" w:rsidR="00054E75" w:rsidP="00054E75" w:rsidRDefault="00054E75" w14:paraId="7C7F3FBF" w14:textId="77777777">
      <w:pPr>
        <w:spacing w:before="240"/>
        <w:jc w:val="both"/>
        <w:rPr>
          <w:rFonts w:eastAsia="Calibri"/>
          <w:color w:val="000000" w:themeColor="text1"/>
          <w:sz w:val="20"/>
          <w:szCs w:val="20"/>
          <w:lang w:val="en-GB"/>
        </w:rPr>
      </w:pPr>
      <w:bookmarkStart w:name="_Toc201308311" w:id="3"/>
      <w:bookmarkStart w:name="_Toc201318436" w:id="4"/>
      <w:bookmarkStart w:name="_Toc201318490" w:id="5"/>
      <w:r w:rsidRPr="00DE5733">
        <w:rPr>
          <w:rStyle w:val="Heading1Char"/>
          <w:lang w:val="en-GB"/>
        </w:rPr>
        <w:t>References</w:t>
      </w:r>
      <w:bookmarkEnd w:id="3"/>
      <w:bookmarkEnd w:id="4"/>
      <w:bookmarkEnd w:id="5"/>
      <w:r w:rsidRPr="00691893">
        <w:rPr>
          <w:rStyle w:val="FootnoteReference"/>
          <w:rFonts w:eastAsiaTheme="majorEastAsia"/>
          <w:color w:val="0F4761" w:themeColor="accent1" w:themeShade="BF"/>
          <w:sz w:val="32"/>
          <w:szCs w:val="32"/>
          <w:lang w:val="en-GB"/>
        </w:rPr>
        <w:footnoteReference w:id="1"/>
      </w:r>
    </w:p>
    <w:p w:rsidRPr="00AB3EA0" w:rsidR="00054E75" w:rsidP="00054E75" w:rsidRDefault="00054E75" w14:paraId="38BD782D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szCs w:val="20"/>
          <w:lang w:val="en-GB"/>
        </w:rPr>
        <w:fldChar w:fldCharType="begin"/>
      </w:r>
      <w:r w:rsidRPr="00AB3EA0">
        <w:rPr>
          <w:sz w:val="24"/>
          <w:szCs w:val="20"/>
          <w:lang w:val="en-GB"/>
        </w:rPr>
        <w:instrText xml:space="preserve"> ADDIN EN.REFLIST </w:instrText>
      </w:r>
      <w:r w:rsidRPr="00AB3EA0">
        <w:rPr>
          <w:sz w:val="24"/>
          <w:szCs w:val="20"/>
          <w:lang w:val="en-GB"/>
        </w:rPr>
        <w:fldChar w:fldCharType="separate"/>
      </w:r>
      <w:r w:rsidRPr="00AB3EA0">
        <w:rPr>
          <w:sz w:val="24"/>
          <w:lang w:val="en-GB"/>
        </w:rPr>
        <w:t>1.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Consolidated guidelines on HIV prevention, testing, treatment, service delivery and monitoring: recommendations for a public health approach, 2021 update. Geneva: World Health Organization; 2021 (https://iris.who.int/handle/10665/342899).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57B8356E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2.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>UNICEF, UNAIDS, WHO. Key considerations for programming and prioritization. Going the "last mile" to EMTCT: a road map for ending the HIV epidemic in children. New York: UNICEF; 2020 (https://library.unaids.org/wp-content/uploads/2020/08/1-EMTCT-Whitepaper-EN-WEB-hi-res.pdf).</w:t>
      </w:r>
    </w:p>
    <w:p w:rsidRPr="00AB3EA0" w:rsidR="00054E75" w:rsidP="00054E75" w:rsidRDefault="00054E75" w14:paraId="50E6AA0E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3.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Safeguarding the future: giving priority to the needs of adolescent and young mothers living with HIV. Geneva: World Health Organization; 2021 (https://iris.who.int/handle/10665/350035).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3C16C6E9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4.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Consolidated guidelines on HIV, viral hepatitis and STI prevention, diagnosis, treatment and care for key populations. Geneva: World Health Organization; 2022 (https://iris.who.int/handle/10665/360601).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50D99ABB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5.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Guidelines for the prevention, diagnosis, care and treatment for people with chronic hepatitis B infection: policy brief. Geneva: World Health Organization; 2024 (https://iris.who.int/handle/10665/376331).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4711D9B7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6.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Guidelines for HIV post-exposure prophylaxis. Geneva: World Health Organization; 2024 (https://iris.who.int/handle/10665/378221).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12DA1CE5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7.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Differentiated and simplified pre-exposure prophylaxis for HIV prevention: update to WHO implementation guidance: technical brief. Geneva: World Health Organization; 2022 (https://iris.who.int/handle/10665/360861).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549347BE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8.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>Screening donated blood for transfusion-transmissible infections: recommendations. Geneva: World Health Organization; 2009 (https://iris.who.int/handle/10665/44202).</w:t>
      </w:r>
    </w:p>
    <w:p w:rsidRPr="00AB3EA0" w:rsidR="00054E75" w:rsidP="00054E75" w:rsidRDefault="00054E75" w14:paraId="313439F6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9.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>Establishing and delivering evidence-based, high-quality opioid agonist therapy services: an operational tool for low- and middle-income countries. Vienna: United Nations Office on Drugs and Crime; 2022 (</w:t>
      </w:r>
      <w:hyperlink w:history="1" r:id="rId7">
        <w:r w:rsidRPr="00AB3EA0">
          <w:rPr>
            <w:rStyle w:val="Hyperlink"/>
            <w:rFonts w:eastAsiaTheme="minorEastAsia"/>
            <w:lang w:val="en-GB"/>
          </w:rPr>
          <w:t>https://www.unodc.org/documents/drug-prevention-and-treatment/22-10821_eBook_OAT_implementing_tool.pdf</w:t>
        </w:r>
      </w:hyperlink>
      <w:r w:rsidRPr="00AB3EA0">
        <w:rPr>
          <w:sz w:val="24"/>
          <w:lang w:val="en-GB"/>
        </w:rPr>
        <w:t>).</w:t>
      </w:r>
    </w:p>
    <w:p w:rsidRPr="00AB3EA0" w:rsidR="00054E75" w:rsidP="00054E75" w:rsidRDefault="00054E75" w14:paraId="3BA06876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10.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>WHO, UNAIDS. Assessing and enhancing sustainable voluntary medical male circumcision services for HIV prevention in east and southern Africa: a landscape report of voluntary medical male circumcision priority countries. Geneva: World Health Organization; 2023 (https://iris.who.int/handle/10665/373834).</w:t>
      </w:r>
    </w:p>
    <w:p w:rsidRPr="00AB3EA0" w:rsidR="00054E75" w:rsidP="00054E75" w:rsidRDefault="00054E75" w14:paraId="13D44565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11.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Consolidated guidelines on differentiated HIV testing services. Geneva: World Health Organization; 2024 (https://iris.who.int/handle/10665/378162).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5176F4F4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12.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Guidelines for the management of symptomatic sexually transmitted infections. Geneva: World Health Organization; 2021 (https://iris.who.int/handle/10665/342523).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5BA0167F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13.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New recommendation on hepatitis C virus testing and treatment for people at ongoing risk of infection: policy brief. Geneva: World Health Organization; 2024 (https://iris.who.int/handle/10665/366869).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278BE885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14.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Consolidated guidelines on person-centred viral hepatitis strategic information: using data to support country scale-up of hepatitis prevention, diagnosis and treatment services. Geneva: World Health Organization; 2024 (https://iris.who.int/handle/10665/376410).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3D63FCC0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15.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The role of HIV viral suppression in improving individual health and reducing transmission: policy brief. Geneva: World Health Organization; 2023 (https://iris.who.int/handle/10665/360860).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3FE421B3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16.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>Mpox global strategic preparedness and response plan. Geneva: World Health Organization; 2024 (https://www.who.int/publications/m/item/mpox-global-strategic-preparedness-and-response-plan).</w:t>
      </w:r>
    </w:p>
    <w:p w:rsidRPr="00AB3EA0" w:rsidR="00054E75" w:rsidP="00054E75" w:rsidRDefault="00054E75" w14:paraId="2DEDA29A" w14:textId="77777777">
      <w:pPr>
        <w:pStyle w:val="EndNoteBibliography"/>
        <w:rPr>
          <w:sz w:val="24"/>
          <w:lang w:val="en-GB"/>
        </w:rPr>
      </w:pPr>
      <w:r w:rsidRPr="00AB3EA0">
        <w:rPr>
          <w:sz w:val="24"/>
          <w:lang w:val="en-GB"/>
        </w:rPr>
        <w:t>17.</w:t>
      </w:r>
      <w:r w:rsidRPr="00AB3EA0">
        <w:rPr>
          <w:sz w:val="24"/>
          <w:lang w:val="en-GB"/>
        </w:rPr>
        <w:tab/>
      </w:r>
      <w:proofErr w:type="spellStart"/>
      <w:r w:rsidRPr="00AB3EA0">
        <w:rPr>
          <w:sz w:val="24"/>
          <w:lang w:val="en-GB"/>
        </w:rPr>
        <w:t>Mitjà</w:t>
      </w:r>
      <w:proofErr w:type="spellEnd"/>
      <w:r w:rsidRPr="00AB3EA0">
        <w:rPr>
          <w:sz w:val="24"/>
          <w:lang w:val="en-GB"/>
        </w:rPr>
        <w:t xml:space="preserve"> O, Alemany A, Marks M, Lezama Mora JI, Rodríguez-Aldama JC, Torres Silva MS et al. Mpox in people with advanced HIV infection: a global case series. Lancet. 2023;401(10380):939–49 (</w:t>
      </w:r>
      <w:r w:rsidRPr="00AB3EA0">
        <w:rPr>
          <w:rFonts w:cs="Segoe UI"/>
          <w:color w:val="212121"/>
          <w:sz w:val="24"/>
          <w:shd w:val="clear" w:color="auto" w:fill="FFFFFF"/>
        </w:rPr>
        <w:t>https://doi.org/</w:t>
      </w:r>
      <w:r w:rsidRPr="00AB3EA0">
        <w:rPr>
          <w:rFonts w:cs="Segoe UI"/>
          <w:color w:val="5B616B"/>
          <w:sz w:val="24"/>
          <w:shd w:val="clear" w:color="auto" w:fill="FFFFFF"/>
        </w:rPr>
        <w:t>10.1016/S0140-6736(23)00273-8</w:t>
      </w:r>
      <w:r w:rsidRPr="00AB3EA0">
        <w:rPr>
          <w:sz w:val="24"/>
          <w:lang w:val="en-GB"/>
        </w:rPr>
        <w:t>).</w:t>
      </w:r>
    </w:p>
    <w:p w:rsidR="00054E75" w:rsidP="00054E75" w:rsidRDefault="00054E75" w14:paraId="1083A7DE" w14:textId="77777777">
      <w:pPr>
        <w:pStyle w:val="EndNoteBibliography"/>
        <w:rPr>
          <w:color w:val="333333"/>
          <w:sz w:val="24"/>
          <w:szCs w:val="20"/>
          <w:shd w:val="clear" w:color="auto" w:fill="FFFFFF"/>
        </w:rPr>
      </w:pPr>
      <w:r w:rsidRPr="00AB3EA0">
        <w:rPr>
          <w:sz w:val="24"/>
          <w:lang w:val="en-GB"/>
        </w:rPr>
        <w:t>18.</w:t>
      </w:r>
      <w:r w:rsidRPr="00AB3EA0">
        <w:rPr>
          <w:sz w:val="24"/>
          <w:lang w:val="en-GB"/>
        </w:rPr>
        <w:tab/>
      </w:r>
      <w:r w:rsidRPr="00AB3EA0">
        <w:rPr>
          <w:sz w:val="24"/>
          <w:lang w:val="en-GB"/>
        </w:rPr>
        <w:t xml:space="preserve">WHO guideline for screening and treatment of cervical pre-cancer lesions for cervical cancer prevention: use of dual-stain cytology to triage women after a positive test for human papillomavirus (HPV). Geneva: World Health Organization; 2024 (https://iris.who.int/handle/10665/376492). </w:t>
      </w:r>
      <w:proofErr w:type="spellStart"/>
      <w:r w:rsidRPr="00AB3EA0">
        <w:rPr>
          <w:color w:val="333333"/>
          <w:sz w:val="24"/>
          <w:szCs w:val="20"/>
          <w:shd w:val="clear" w:color="auto" w:fill="FFFFFF"/>
        </w:rPr>
        <w:t>Licence</w:t>
      </w:r>
      <w:proofErr w:type="spellEnd"/>
      <w:r w:rsidRPr="00AB3EA0">
        <w:rPr>
          <w:color w:val="333333"/>
          <w:sz w:val="24"/>
          <w:szCs w:val="20"/>
          <w:shd w:val="clear" w:color="auto" w:fill="FFFFFF"/>
        </w:rPr>
        <w:t>: CC BY-NC-SA 3.0 IGO.</w:t>
      </w:r>
    </w:p>
    <w:p w:rsidRPr="00DE5733" w:rsidR="00054E75" w:rsidP="00054E75" w:rsidRDefault="00054E75" w14:paraId="25CBB2C9" w14:textId="77777777">
      <w:pPr>
        <w:pStyle w:val="EndNoteBibliography"/>
        <w:rPr>
          <w:lang w:val="en-GB"/>
        </w:rPr>
      </w:pPr>
      <w:r>
        <w:rPr>
          <w:lang w:val="en-GB"/>
        </w:rPr>
        <w:t>19</w:t>
      </w:r>
      <w:r w:rsidRPr="00DE5733">
        <w:rPr>
          <w:lang w:val="en-GB"/>
        </w:rPr>
        <w:t>.</w:t>
      </w:r>
      <w:r w:rsidRPr="00DE5733">
        <w:rPr>
          <w:lang w:val="en-GB"/>
        </w:rPr>
        <w:tab/>
      </w:r>
      <w:r w:rsidRPr="00DE5733">
        <w:rPr>
          <w:lang w:val="en-GB"/>
        </w:rPr>
        <w:t>Supporting re-engagement in HIV treatment services policy</w:t>
      </w:r>
      <w:r>
        <w:rPr>
          <w:lang w:val="en-GB"/>
        </w:rPr>
        <w:t>: policy brief</w:t>
      </w:r>
      <w:r w:rsidRPr="00DE5733">
        <w:rPr>
          <w:lang w:val="en-GB"/>
        </w:rPr>
        <w:t>. Geneva: World Health Organization; 2024</w:t>
      </w:r>
      <w:r>
        <w:rPr>
          <w:lang w:val="en-GB"/>
        </w:rPr>
        <w:t xml:space="preserve"> (</w:t>
      </w:r>
      <w:r w:rsidRPr="004268C9">
        <w:rPr>
          <w:lang w:val="en-GB"/>
        </w:rPr>
        <w:t>https://iris.who.int/handle/10665/378179</w:t>
      </w:r>
      <w:r>
        <w:rPr>
          <w:lang w:val="en-GB"/>
        </w:rPr>
        <w:t>)</w:t>
      </w:r>
      <w:r w:rsidRPr="00DE5733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Licence</w:t>
      </w:r>
      <w:proofErr w:type="spellEnd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: CC BY-NC-SA 3.0 IGO.</w:t>
      </w:r>
    </w:p>
    <w:p w:rsidRPr="00AB3EA0" w:rsidR="00054E75" w:rsidP="00054E75" w:rsidRDefault="00054E75" w14:paraId="12969945" w14:textId="77777777">
      <w:pPr>
        <w:pStyle w:val="EndNoteBibliography"/>
        <w:rPr>
          <w:sz w:val="24"/>
          <w:lang w:val="en-GB"/>
        </w:rPr>
      </w:pPr>
    </w:p>
    <w:p w:rsidRPr="00AB3EA0" w:rsidR="00054E75" w:rsidP="00054E75" w:rsidRDefault="00054E75" w14:paraId="3682B426" w14:textId="77777777">
      <w:r w:rsidRPr="00AB3EA0">
        <w:rPr>
          <w:szCs w:val="20"/>
          <w:lang w:val="en-GB"/>
        </w:rPr>
        <w:fldChar w:fldCharType="end"/>
      </w:r>
    </w:p>
    <w:p w:rsidRPr="00691893" w:rsidR="00054E75" w:rsidP="00054E75" w:rsidRDefault="00054E75" w14:paraId="4F45E59A" w14:textId="77777777">
      <w:pPr>
        <w:spacing w:before="240"/>
        <w:jc w:val="both"/>
        <w:rPr>
          <w:rFonts w:eastAsiaTheme="majorEastAsia"/>
          <w:color w:val="0F4761" w:themeColor="accent1" w:themeShade="BF"/>
          <w:sz w:val="40"/>
          <w:szCs w:val="40"/>
          <w:lang w:val="en-GB" w:eastAsia="en-US"/>
        </w:rPr>
      </w:pPr>
    </w:p>
    <w:p w:rsidRPr="00691893" w:rsidR="00054E75" w:rsidP="00054E75" w:rsidRDefault="00054E75" w14:paraId="47862FF1" w14:textId="77777777">
      <w:pPr>
        <w:rPr>
          <w:lang w:val="en-GB"/>
        </w:rPr>
      </w:pPr>
    </w:p>
    <w:p w:rsidRPr="00054E75" w:rsidR="00054E75" w:rsidRDefault="00054E75" w14:paraId="5F175BB6" w14:textId="77777777">
      <w:pPr>
        <w:rPr>
          <w:lang w:val="en-GB"/>
        </w:rPr>
      </w:pPr>
    </w:p>
    <w:sectPr w:rsidRPr="00054E75" w:rsidR="00054E75" w:rsidSect="00054E75">
      <w:pgSz w:w="16834" w:h="11894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F18" w:rsidP="00054E75" w:rsidRDefault="00A31F18" w14:paraId="74000DA1" w14:textId="77777777">
      <w:r>
        <w:separator/>
      </w:r>
    </w:p>
  </w:endnote>
  <w:endnote w:type="continuationSeparator" w:id="0">
    <w:p w:rsidR="00A31F18" w:rsidP="00054E75" w:rsidRDefault="00A31F18" w14:paraId="46A61F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F18" w:rsidP="00054E75" w:rsidRDefault="00A31F18" w14:paraId="0BCAC947" w14:textId="77777777">
      <w:r>
        <w:separator/>
      </w:r>
    </w:p>
  </w:footnote>
  <w:footnote w:type="continuationSeparator" w:id="0">
    <w:p w:rsidR="00A31F18" w:rsidP="00054E75" w:rsidRDefault="00A31F18" w14:paraId="5B93D828" w14:textId="77777777">
      <w:r>
        <w:continuationSeparator/>
      </w:r>
    </w:p>
  </w:footnote>
  <w:footnote w:id="1">
    <w:p w:rsidRPr="00DE5733" w:rsidR="00054E75" w:rsidP="00054E75" w:rsidRDefault="00054E75" w14:paraId="01EA1914" w14:textId="77777777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 w:eastAsiaTheme="minorEastAsia"/>
          <w:color w:val="000000"/>
          <w:sz w:val="19"/>
          <w:szCs w:val="19"/>
          <w:lang w:val="en-GB" w:eastAsia="ja-JP"/>
        </w:rPr>
        <w:t>All references were accessed on 9 June 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965"/>
    <w:multiLevelType w:val="hybridMultilevel"/>
    <w:tmpl w:val="E45A036C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FA2B34"/>
    <w:multiLevelType w:val="hybridMultilevel"/>
    <w:tmpl w:val="360A7390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3604EF"/>
    <w:multiLevelType w:val="multilevel"/>
    <w:tmpl w:val="EC4C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3190392"/>
    <w:multiLevelType w:val="multilevel"/>
    <w:tmpl w:val="2C4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39E7E01"/>
    <w:multiLevelType w:val="multilevel"/>
    <w:tmpl w:val="8A1A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42A7D50"/>
    <w:multiLevelType w:val="hybridMultilevel"/>
    <w:tmpl w:val="812ACA62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4B82B01"/>
    <w:multiLevelType w:val="multilevel"/>
    <w:tmpl w:val="DAD6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4C40B11"/>
    <w:multiLevelType w:val="multilevel"/>
    <w:tmpl w:val="711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519388B"/>
    <w:multiLevelType w:val="multilevel"/>
    <w:tmpl w:val="B41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57C0D03"/>
    <w:multiLevelType w:val="multilevel"/>
    <w:tmpl w:val="D85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5F377B2"/>
    <w:multiLevelType w:val="hybridMultilevel"/>
    <w:tmpl w:val="57C247FC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6272643"/>
    <w:multiLevelType w:val="hybridMultilevel"/>
    <w:tmpl w:val="9C60B914"/>
    <w:lvl w:ilvl="0" w:tplc="18FE361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FFFFFFFF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12" w15:restartNumberingAfterBreak="0">
    <w:nsid w:val="066DA05A"/>
    <w:multiLevelType w:val="hybridMultilevel"/>
    <w:tmpl w:val="FFFFFFFF"/>
    <w:lvl w:ilvl="0" w:tplc="C7A6B70E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4AE8165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564667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4464C0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1FC60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0AA826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5C2F9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AD447B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92129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74D420C"/>
    <w:multiLevelType w:val="hybridMultilevel"/>
    <w:tmpl w:val="16889E20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074F1FEC"/>
    <w:multiLevelType w:val="multilevel"/>
    <w:tmpl w:val="911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08641BB3"/>
    <w:multiLevelType w:val="hybridMultilevel"/>
    <w:tmpl w:val="A98875CC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BDF1DFB"/>
    <w:multiLevelType w:val="multilevel"/>
    <w:tmpl w:val="999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D151E6E"/>
    <w:multiLevelType w:val="multilevel"/>
    <w:tmpl w:val="40AECB3E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0D5238CA"/>
    <w:multiLevelType w:val="hybridMultilevel"/>
    <w:tmpl w:val="974EF98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D6F0F75"/>
    <w:multiLevelType w:val="multilevel"/>
    <w:tmpl w:val="585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0D8722FA"/>
    <w:multiLevelType w:val="multilevel"/>
    <w:tmpl w:val="0CEE8C98"/>
    <w:lvl w:ilvl="0">
      <w:start w:val="1"/>
      <w:numFmt w:val="bullet"/>
      <w:lvlText w:val="·"/>
      <w:lvlJc w:val="left"/>
      <w:pPr>
        <w:ind w:left="504" w:hanging="360"/>
      </w:pPr>
      <w:rPr>
        <w:rFonts w:hint="default" w:ascii="Symbol" w:hAnsi="Symbol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6D2C61"/>
    <w:multiLevelType w:val="hybridMultilevel"/>
    <w:tmpl w:val="C048374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11256BA9"/>
    <w:multiLevelType w:val="hybridMultilevel"/>
    <w:tmpl w:val="27847330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1438B0F"/>
    <w:multiLevelType w:val="hybridMultilevel"/>
    <w:tmpl w:val="D8387D2C"/>
    <w:lvl w:ilvl="0" w:tplc="FFFFFFFF">
      <w:start w:val="1"/>
      <w:numFmt w:val="bullet"/>
      <w:lvlText w:val=""/>
      <w:lvlJc w:val="left"/>
      <w:pPr>
        <w:ind w:left="400" w:hanging="360"/>
      </w:pPr>
      <w:rPr>
        <w:rFonts w:hint="default" w:ascii="Wingdings" w:hAnsi="Wingdings"/>
        <w:color w:val="auto"/>
      </w:rPr>
    </w:lvl>
    <w:lvl w:ilvl="1" w:tplc="9E663850">
      <w:start w:val="1"/>
      <w:numFmt w:val="bullet"/>
      <w:lvlText w:val="o"/>
      <w:lvlJc w:val="left"/>
      <w:pPr>
        <w:ind w:left="1120" w:hanging="360"/>
      </w:pPr>
      <w:rPr>
        <w:rFonts w:hint="default" w:ascii="Calibri" w:hAnsi="Calibri"/>
      </w:rPr>
    </w:lvl>
    <w:lvl w:ilvl="2" w:tplc="AFCCA1C0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F25C48DC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813699A6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/>
      </w:rPr>
    </w:lvl>
    <w:lvl w:ilvl="5" w:tplc="E9F28C36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8E82B92A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2864EFBC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/>
      </w:rPr>
    </w:lvl>
    <w:lvl w:ilvl="8" w:tplc="84E01A22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4" w15:restartNumberingAfterBreak="0">
    <w:nsid w:val="12341316"/>
    <w:multiLevelType w:val="multilevel"/>
    <w:tmpl w:val="B8C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12B84E23"/>
    <w:multiLevelType w:val="multilevel"/>
    <w:tmpl w:val="9F04D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144E222D"/>
    <w:multiLevelType w:val="multilevel"/>
    <w:tmpl w:val="956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145B25A0"/>
    <w:multiLevelType w:val="multilevel"/>
    <w:tmpl w:val="532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15631E37"/>
    <w:multiLevelType w:val="multilevel"/>
    <w:tmpl w:val="C8A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15F85331"/>
    <w:multiLevelType w:val="hybridMultilevel"/>
    <w:tmpl w:val="FFFFFFFF"/>
    <w:lvl w:ilvl="0" w:tplc="6352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16E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486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24E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568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69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985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B67C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69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160B6B2C"/>
    <w:multiLevelType w:val="multilevel"/>
    <w:tmpl w:val="8764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178B52BC"/>
    <w:multiLevelType w:val="hybridMultilevel"/>
    <w:tmpl w:val="826E30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180233B2"/>
    <w:multiLevelType w:val="multilevel"/>
    <w:tmpl w:val="CD2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19E23263"/>
    <w:multiLevelType w:val="multilevel"/>
    <w:tmpl w:val="9696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252D7F"/>
    <w:multiLevelType w:val="hybridMultilevel"/>
    <w:tmpl w:val="42A663DA"/>
    <w:lvl w:ilvl="0" w:tplc="A45853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A822E1C"/>
    <w:multiLevelType w:val="multilevel"/>
    <w:tmpl w:val="5E0C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1B0417D2"/>
    <w:multiLevelType w:val="hybridMultilevel"/>
    <w:tmpl w:val="16BC75E4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1BB52A2A"/>
    <w:multiLevelType w:val="hybridMultilevel"/>
    <w:tmpl w:val="9D042EC8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1E0A2CB3"/>
    <w:multiLevelType w:val="multilevel"/>
    <w:tmpl w:val="055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212840F6"/>
    <w:multiLevelType w:val="multilevel"/>
    <w:tmpl w:val="A32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224614F3"/>
    <w:multiLevelType w:val="multilevel"/>
    <w:tmpl w:val="D7D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24877573"/>
    <w:multiLevelType w:val="multilevel"/>
    <w:tmpl w:val="62FE49CA"/>
    <w:lvl w:ilvl="0">
      <w:start w:val="1"/>
      <w:numFmt w:val="bullet"/>
      <w:lvlText w:val="·"/>
      <w:lvlJc w:val="left"/>
      <w:pPr>
        <w:ind w:left="504" w:hanging="360"/>
      </w:pPr>
      <w:rPr>
        <w:rFonts w:hint="default" w:ascii="Symbol" w:hAnsi="Symbol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D823F0"/>
    <w:multiLevelType w:val="multilevel"/>
    <w:tmpl w:val="E68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24DA6DC3"/>
    <w:multiLevelType w:val="hybridMultilevel"/>
    <w:tmpl w:val="4E50BC78"/>
    <w:lvl w:ilvl="0" w:tplc="357AD492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254D3401"/>
    <w:multiLevelType w:val="multilevel"/>
    <w:tmpl w:val="AE4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254F12EE"/>
    <w:multiLevelType w:val="multilevel"/>
    <w:tmpl w:val="BA6A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26442B0A"/>
    <w:multiLevelType w:val="hybridMultilevel"/>
    <w:tmpl w:val="CF94033A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2765774A"/>
    <w:multiLevelType w:val="hybridMultilevel"/>
    <w:tmpl w:val="321E1090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28213069"/>
    <w:multiLevelType w:val="multilevel"/>
    <w:tmpl w:val="ED70A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28F87185"/>
    <w:multiLevelType w:val="hybridMultilevel"/>
    <w:tmpl w:val="BB78685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2A0D68C8"/>
    <w:multiLevelType w:val="multilevel"/>
    <w:tmpl w:val="1C0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2BBD1C7C"/>
    <w:multiLevelType w:val="multilevel"/>
    <w:tmpl w:val="E24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2D3A3A34"/>
    <w:multiLevelType w:val="multilevel"/>
    <w:tmpl w:val="2FBC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2D4E55B3"/>
    <w:multiLevelType w:val="hybridMultilevel"/>
    <w:tmpl w:val="87F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2D7E0117"/>
    <w:multiLevelType w:val="hybridMultilevel"/>
    <w:tmpl w:val="E3EC62F6"/>
    <w:lvl w:ilvl="0" w:tplc="357AD492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2DDB721F"/>
    <w:multiLevelType w:val="multilevel"/>
    <w:tmpl w:val="E08A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2F0508F4"/>
    <w:multiLevelType w:val="hybridMultilevel"/>
    <w:tmpl w:val="3278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432CCE"/>
    <w:multiLevelType w:val="hybridMultilevel"/>
    <w:tmpl w:val="24DC6584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30597900"/>
    <w:multiLevelType w:val="hybridMultilevel"/>
    <w:tmpl w:val="C83AFF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1496B28"/>
    <w:multiLevelType w:val="hybridMultilevel"/>
    <w:tmpl w:val="4EDE003C"/>
    <w:lvl w:ilvl="0" w:tplc="9E663850">
      <w:start w:val="1"/>
      <w:numFmt w:val="bullet"/>
      <w:lvlText w:val="o"/>
      <w:lvlJc w:val="left"/>
      <w:pPr>
        <w:ind w:left="360" w:hanging="360"/>
      </w:pPr>
      <w:rPr>
        <w:rFonts w:hint="default" w:ascii="Calibri" w:hAnsi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31541AF4"/>
    <w:multiLevelType w:val="multilevel"/>
    <w:tmpl w:val="903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31AB323E"/>
    <w:multiLevelType w:val="hybridMultilevel"/>
    <w:tmpl w:val="7406A888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32965DE8"/>
    <w:multiLevelType w:val="hybridMultilevel"/>
    <w:tmpl w:val="92E284BC"/>
    <w:lvl w:ilvl="0" w:tplc="85C08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32D25318"/>
    <w:multiLevelType w:val="multilevel"/>
    <w:tmpl w:val="2B220A7E"/>
    <w:lvl w:ilvl="0">
      <w:start w:val="1"/>
      <w:numFmt w:val="bullet"/>
      <w:lvlText w:val=""/>
      <w:lvlJc w:val="left"/>
      <w:pPr>
        <w:ind w:left="0" w:hanging="360"/>
      </w:pPr>
      <w:rPr>
        <w:rFonts w:hint="default" w:ascii="Wingdings" w:hAnsi="Wingdings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364B0B37"/>
    <w:multiLevelType w:val="multilevel"/>
    <w:tmpl w:val="E69E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36726A70"/>
    <w:multiLevelType w:val="multilevel"/>
    <w:tmpl w:val="11BCDE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3842084D"/>
    <w:multiLevelType w:val="multilevel"/>
    <w:tmpl w:val="22E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38803F96"/>
    <w:multiLevelType w:val="multilevel"/>
    <w:tmpl w:val="11BCDE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38956BBA"/>
    <w:multiLevelType w:val="multilevel"/>
    <w:tmpl w:val="381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38C93FB4"/>
    <w:multiLevelType w:val="multilevel"/>
    <w:tmpl w:val="3FE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3C63552A"/>
    <w:multiLevelType w:val="multilevel"/>
    <w:tmpl w:val="DC1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3D56524E"/>
    <w:multiLevelType w:val="multilevel"/>
    <w:tmpl w:val="8444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3F13047F"/>
    <w:multiLevelType w:val="hybridMultilevel"/>
    <w:tmpl w:val="B9AECA0C"/>
    <w:lvl w:ilvl="0" w:tplc="18FE3614">
      <w:start w:val="1"/>
      <w:numFmt w:val="bullet"/>
      <w:lvlText w:val="-"/>
      <w:lvlJc w:val="left"/>
      <w:pPr>
        <w:ind w:left="288" w:hanging="216"/>
      </w:pPr>
      <w:rPr>
        <w:rFonts w:hint="default" w:ascii="Calibri" w:hAnsi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3F4F0832"/>
    <w:multiLevelType w:val="multilevel"/>
    <w:tmpl w:val="535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415D4A80"/>
    <w:multiLevelType w:val="multilevel"/>
    <w:tmpl w:val="893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41A63C7A"/>
    <w:multiLevelType w:val="multilevel"/>
    <w:tmpl w:val="99C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428C3D79"/>
    <w:multiLevelType w:val="hybridMultilevel"/>
    <w:tmpl w:val="F23C6A20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48D01F2E"/>
    <w:multiLevelType w:val="multilevel"/>
    <w:tmpl w:val="BDD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49004E41"/>
    <w:multiLevelType w:val="multilevel"/>
    <w:tmpl w:val="9F6EA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upperLetter"/>
      <w:lvlText w:val="%3."/>
      <w:lvlJc w:val="left"/>
      <w:pPr>
        <w:ind w:left="180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79" w15:restartNumberingAfterBreak="0">
    <w:nsid w:val="493A7769"/>
    <w:multiLevelType w:val="hybridMultilevel"/>
    <w:tmpl w:val="A748E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1A0F20"/>
    <w:multiLevelType w:val="hybridMultilevel"/>
    <w:tmpl w:val="D8D634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4A4870A8"/>
    <w:multiLevelType w:val="multilevel"/>
    <w:tmpl w:val="45146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4A501E01"/>
    <w:multiLevelType w:val="hybridMultilevel"/>
    <w:tmpl w:val="64FCB6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2C09C8A">
      <w:numFmt w:val="bullet"/>
      <w:lvlText w:val="•"/>
      <w:lvlJc w:val="left"/>
      <w:pPr>
        <w:ind w:left="2160" w:hanging="720"/>
      </w:pPr>
      <w:rPr>
        <w:rFonts w:hint="default" w:ascii="Calibri" w:hAnsi="Calibri" w:eastAsia="Calibri" w:cs="Calibr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4ACFC183"/>
    <w:multiLevelType w:val="hybridMultilevel"/>
    <w:tmpl w:val="72CECBDA"/>
    <w:lvl w:ilvl="0" w:tplc="12DA90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9B81D4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D565F4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B3EBA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7F80F6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9822B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52ED1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67C1B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BA6E8E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4AD351CB"/>
    <w:multiLevelType w:val="multilevel"/>
    <w:tmpl w:val="41245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" w15:restartNumberingAfterBreak="0">
    <w:nsid w:val="4ADB75E2"/>
    <w:multiLevelType w:val="multilevel"/>
    <w:tmpl w:val="5EF0B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4C564999"/>
    <w:multiLevelType w:val="hybridMultilevel"/>
    <w:tmpl w:val="4A6214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7" w15:restartNumberingAfterBreak="0">
    <w:nsid w:val="4DFB4AB1"/>
    <w:multiLevelType w:val="hybridMultilevel"/>
    <w:tmpl w:val="AC664952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8" w15:restartNumberingAfterBreak="0">
    <w:nsid w:val="4E072F16"/>
    <w:multiLevelType w:val="hybridMultilevel"/>
    <w:tmpl w:val="1EEA6F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9" w15:restartNumberingAfterBreak="0">
    <w:nsid w:val="4FF23DF2"/>
    <w:multiLevelType w:val="multilevel"/>
    <w:tmpl w:val="77AED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" w15:restartNumberingAfterBreak="0">
    <w:nsid w:val="50CC5D04"/>
    <w:multiLevelType w:val="multilevel"/>
    <w:tmpl w:val="377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" w15:restartNumberingAfterBreak="0">
    <w:nsid w:val="50E237D4"/>
    <w:multiLevelType w:val="hybridMultilevel"/>
    <w:tmpl w:val="ED4071C8"/>
    <w:lvl w:ilvl="0" w:tplc="A45853AA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2" w15:restartNumberingAfterBreak="0">
    <w:nsid w:val="517E183A"/>
    <w:multiLevelType w:val="hybridMultilevel"/>
    <w:tmpl w:val="32DC9B6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3" w15:restartNumberingAfterBreak="0">
    <w:nsid w:val="52990850"/>
    <w:multiLevelType w:val="multilevel"/>
    <w:tmpl w:val="392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53F94622"/>
    <w:multiLevelType w:val="hybridMultilevel"/>
    <w:tmpl w:val="AC26DF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5" w15:restartNumberingAfterBreak="0">
    <w:nsid w:val="54244214"/>
    <w:multiLevelType w:val="multilevel"/>
    <w:tmpl w:val="5EBE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" w15:restartNumberingAfterBreak="0">
    <w:nsid w:val="54D0300A"/>
    <w:multiLevelType w:val="hybridMultilevel"/>
    <w:tmpl w:val="5F9C5B06"/>
    <w:lvl w:ilvl="0" w:tplc="4F8899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C9451E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DB4517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521F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53A738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34490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660D89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8D2F4C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1D415A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7" w15:restartNumberingAfterBreak="0">
    <w:nsid w:val="567C1828"/>
    <w:multiLevelType w:val="multilevel"/>
    <w:tmpl w:val="D5B2C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8" w15:restartNumberingAfterBreak="0">
    <w:nsid w:val="56BF1F0D"/>
    <w:multiLevelType w:val="multilevel"/>
    <w:tmpl w:val="C35C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9" w15:restartNumberingAfterBreak="0">
    <w:nsid w:val="56C514A5"/>
    <w:multiLevelType w:val="hybridMultilevel"/>
    <w:tmpl w:val="439C4B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0" w15:restartNumberingAfterBreak="0">
    <w:nsid w:val="581F9979"/>
    <w:multiLevelType w:val="hybridMultilevel"/>
    <w:tmpl w:val="FFFFFFFF"/>
    <w:lvl w:ilvl="0" w:tplc="C0589314">
      <w:start w:val="1"/>
      <w:numFmt w:val="decimal"/>
      <w:lvlText w:val="%1."/>
      <w:lvlJc w:val="left"/>
      <w:pPr>
        <w:ind w:left="720" w:hanging="360"/>
      </w:pPr>
    </w:lvl>
    <w:lvl w:ilvl="1" w:tplc="1442A91E">
      <w:start w:val="1"/>
      <w:numFmt w:val="lowerLetter"/>
      <w:lvlText w:val="%2."/>
      <w:lvlJc w:val="left"/>
      <w:pPr>
        <w:ind w:left="1440" w:hanging="360"/>
      </w:pPr>
    </w:lvl>
    <w:lvl w:ilvl="2" w:tplc="576C33D2">
      <w:start w:val="1"/>
      <w:numFmt w:val="lowerRoman"/>
      <w:lvlText w:val="%3."/>
      <w:lvlJc w:val="right"/>
      <w:pPr>
        <w:ind w:left="2160" w:hanging="180"/>
      </w:pPr>
    </w:lvl>
    <w:lvl w:ilvl="3" w:tplc="56569F44">
      <w:start w:val="1"/>
      <w:numFmt w:val="decimal"/>
      <w:lvlText w:val="%4."/>
      <w:lvlJc w:val="left"/>
      <w:pPr>
        <w:ind w:left="2880" w:hanging="360"/>
      </w:pPr>
    </w:lvl>
    <w:lvl w:ilvl="4" w:tplc="746CB340">
      <w:start w:val="1"/>
      <w:numFmt w:val="lowerLetter"/>
      <w:lvlText w:val="%5."/>
      <w:lvlJc w:val="left"/>
      <w:pPr>
        <w:ind w:left="3600" w:hanging="360"/>
      </w:pPr>
    </w:lvl>
    <w:lvl w:ilvl="5" w:tplc="1C5C70CE">
      <w:start w:val="1"/>
      <w:numFmt w:val="lowerRoman"/>
      <w:lvlText w:val="%6."/>
      <w:lvlJc w:val="right"/>
      <w:pPr>
        <w:ind w:left="4320" w:hanging="180"/>
      </w:pPr>
    </w:lvl>
    <w:lvl w:ilvl="6" w:tplc="EF8C5C66">
      <w:start w:val="1"/>
      <w:numFmt w:val="decimal"/>
      <w:lvlText w:val="%7."/>
      <w:lvlJc w:val="left"/>
      <w:pPr>
        <w:ind w:left="5040" w:hanging="360"/>
      </w:pPr>
    </w:lvl>
    <w:lvl w:ilvl="7" w:tplc="28243DF4">
      <w:start w:val="1"/>
      <w:numFmt w:val="lowerLetter"/>
      <w:lvlText w:val="%8."/>
      <w:lvlJc w:val="left"/>
      <w:pPr>
        <w:ind w:left="5760" w:hanging="360"/>
      </w:pPr>
    </w:lvl>
    <w:lvl w:ilvl="8" w:tplc="0DC0BAB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7663D9"/>
    <w:multiLevelType w:val="multilevel"/>
    <w:tmpl w:val="9E5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593E79E6"/>
    <w:multiLevelType w:val="multilevel"/>
    <w:tmpl w:val="6F9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3" w15:restartNumberingAfterBreak="0">
    <w:nsid w:val="5A85BB2A"/>
    <w:multiLevelType w:val="hybridMultilevel"/>
    <w:tmpl w:val="48426070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Symbol" w:hAnsi="Symbol"/>
      </w:rPr>
    </w:lvl>
    <w:lvl w:ilvl="1" w:tplc="F40E5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66D9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D27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E08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6A2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520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6E04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6F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4" w15:restartNumberingAfterBreak="0">
    <w:nsid w:val="5A8E3383"/>
    <w:multiLevelType w:val="hybridMultilevel"/>
    <w:tmpl w:val="B3741A26"/>
    <w:lvl w:ilvl="0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" w15:restartNumberingAfterBreak="0">
    <w:nsid w:val="5BE94D98"/>
    <w:multiLevelType w:val="multilevel"/>
    <w:tmpl w:val="15EE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6" w15:restartNumberingAfterBreak="0">
    <w:nsid w:val="5C062DD9"/>
    <w:multiLevelType w:val="multilevel"/>
    <w:tmpl w:val="564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607945CA"/>
    <w:multiLevelType w:val="multilevel"/>
    <w:tmpl w:val="55B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8" w15:restartNumberingAfterBreak="0">
    <w:nsid w:val="613A2B02"/>
    <w:multiLevelType w:val="hybridMultilevel"/>
    <w:tmpl w:val="46C67854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9" w15:restartNumberingAfterBreak="0">
    <w:nsid w:val="61862A44"/>
    <w:multiLevelType w:val="multilevel"/>
    <w:tmpl w:val="7728B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0" w15:restartNumberingAfterBreak="0">
    <w:nsid w:val="62B9198E"/>
    <w:multiLevelType w:val="multilevel"/>
    <w:tmpl w:val="1330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1" w15:restartNumberingAfterBreak="0">
    <w:nsid w:val="659B25C6"/>
    <w:multiLevelType w:val="multilevel"/>
    <w:tmpl w:val="C4684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2" w15:restartNumberingAfterBreak="0">
    <w:nsid w:val="659B410A"/>
    <w:multiLevelType w:val="multilevel"/>
    <w:tmpl w:val="A23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 w15:restartNumberingAfterBreak="0">
    <w:nsid w:val="66701CAF"/>
    <w:multiLevelType w:val="hybridMultilevel"/>
    <w:tmpl w:val="32C0583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4" w15:restartNumberingAfterBreak="0">
    <w:nsid w:val="67160233"/>
    <w:multiLevelType w:val="multilevel"/>
    <w:tmpl w:val="2B6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69861864"/>
    <w:multiLevelType w:val="multilevel"/>
    <w:tmpl w:val="11BCDE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6A1A2903"/>
    <w:multiLevelType w:val="multilevel"/>
    <w:tmpl w:val="0420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7" w15:restartNumberingAfterBreak="0">
    <w:nsid w:val="6A866E92"/>
    <w:multiLevelType w:val="multilevel"/>
    <w:tmpl w:val="5CC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8" w15:restartNumberingAfterBreak="0">
    <w:nsid w:val="6AEB0FDF"/>
    <w:multiLevelType w:val="multilevel"/>
    <w:tmpl w:val="FC7C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6B0F59F8"/>
    <w:multiLevelType w:val="multilevel"/>
    <w:tmpl w:val="7AD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0" w15:restartNumberingAfterBreak="0">
    <w:nsid w:val="6B5A3B41"/>
    <w:multiLevelType w:val="hybridMultilevel"/>
    <w:tmpl w:val="456E08CC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FFFFFFFF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1" w15:restartNumberingAfterBreak="0">
    <w:nsid w:val="6E521545"/>
    <w:multiLevelType w:val="multilevel"/>
    <w:tmpl w:val="6B5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2" w15:restartNumberingAfterBreak="0">
    <w:nsid w:val="6F2D64BE"/>
    <w:multiLevelType w:val="multilevel"/>
    <w:tmpl w:val="3EC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 w15:restartNumberingAfterBreak="0">
    <w:nsid w:val="6F346FC3"/>
    <w:multiLevelType w:val="hybridMultilevel"/>
    <w:tmpl w:val="BC187FB8"/>
    <w:lvl w:ilvl="0" w:tplc="BEA44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44494E"/>
    <w:multiLevelType w:val="hybridMultilevel"/>
    <w:tmpl w:val="193A49BE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 w15:restartNumberingAfterBreak="0">
    <w:nsid w:val="701A62B5"/>
    <w:multiLevelType w:val="hybridMultilevel"/>
    <w:tmpl w:val="E9D8A10E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71871790"/>
    <w:multiLevelType w:val="hybridMultilevel"/>
    <w:tmpl w:val="4E2417BA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7" w15:restartNumberingAfterBreak="0">
    <w:nsid w:val="71A214DD"/>
    <w:multiLevelType w:val="multilevel"/>
    <w:tmpl w:val="145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8" w15:restartNumberingAfterBreak="0">
    <w:nsid w:val="744C4BF1"/>
    <w:multiLevelType w:val="hybridMultilevel"/>
    <w:tmpl w:val="3B103808"/>
    <w:lvl w:ilvl="0" w:tplc="9E663850">
      <w:start w:val="1"/>
      <w:numFmt w:val="bullet"/>
      <w:lvlText w:val="o"/>
      <w:lvlJc w:val="left"/>
      <w:pPr>
        <w:ind w:left="720" w:hanging="360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9" w15:restartNumberingAfterBreak="0">
    <w:nsid w:val="74E55070"/>
    <w:multiLevelType w:val="multilevel"/>
    <w:tmpl w:val="5D9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0" w15:restartNumberingAfterBreak="0">
    <w:nsid w:val="74F52AD1"/>
    <w:multiLevelType w:val="multilevel"/>
    <w:tmpl w:val="9E92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1" w15:restartNumberingAfterBreak="0">
    <w:nsid w:val="75190D2F"/>
    <w:multiLevelType w:val="hybridMultilevel"/>
    <w:tmpl w:val="E062B26C"/>
    <w:lvl w:ilvl="0" w:tplc="85C08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82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50D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960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9DCF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06B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E10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83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11EC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2" w15:restartNumberingAfterBreak="0">
    <w:nsid w:val="75A91561"/>
    <w:multiLevelType w:val="hybridMultilevel"/>
    <w:tmpl w:val="5D12F554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3" w15:restartNumberingAfterBreak="0">
    <w:nsid w:val="760E45F1"/>
    <w:multiLevelType w:val="multilevel"/>
    <w:tmpl w:val="DD3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4" w15:restartNumberingAfterBreak="0">
    <w:nsid w:val="77CD4206"/>
    <w:multiLevelType w:val="hybridMultilevel"/>
    <w:tmpl w:val="430CA59E"/>
    <w:lvl w:ilvl="0" w:tplc="FFFFFFFF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5" w15:restartNumberingAfterBreak="0">
    <w:nsid w:val="77D756CE"/>
    <w:multiLevelType w:val="hybridMultilevel"/>
    <w:tmpl w:val="AA5869FE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6" w15:restartNumberingAfterBreak="0">
    <w:nsid w:val="78743DFA"/>
    <w:multiLevelType w:val="multilevel"/>
    <w:tmpl w:val="A754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78F2365F"/>
    <w:multiLevelType w:val="multilevel"/>
    <w:tmpl w:val="1B3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8" w15:restartNumberingAfterBreak="0">
    <w:nsid w:val="79DA05E0"/>
    <w:multiLevelType w:val="multilevel"/>
    <w:tmpl w:val="1C3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9" w15:restartNumberingAfterBreak="0">
    <w:nsid w:val="7B0E220E"/>
    <w:multiLevelType w:val="multilevel"/>
    <w:tmpl w:val="78B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0" w15:restartNumberingAfterBreak="0">
    <w:nsid w:val="7BDA222B"/>
    <w:multiLevelType w:val="multilevel"/>
    <w:tmpl w:val="E39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1" w15:restartNumberingAfterBreak="0">
    <w:nsid w:val="7D04562F"/>
    <w:multiLevelType w:val="multilevel"/>
    <w:tmpl w:val="43C6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2" w15:restartNumberingAfterBreak="0">
    <w:nsid w:val="7D184961"/>
    <w:multiLevelType w:val="multilevel"/>
    <w:tmpl w:val="ABC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3" w15:restartNumberingAfterBreak="0">
    <w:nsid w:val="7D2C66E6"/>
    <w:multiLevelType w:val="hybridMultilevel"/>
    <w:tmpl w:val="8550EE10"/>
    <w:lvl w:ilvl="0" w:tplc="FFFFFFFF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05478136">
    <w:abstractNumId w:val="23"/>
  </w:num>
  <w:num w:numId="2" w16cid:durableId="925841110">
    <w:abstractNumId w:val="100"/>
  </w:num>
  <w:num w:numId="3" w16cid:durableId="1783497636">
    <w:abstractNumId w:val="109"/>
  </w:num>
  <w:num w:numId="4" w16cid:durableId="1406145535">
    <w:abstractNumId w:val="82"/>
  </w:num>
  <w:num w:numId="5" w16cid:durableId="520356837">
    <w:abstractNumId w:val="22"/>
  </w:num>
  <w:num w:numId="6" w16cid:durableId="1109818957">
    <w:abstractNumId w:val="12"/>
  </w:num>
  <w:num w:numId="7" w16cid:durableId="315719266">
    <w:abstractNumId w:val="83"/>
  </w:num>
  <w:num w:numId="8" w16cid:durableId="772820877">
    <w:abstractNumId w:val="96"/>
  </w:num>
  <w:num w:numId="9" w16cid:durableId="1045641697">
    <w:abstractNumId w:val="103"/>
  </w:num>
  <w:num w:numId="10" w16cid:durableId="362899368">
    <w:abstractNumId w:val="113"/>
  </w:num>
  <w:num w:numId="11" w16cid:durableId="2113939411">
    <w:abstractNumId w:val="18"/>
  </w:num>
  <w:num w:numId="12" w16cid:durableId="2024892823">
    <w:abstractNumId w:val="31"/>
  </w:num>
  <w:num w:numId="13" w16cid:durableId="1996833739">
    <w:abstractNumId w:val="48"/>
  </w:num>
  <w:num w:numId="14" w16cid:durableId="640232582">
    <w:abstractNumId w:val="25"/>
  </w:num>
  <w:num w:numId="15" w16cid:durableId="1550338394">
    <w:abstractNumId w:val="78"/>
  </w:num>
  <w:num w:numId="16" w16cid:durableId="1408193077">
    <w:abstractNumId w:val="97"/>
  </w:num>
  <w:num w:numId="17" w16cid:durableId="460420172">
    <w:abstractNumId w:val="79"/>
  </w:num>
  <w:num w:numId="18" w16cid:durableId="1895965842">
    <w:abstractNumId w:val="6"/>
  </w:num>
  <w:num w:numId="19" w16cid:durableId="1927878246">
    <w:abstractNumId w:val="124"/>
  </w:num>
  <w:num w:numId="20" w16cid:durableId="907424709">
    <w:abstractNumId w:val="72"/>
  </w:num>
  <w:num w:numId="21" w16cid:durableId="977226836">
    <w:abstractNumId w:val="13"/>
  </w:num>
  <w:num w:numId="22" w16cid:durableId="975715805">
    <w:abstractNumId w:val="36"/>
  </w:num>
  <w:num w:numId="23" w16cid:durableId="705641539">
    <w:abstractNumId w:val="10"/>
  </w:num>
  <w:num w:numId="24" w16cid:durableId="127364797">
    <w:abstractNumId w:val="15"/>
  </w:num>
  <w:num w:numId="25" w16cid:durableId="1247106117">
    <w:abstractNumId w:val="57"/>
  </w:num>
  <w:num w:numId="26" w16cid:durableId="2064677240">
    <w:abstractNumId w:val="53"/>
  </w:num>
  <w:num w:numId="27" w16cid:durableId="1196194943">
    <w:abstractNumId w:val="108"/>
  </w:num>
  <w:num w:numId="28" w16cid:durableId="1949656324">
    <w:abstractNumId w:val="37"/>
  </w:num>
  <w:num w:numId="29" w16cid:durableId="383136594">
    <w:abstractNumId w:val="0"/>
  </w:num>
  <w:num w:numId="30" w16cid:durableId="1679769788">
    <w:abstractNumId w:val="54"/>
  </w:num>
  <w:num w:numId="31" w16cid:durableId="1047493447">
    <w:abstractNumId w:val="43"/>
  </w:num>
  <w:num w:numId="32" w16cid:durableId="307325386">
    <w:abstractNumId w:val="102"/>
  </w:num>
  <w:num w:numId="33" w16cid:durableId="886991262">
    <w:abstractNumId w:val="49"/>
  </w:num>
  <w:num w:numId="34" w16cid:durableId="14623385">
    <w:abstractNumId w:val="91"/>
  </w:num>
  <w:num w:numId="35" w16cid:durableId="1353262329">
    <w:abstractNumId w:val="34"/>
  </w:num>
  <w:num w:numId="36" w16cid:durableId="1326546096">
    <w:abstractNumId w:val="56"/>
  </w:num>
  <w:num w:numId="37" w16cid:durableId="2082174580">
    <w:abstractNumId w:val="41"/>
  </w:num>
  <w:num w:numId="38" w16cid:durableId="1070421424">
    <w:abstractNumId w:val="20"/>
  </w:num>
  <w:num w:numId="39" w16cid:durableId="956302069">
    <w:abstractNumId w:val="123"/>
  </w:num>
  <w:num w:numId="40" w16cid:durableId="635992552">
    <w:abstractNumId w:val="29"/>
  </w:num>
  <w:num w:numId="41" w16cid:durableId="1376352471">
    <w:abstractNumId w:val="11"/>
  </w:num>
  <w:num w:numId="42" w16cid:durableId="1619099311">
    <w:abstractNumId w:val="46"/>
  </w:num>
  <w:num w:numId="43" w16cid:durableId="1709648038">
    <w:abstractNumId w:val="88"/>
  </w:num>
  <w:num w:numId="44" w16cid:durableId="1348942161">
    <w:abstractNumId w:val="65"/>
  </w:num>
  <w:num w:numId="45" w16cid:durableId="1418014661">
    <w:abstractNumId w:val="131"/>
  </w:num>
  <w:num w:numId="46" w16cid:durableId="223415444">
    <w:abstractNumId w:val="62"/>
  </w:num>
  <w:num w:numId="47" w16cid:durableId="905576657">
    <w:abstractNumId w:val="5"/>
  </w:num>
  <w:num w:numId="48" w16cid:durableId="1635409080">
    <w:abstractNumId w:val="92"/>
  </w:num>
  <w:num w:numId="49" w16cid:durableId="1232809202">
    <w:abstractNumId w:val="134"/>
  </w:num>
  <w:num w:numId="50" w16cid:durableId="1934820052">
    <w:abstractNumId w:val="120"/>
  </w:num>
  <w:num w:numId="51" w16cid:durableId="1348480658">
    <w:abstractNumId w:val="58"/>
  </w:num>
  <w:num w:numId="52" w16cid:durableId="763695231">
    <w:abstractNumId w:val="21"/>
  </w:num>
  <w:num w:numId="53" w16cid:durableId="1152453057">
    <w:abstractNumId w:val="99"/>
  </w:num>
  <w:num w:numId="54" w16cid:durableId="107941633">
    <w:abstractNumId w:val="86"/>
  </w:num>
  <w:num w:numId="55" w16cid:durableId="1545557049">
    <w:abstractNumId w:val="80"/>
  </w:num>
  <w:num w:numId="56" w16cid:durableId="1355113704">
    <w:abstractNumId w:val="94"/>
  </w:num>
  <w:num w:numId="57" w16cid:durableId="329990542">
    <w:abstractNumId w:val="67"/>
  </w:num>
  <w:num w:numId="58" w16cid:durableId="527452734">
    <w:abstractNumId w:val="115"/>
  </w:num>
  <w:num w:numId="59" w16cid:durableId="1394935401">
    <w:abstractNumId w:val="66"/>
  </w:num>
  <w:num w:numId="60" w16cid:durableId="724331709">
    <w:abstractNumId w:val="55"/>
  </w:num>
  <w:num w:numId="61" w16cid:durableId="1535147441">
    <w:abstractNumId w:val="69"/>
  </w:num>
  <w:num w:numId="62" w16cid:durableId="244805211">
    <w:abstractNumId w:val="50"/>
  </w:num>
  <w:num w:numId="63" w16cid:durableId="824278655">
    <w:abstractNumId w:val="2"/>
  </w:num>
  <w:num w:numId="64" w16cid:durableId="2039427953">
    <w:abstractNumId w:val="129"/>
  </w:num>
  <w:num w:numId="65" w16cid:durableId="1605725429">
    <w:abstractNumId w:val="139"/>
  </w:num>
  <w:num w:numId="66" w16cid:durableId="175390066">
    <w:abstractNumId w:val="64"/>
  </w:num>
  <w:num w:numId="67" w16cid:durableId="789082931">
    <w:abstractNumId w:val="74"/>
  </w:num>
  <w:num w:numId="68" w16cid:durableId="1973708025">
    <w:abstractNumId w:val="28"/>
  </w:num>
  <w:num w:numId="69" w16cid:durableId="156507112">
    <w:abstractNumId w:val="112"/>
  </w:num>
  <w:num w:numId="70" w16cid:durableId="703023508">
    <w:abstractNumId w:val="70"/>
  </w:num>
  <w:num w:numId="71" w16cid:durableId="287854102">
    <w:abstractNumId w:val="119"/>
  </w:num>
  <w:num w:numId="72" w16cid:durableId="1540774787">
    <w:abstractNumId w:val="116"/>
  </w:num>
  <w:num w:numId="73" w16cid:durableId="1557621800">
    <w:abstractNumId w:val="42"/>
  </w:num>
  <w:num w:numId="74" w16cid:durableId="1082682140">
    <w:abstractNumId w:val="17"/>
  </w:num>
  <w:num w:numId="75" w16cid:durableId="1280725395">
    <w:abstractNumId w:val="95"/>
  </w:num>
  <w:num w:numId="76" w16cid:durableId="622077016">
    <w:abstractNumId w:val="121"/>
  </w:num>
  <w:num w:numId="77" w16cid:durableId="639577137">
    <w:abstractNumId w:val="40"/>
  </w:num>
  <w:num w:numId="78" w16cid:durableId="118692602">
    <w:abstractNumId w:val="45"/>
  </w:num>
  <w:num w:numId="79" w16cid:durableId="610942092">
    <w:abstractNumId w:val="98"/>
  </w:num>
  <w:num w:numId="80" w16cid:durableId="1044594933">
    <w:abstractNumId w:val="142"/>
  </w:num>
  <w:num w:numId="81" w16cid:durableId="1049765154">
    <w:abstractNumId w:val="114"/>
  </w:num>
  <w:num w:numId="82" w16cid:durableId="2014989764">
    <w:abstractNumId w:val="24"/>
  </w:num>
  <w:num w:numId="83" w16cid:durableId="1193768100">
    <w:abstractNumId w:val="110"/>
  </w:num>
  <w:num w:numId="84" w16cid:durableId="307781916">
    <w:abstractNumId w:val="68"/>
  </w:num>
  <w:num w:numId="85" w16cid:durableId="760446096">
    <w:abstractNumId w:val="107"/>
  </w:num>
  <w:num w:numId="86" w16cid:durableId="1025442372">
    <w:abstractNumId w:val="32"/>
  </w:num>
  <w:num w:numId="87" w16cid:durableId="2015958015">
    <w:abstractNumId w:val="38"/>
  </w:num>
  <w:num w:numId="88" w16cid:durableId="1840272959">
    <w:abstractNumId w:val="35"/>
  </w:num>
  <w:num w:numId="89" w16cid:durableId="2131705082">
    <w:abstractNumId w:val="8"/>
  </w:num>
  <w:num w:numId="90" w16cid:durableId="1430616064">
    <w:abstractNumId w:val="52"/>
  </w:num>
  <w:num w:numId="91" w16cid:durableId="288512655">
    <w:abstractNumId w:val="7"/>
  </w:num>
  <w:num w:numId="92" w16cid:durableId="860515097">
    <w:abstractNumId w:val="106"/>
  </w:num>
  <w:num w:numId="93" w16cid:durableId="359013725">
    <w:abstractNumId w:val="118"/>
  </w:num>
  <w:num w:numId="94" w16cid:durableId="1160005866">
    <w:abstractNumId w:val="136"/>
  </w:num>
  <w:num w:numId="95" w16cid:durableId="1238788216">
    <w:abstractNumId w:val="90"/>
  </w:num>
  <w:num w:numId="96" w16cid:durableId="1252157894">
    <w:abstractNumId w:val="101"/>
  </w:num>
  <w:num w:numId="97" w16cid:durableId="84542468">
    <w:abstractNumId w:val="19"/>
  </w:num>
  <w:num w:numId="98" w16cid:durableId="1421095388">
    <w:abstractNumId w:val="26"/>
  </w:num>
  <w:num w:numId="99" w16cid:durableId="1992715023">
    <w:abstractNumId w:val="73"/>
  </w:num>
  <w:num w:numId="100" w16cid:durableId="1217006564">
    <w:abstractNumId w:val="4"/>
  </w:num>
  <w:num w:numId="101" w16cid:durableId="385102541">
    <w:abstractNumId w:val="51"/>
  </w:num>
  <w:num w:numId="102" w16cid:durableId="577130133">
    <w:abstractNumId w:val="75"/>
  </w:num>
  <w:num w:numId="103" w16cid:durableId="647516814">
    <w:abstractNumId w:val="27"/>
  </w:num>
  <w:num w:numId="104" w16cid:durableId="1882010866">
    <w:abstractNumId w:val="71"/>
  </w:num>
  <w:num w:numId="105" w16cid:durableId="2024241729">
    <w:abstractNumId w:val="60"/>
  </w:num>
  <w:num w:numId="106" w16cid:durableId="229536483">
    <w:abstractNumId w:val="44"/>
  </w:num>
  <w:num w:numId="107" w16cid:durableId="411971461">
    <w:abstractNumId w:val="30"/>
  </w:num>
  <w:num w:numId="108" w16cid:durableId="746145970">
    <w:abstractNumId w:val="77"/>
  </w:num>
  <w:num w:numId="109" w16cid:durableId="854343271">
    <w:abstractNumId w:val="3"/>
  </w:num>
  <w:num w:numId="110" w16cid:durableId="325475766">
    <w:abstractNumId w:val="133"/>
  </w:num>
  <w:num w:numId="111" w16cid:durableId="214775024">
    <w:abstractNumId w:val="16"/>
  </w:num>
  <w:num w:numId="112" w16cid:durableId="1062560534">
    <w:abstractNumId w:val="39"/>
  </w:num>
  <w:num w:numId="113" w16cid:durableId="1429933692">
    <w:abstractNumId w:val="122"/>
  </w:num>
  <w:num w:numId="114" w16cid:durableId="145128839">
    <w:abstractNumId w:val="137"/>
  </w:num>
  <w:num w:numId="115" w16cid:durableId="940986852">
    <w:abstractNumId w:val="63"/>
  </w:num>
  <w:num w:numId="116" w16cid:durableId="1146244594">
    <w:abstractNumId w:val="130"/>
  </w:num>
  <w:num w:numId="117" w16cid:durableId="1891647515">
    <w:abstractNumId w:val="105"/>
  </w:num>
  <w:num w:numId="118" w16cid:durableId="1715887617">
    <w:abstractNumId w:val="127"/>
  </w:num>
  <w:num w:numId="119" w16cid:durableId="1014112069">
    <w:abstractNumId w:val="14"/>
  </w:num>
  <w:num w:numId="120" w16cid:durableId="1665664785">
    <w:abstractNumId w:val="117"/>
  </w:num>
  <w:num w:numId="121" w16cid:durableId="1216547750">
    <w:abstractNumId w:val="93"/>
  </w:num>
  <w:num w:numId="122" w16cid:durableId="8139498">
    <w:abstractNumId w:val="9"/>
  </w:num>
  <w:num w:numId="123" w16cid:durableId="1075398227">
    <w:abstractNumId w:val="138"/>
  </w:num>
  <w:num w:numId="124" w16cid:durableId="527452648">
    <w:abstractNumId w:val="140"/>
  </w:num>
  <w:num w:numId="125" w16cid:durableId="135417173">
    <w:abstractNumId w:val="141"/>
  </w:num>
  <w:num w:numId="126" w16cid:durableId="990016503">
    <w:abstractNumId w:val="89"/>
  </w:num>
  <w:num w:numId="127" w16cid:durableId="1071385483">
    <w:abstractNumId w:val="84"/>
  </w:num>
  <w:num w:numId="128" w16cid:durableId="2067296552">
    <w:abstractNumId w:val="111"/>
  </w:num>
  <w:num w:numId="129" w16cid:durableId="221601264">
    <w:abstractNumId w:val="81"/>
  </w:num>
  <w:num w:numId="130" w16cid:durableId="42877150">
    <w:abstractNumId w:val="85"/>
  </w:num>
  <w:num w:numId="131" w16cid:durableId="1842548339">
    <w:abstractNumId w:val="135"/>
  </w:num>
  <w:num w:numId="132" w16cid:durableId="1658418192">
    <w:abstractNumId w:val="87"/>
  </w:num>
  <w:num w:numId="133" w16cid:durableId="1432508092">
    <w:abstractNumId w:val="132"/>
  </w:num>
  <w:num w:numId="134" w16cid:durableId="1984967319">
    <w:abstractNumId w:val="1"/>
  </w:num>
  <w:num w:numId="135" w16cid:durableId="77680944">
    <w:abstractNumId w:val="126"/>
  </w:num>
  <w:num w:numId="136" w16cid:durableId="1983189791">
    <w:abstractNumId w:val="61"/>
  </w:num>
  <w:num w:numId="137" w16cid:durableId="2036878303">
    <w:abstractNumId w:val="125"/>
  </w:num>
  <w:num w:numId="138" w16cid:durableId="258561642">
    <w:abstractNumId w:val="104"/>
  </w:num>
  <w:num w:numId="139" w16cid:durableId="389227783">
    <w:abstractNumId w:val="76"/>
  </w:num>
  <w:num w:numId="140" w16cid:durableId="1421490651">
    <w:abstractNumId w:val="33"/>
  </w:num>
  <w:num w:numId="141" w16cid:durableId="472143464">
    <w:abstractNumId w:val="59"/>
  </w:num>
  <w:num w:numId="142" w16cid:durableId="1483041677">
    <w:abstractNumId w:val="143"/>
  </w:num>
  <w:num w:numId="143" w16cid:durableId="1529222087">
    <w:abstractNumId w:val="128"/>
  </w:num>
  <w:num w:numId="144" w16cid:durableId="2030642809">
    <w:abstractNumId w:val="4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9"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75"/>
    <w:rsid w:val="00054E75"/>
    <w:rsid w:val="000B1B91"/>
    <w:rsid w:val="00162057"/>
    <w:rsid w:val="00182D0F"/>
    <w:rsid w:val="00197F73"/>
    <w:rsid w:val="001A47A0"/>
    <w:rsid w:val="001A7B9A"/>
    <w:rsid w:val="00206BA7"/>
    <w:rsid w:val="002174D3"/>
    <w:rsid w:val="00244442"/>
    <w:rsid w:val="00281CF6"/>
    <w:rsid w:val="002957BE"/>
    <w:rsid w:val="002F7D37"/>
    <w:rsid w:val="00440F44"/>
    <w:rsid w:val="004517E7"/>
    <w:rsid w:val="00451B1B"/>
    <w:rsid w:val="0046340B"/>
    <w:rsid w:val="004753FB"/>
    <w:rsid w:val="004A44C7"/>
    <w:rsid w:val="005664E0"/>
    <w:rsid w:val="005E7CC6"/>
    <w:rsid w:val="006323AB"/>
    <w:rsid w:val="006823E8"/>
    <w:rsid w:val="006C30CF"/>
    <w:rsid w:val="006F2966"/>
    <w:rsid w:val="0070236A"/>
    <w:rsid w:val="00715A24"/>
    <w:rsid w:val="00757857"/>
    <w:rsid w:val="007E3169"/>
    <w:rsid w:val="00880211"/>
    <w:rsid w:val="00892F0E"/>
    <w:rsid w:val="008B439F"/>
    <w:rsid w:val="008D3BCD"/>
    <w:rsid w:val="0091136A"/>
    <w:rsid w:val="00944F29"/>
    <w:rsid w:val="009504B5"/>
    <w:rsid w:val="009F7D00"/>
    <w:rsid w:val="00A31F18"/>
    <w:rsid w:val="00A35A5F"/>
    <w:rsid w:val="00A87ABD"/>
    <w:rsid w:val="00AC5F57"/>
    <w:rsid w:val="00B75DBF"/>
    <w:rsid w:val="00B874F5"/>
    <w:rsid w:val="00BB0282"/>
    <w:rsid w:val="00BB65DF"/>
    <w:rsid w:val="00BD6A9E"/>
    <w:rsid w:val="00C70537"/>
    <w:rsid w:val="00D076C2"/>
    <w:rsid w:val="00D37F37"/>
    <w:rsid w:val="00D53423"/>
    <w:rsid w:val="00DB3256"/>
    <w:rsid w:val="00DE5A78"/>
    <w:rsid w:val="00E36412"/>
    <w:rsid w:val="00E70D8F"/>
    <w:rsid w:val="00ED5AB7"/>
    <w:rsid w:val="00EF644D"/>
    <w:rsid w:val="00F43B7B"/>
    <w:rsid w:val="00FC1334"/>
    <w:rsid w:val="00FF30F3"/>
    <w:rsid w:val="1B255D85"/>
    <w:rsid w:val="47DD4F58"/>
    <w:rsid w:val="5CDCB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A08B"/>
  <w15:chartTrackingRefBased/>
  <w15:docId w15:val="{A2E63416-B42F-EE4E-A9C0-E7EF91F493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4E75"/>
    <w:pPr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E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E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4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4E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4E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4E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4E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D3BCD"/>
    <w:rPr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054E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54E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54E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54E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054E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054E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sid w:val="00054E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sid w:val="00054E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sid w:val="00054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E7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4E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54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E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54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54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E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4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E75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054E75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rsid w:val="00054E75"/>
    <w:rPr>
      <w:rFonts w:asciiTheme="minorHAnsi" w:hAnsiTheme="minorHAnsi" w:eastAsiaTheme="minorEastAsi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4E75"/>
    <w:rPr>
      <w:color w:val="467886"/>
      <w:u w:val="single"/>
    </w:rPr>
  </w:style>
  <w:style w:type="table" w:styleId="TableGrid">
    <w:name w:val="Table Grid"/>
    <w:basedOn w:val="TableNormal"/>
    <w:uiPriority w:val="59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4E7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4E75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4E7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4E75"/>
    <w:rPr>
      <w:rFonts w:ascii="Times New Roman" w:hAnsi="Times New Roman" w:eastAsia="Times New Roman" w:cs="Times New Roman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E75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054E75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4E7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54E7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4E75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4E75"/>
    <w:rPr>
      <w:sz w:val="16"/>
      <w:szCs w:val="16"/>
    </w:rPr>
  </w:style>
  <w:style w:type="paragraph" w:styleId="Revision">
    <w:name w:val="Revision"/>
    <w:hidden/>
    <w:uiPriority w:val="99"/>
    <w:semiHidden/>
    <w:rsid w:val="00054E75"/>
    <w:pPr>
      <w:spacing w:after="0" w:line="240" w:lineRule="auto"/>
    </w:pPr>
    <w:rPr>
      <w:kern w:val="0"/>
      <w:lang w:val="en-GB" w:eastAsia="ja-JP"/>
      <w14:ligatures w14:val="none"/>
    </w:rPr>
  </w:style>
  <w:style w:type="character" w:styleId="UnresolvedMention">
    <w:name w:val="Unresolved Mention"/>
    <w:basedOn w:val="DefaultParagraphFont"/>
    <w:uiPriority w:val="99"/>
    <w:unhideWhenUsed/>
    <w:rsid w:val="00054E7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4E75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54E7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4E75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54E75"/>
    <w:pPr>
      <w:spacing w:after="200"/>
    </w:pPr>
    <w:rPr>
      <w:i/>
      <w:iCs/>
      <w:color w:val="0E2841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4E75"/>
  </w:style>
  <w:style w:type="paragraph" w:styleId="NoSpacing">
    <w:name w:val="No Spacing"/>
    <w:link w:val="NoSpacingChar"/>
    <w:uiPriority w:val="1"/>
    <w:qFormat/>
    <w:rsid w:val="00054E7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054E75"/>
    <w:rPr>
      <w:kern w:val="0"/>
      <w:sz w:val="22"/>
      <w:szCs w:val="22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054E75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54E75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54E75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54E75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54E75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54E75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54E75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54E75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54E75"/>
    <w:pPr>
      <w:ind w:left="216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054E75"/>
    <w:pPr>
      <w:spacing w:before="120" w:after="120"/>
    </w:pPr>
    <w:rPr>
      <w:b/>
      <w:bCs/>
      <w:i/>
      <w:iCs/>
      <w:sz w:val="20"/>
      <w:szCs w:val="20"/>
    </w:rPr>
  </w:style>
  <w:style w:type="paragraph" w:styleId="paragraph" w:customStyle="1">
    <w:name w:val="paragraph"/>
    <w:basedOn w:val="Normal"/>
    <w:rsid w:val="00054E75"/>
    <w:pPr>
      <w:spacing w:before="100" w:beforeAutospacing="1" w:after="100" w:afterAutospacing="1"/>
    </w:pPr>
    <w:rPr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4E75"/>
    <w:pPr>
      <w:spacing w:before="480" w:after="0" w:line="276" w:lineRule="auto"/>
      <w:outlineLvl w:val="9"/>
    </w:pPr>
    <w:rPr>
      <w:b/>
      <w:bCs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4E75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54E75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54E75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54E75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54E75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54E75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54E75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54E75"/>
    <w:pPr>
      <w:ind w:left="192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054E75"/>
    <w:rPr>
      <w:b/>
      <w:bCs/>
    </w:rPr>
  </w:style>
  <w:style w:type="character" w:styleId="Emphasis">
    <w:name w:val="Emphasis"/>
    <w:basedOn w:val="DefaultParagraphFont"/>
    <w:uiPriority w:val="20"/>
    <w:qFormat/>
    <w:rsid w:val="00054E75"/>
    <w:rPr>
      <w:i/>
      <w:iCs/>
    </w:rPr>
  </w:style>
  <w:style w:type="paragraph" w:styleId="Default" w:customStyle="1">
    <w:name w:val="Default"/>
    <w:rsid w:val="00054E75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lang w:eastAsia="ja-JP"/>
      <w14:ligatures w14:val="none"/>
    </w:rPr>
  </w:style>
  <w:style w:type="character" w:styleId="A8" w:customStyle="1">
    <w:name w:val="A8"/>
    <w:uiPriority w:val="99"/>
    <w:rsid w:val="00054E75"/>
    <w:rPr>
      <w:rFonts w:cs="Source Sans Pro"/>
      <w:color w:val="000000"/>
      <w:sz w:val="19"/>
      <w:szCs w:val="19"/>
    </w:rPr>
  </w:style>
  <w:style w:type="paragraph" w:styleId="Pa12" w:customStyle="1">
    <w:name w:val="Pa12"/>
    <w:basedOn w:val="Default"/>
    <w:next w:val="Default"/>
    <w:uiPriority w:val="99"/>
    <w:rsid w:val="00054E75"/>
    <w:pPr>
      <w:spacing w:line="191" w:lineRule="atLeast"/>
    </w:pPr>
    <w:rPr>
      <w:rFonts w:cstheme="minorBidi"/>
      <w:color w:val="auto"/>
    </w:rPr>
  </w:style>
  <w:style w:type="character" w:styleId="A10" w:customStyle="1">
    <w:name w:val="A10"/>
    <w:uiPriority w:val="99"/>
    <w:rsid w:val="00054E75"/>
    <w:rPr>
      <w:rFonts w:cs="Source Sans Pro"/>
      <w:color w:val="000000"/>
      <w:sz w:val="11"/>
      <w:szCs w:val="1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E75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54E75"/>
    <w:rPr>
      <w:rFonts w:ascii="Times New Roman" w:hAnsi="Times New Roman" w:cs="Times New Roman"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4E75"/>
    <w:rPr>
      <w:vertAlign w:val="superscript"/>
    </w:rPr>
  </w:style>
  <w:style w:type="table" w:styleId="GridTable5Dark-Accent1">
    <w:name w:val="Grid Table 5 Dark Accent 1"/>
    <w:basedOn w:val="TableNormal"/>
    <w:uiPriority w:val="50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054E75"/>
    <w:pPr>
      <w:spacing w:after="0" w:line="240" w:lineRule="auto"/>
    </w:pPr>
    <w:tblPr>
      <w:tblStyleRowBandSize w:val="1"/>
      <w:tblStyleColBandSize w:val="1"/>
      <w:tblBorders>
        <w:top w:val="single" w:color="47D459" w:themeColor="accent3" w:themeTint="99" w:sz="4" w:space="0"/>
        <w:left w:val="single" w:color="47D459" w:themeColor="accent3" w:themeTint="99" w:sz="4" w:space="0"/>
        <w:bottom w:val="single" w:color="47D459" w:themeColor="accent3" w:themeTint="99" w:sz="4" w:space="0"/>
        <w:right w:val="single" w:color="47D459" w:themeColor="accent3" w:themeTint="99" w:sz="4" w:space="0"/>
        <w:insideH w:val="single" w:color="47D459" w:themeColor="accent3" w:themeTint="99" w:sz="4" w:space="0"/>
        <w:insideV w:val="single" w:color="47D45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96B24" w:themeColor="accent3" w:sz="4" w:space="0"/>
          <w:left w:val="single" w:color="196B24" w:themeColor="accent3" w:sz="4" w:space="0"/>
          <w:bottom w:val="single" w:color="196B24" w:themeColor="accent3" w:sz="4" w:space="0"/>
          <w:right w:val="single" w:color="196B24" w:themeColor="accent3" w:sz="4" w:space="0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color="196B2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31" w:customStyle="1">
    <w:name w:val="Grid Table 4 - Accent 31"/>
    <w:basedOn w:val="TableNormal"/>
    <w:next w:val="GridTable4-Accent3"/>
    <w:uiPriority w:val="49"/>
    <w:rsid w:val="00054E75"/>
    <w:pPr>
      <w:spacing w:after="0" w:line="240" w:lineRule="auto"/>
    </w:pPr>
    <w:tblPr>
      <w:tblStyleRowBandSize w:val="1"/>
      <w:tblStyleColBandSize w:val="1"/>
      <w:tblBorders>
        <w:top w:val="single" w:color="47D459" w:sz="4" w:space="0"/>
        <w:left w:val="single" w:color="47D459" w:sz="4" w:space="0"/>
        <w:bottom w:val="single" w:color="47D459" w:sz="4" w:space="0"/>
        <w:right w:val="single" w:color="47D459" w:sz="4" w:space="0"/>
        <w:insideH w:val="single" w:color="47D459" w:sz="4" w:space="0"/>
        <w:insideV w:val="single" w:color="47D45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196B24" w:sz="4" w:space="0"/>
          <w:left w:val="single" w:color="196B24" w:sz="4" w:space="0"/>
          <w:bottom w:val="single" w:color="196B24" w:sz="4" w:space="0"/>
          <w:right w:val="single" w:color="196B24" w:sz="4" w:space="0"/>
          <w:insideH w:val="nil"/>
          <w:insideV w:val="nil"/>
        </w:tcBorders>
        <w:shd w:val="clear" w:color="auto" w:fill="196B24"/>
      </w:tcPr>
    </w:tblStylePr>
    <w:tblStylePr w:type="lastRow">
      <w:rPr>
        <w:b/>
        <w:bCs/>
      </w:rPr>
      <w:tblPr/>
      <w:tcPr>
        <w:tcBorders>
          <w:top w:val="double" w:color="196B2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/>
      </w:tcPr>
    </w:tblStylePr>
    <w:tblStylePr w:type="band1Horz">
      <w:tblPr/>
      <w:tcPr>
        <w:shd w:val="clear" w:color="auto" w:fill="C1F0C7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54E75"/>
  </w:style>
  <w:style w:type="table" w:styleId="GridTable3">
    <w:name w:val="Grid Table 3"/>
    <w:basedOn w:val="TableNormal"/>
    <w:uiPriority w:val="48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markedcontent" w:customStyle="1">
    <w:name w:val="markedcontent"/>
    <w:basedOn w:val="DefaultParagraphFont"/>
    <w:rsid w:val="00054E75"/>
  </w:style>
  <w:style w:type="paragraph" w:styleId="p1" w:customStyle="1">
    <w:name w:val="p1"/>
    <w:basedOn w:val="Normal"/>
    <w:rsid w:val="00054E75"/>
    <w:rPr>
      <w:rFonts w:ascii="Helvetica" w:hAnsi="Helvetica"/>
      <w:color w:val="000000"/>
      <w:sz w:val="17"/>
      <w:szCs w:val="17"/>
    </w:rPr>
  </w:style>
  <w:style w:type="paragraph" w:styleId="EndNoteBibliographyTitle" w:customStyle="1">
    <w:name w:val="EndNote Bibliography Title"/>
    <w:basedOn w:val="Normal"/>
    <w:link w:val="EndNoteBibliographyTitleChar"/>
    <w:rsid w:val="00054E75"/>
    <w:pPr>
      <w:jc w:val="center"/>
    </w:pPr>
    <w:rPr>
      <w:sz w:val="22"/>
    </w:rPr>
  </w:style>
  <w:style w:type="character" w:styleId="EndNoteBibliographyTitleChar" w:customStyle="1">
    <w:name w:val="EndNote Bibliography Title Char"/>
    <w:basedOn w:val="DefaultParagraphFont"/>
    <w:link w:val="EndNoteBibliographyTitle"/>
    <w:rsid w:val="00054E75"/>
    <w:rPr>
      <w:rFonts w:ascii="Times New Roman" w:hAnsi="Times New Roman" w:eastAsia="Times New Roman" w:cs="Times New Roman"/>
      <w:kern w:val="0"/>
      <w:sz w:val="22"/>
      <w14:ligatures w14:val="none"/>
    </w:rPr>
  </w:style>
  <w:style w:type="paragraph" w:styleId="EndNoteBibliography" w:customStyle="1">
    <w:name w:val="EndNote Bibliography"/>
    <w:basedOn w:val="Normal"/>
    <w:link w:val="EndNoteBibliographyChar"/>
    <w:rsid w:val="00054E75"/>
    <w:rPr>
      <w:sz w:val="22"/>
    </w:rPr>
  </w:style>
  <w:style w:type="character" w:styleId="EndNoteBibliographyChar" w:customStyle="1">
    <w:name w:val="EndNote Bibliography Char"/>
    <w:basedOn w:val="DefaultParagraphFont"/>
    <w:link w:val="EndNoteBibliography"/>
    <w:rsid w:val="00054E75"/>
    <w:rPr>
      <w:rFonts w:ascii="Times New Roman" w:hAnsi="Times New Roman" w:eastAsia="Times New Roman" w:cs="Times New Roman"/>
      <w:kern w:val="0"/>
      <w:sz w:val="22"/>
      <w14:ligatures w14:val="none"/>
    </w:rPr>
  </w:style>
  <w:style w:type="table" w:styleId="PlainTable2">
    <w:name w:val="Plain Table 2"/>
    <w:basedOn w:val="TableNormal"/>
    <w:uiPriority w:val="42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GridTable4-Accent1">
    <w:name w:val="Grid Table 4 Accent 1"/>
    <w:basedOn w:val="TableNormal"/>
    <w:uiPriority w:val="49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StyleRowBandSize w:val="1"/>
      <w:tblStyleColBandSize w:val="1"/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054E75"/>
    <w:pPr>
      <w:spacing w:after="0" w:line="240" w:lineRule="auto"/>
    </w:pPr>
    <w:rPr>
      <w:kern w:val="0"/>
      <w:lang w:val="en-GB" w:eastAsia="ja-JP"/>
      <w14:ligatures w14:val="none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TableGrid1" w:customStyle="1">
    <w:name w:val="Table Grid1"/>
    <w:basedOn w:val="TableNormal"/>
    <w:next w:val="TableGrid"/>
    <w:uiPriority w:val="59"/>
    <w:rsid w:val="00054E75"/>
    <w:pPr>
      <w:spacing w:after="0" w:line="240" w:lineRule="auto"/>
    </w:pPr>
    <w:rPr>
      <w:rFonts w:eastAsia="Aptos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pple-converted-space" w:customStyle="1">
    <w:name w:val="apple-converted-space"/>
    <w:basedOn w:val="DefaultParagraphFont"/>
    <w:rsid w:val="00054E75"/>
  </w:style>
  <w:style w:type="paragraph" w:styleId="BodyText">
    <w:name w:val="Body Text"/>
    <w:basedOn w:val="Normal"/>
    <w:link w:val="BodyTextChar"/>
    <w:uiPriority w:val="1"/>
    <w:qFormat/>
    <w:rsid w:val="00054E75"/>
    <w:pPr>
      <w:widowControl w:val="0"/>
      <w:autoSpaceDE w:val="0"/>
      <w:autoSpaceDN w:val="0"/>
    </w:pPr>
    <w:rPr>
      <w:rFonts w:ascii="Trebuchet MS" w:hAnsi="Trebuchet MS" w:eastAsia="Trebuchet MS" w:cs="Trebuchet MS"/>
      <w:sz w:val="2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054E75"/>
    <w:rPr>
      <w:rFonts w:ascii="Trebuchet MS" w:hAnsi="Trebuchet MS" w:eastAsia="Trebuchet MS" w:cs="Trebuchet MS"/>
      <w:kern w:val="0"/>
      <w:sz w:val="20"/>
      <w:szCs w:val="20"/>
      <w:lang w:eastAsia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054E75"/>
    <w:pPr>
      <w:widowControl w:val="0"/>
      <w:autoSpaceDE w:val="0"/>
      <w:autoSpaceDN w:val="0"/>
      <w:spacing w:before="52"/>
      <w:ind w:left="85"/>
    </w:pPr>
    <w:rPr>
      <w:rFonts w:ascii="Trebuchet MS" w:hAnsi="Trebuchet MS" w:eastAsia="Trebuchet MS" w:cs="Trebuchet MS"/>
      <w:sz w:val="22"/>
      <w:szCs w:val="22"/>
      <w:lang w:eastAsia="en-US"/>
    </w:rPr>
  </w:style>
  <w:style w:type="character" w:styleId="wacimagecontainer" w:customStyle="1">
    <w:name w:val="wacimagecontainer"/>
    <w:basedOn w:val="DefaultParagraphFont"/>
    <w:rsid w:val="0005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unodc.org/documents/drug-prevention-and-treatment/22-10821_eBook_OAT_implementing_tool.pdf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9297C3360CF4E8868D5B29A14E5B0" ma:contentTypeVersion="19" ma:contentTypeDescription="Create a new document." ma:contentTypeScope="" ma:versionID="56e37598bfd4a1ff28cf26d0ceff0811">
  <xsd:schema xmlns:xsd="http://www.w3.org/2001/XMLSchema" xmlns:xs="http://www.w3.org/2001/XMLSchema" xmlns:p="http://schemas.microsoft.com/office/2006/metadata/properties" xmlns:ns2="312627ce-a9a9-4733-922e-aa0718ceaa8e" xmlns:ns3="01448f21-264d-4a89-b171-ca68db862fe4" targetNamespace="http://schemas.microsoft.com/office/2006/metadata/properties" ma:root="true" ma:fieldsID="c3ddf199329d3756bb1285cb5c5c0519" ns2:_="" ns3:_="">
    <xsd:import namespace="312627ce-a9a9-4733-922e-aa0718ceaa8e"/>
    <xsd:import namespace="01448f21-264d-4a89-b171-ca68db862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Thumbnai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27ce-a9a9-4733-922e-aa0718cea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8f21-264d-4a89-b171-ca68db862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aa8b36d-0138-4024-9451-53ee973cfc1b}" ma:internalName="TaxCatchAll" ma:showField="CatchAllData" ma:web="01448f21-264d-4a89-b171-ca68db862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12627ce-a9a9-4733-922e-aa0718ceaa8e" xsi:nil="true"/>
    <Thumbnail xmlns="312627ce-a9a9-4733-922e-aa0718ceaa8e" xsi:nil="true"/>
    <TaxCatchAll xmlns="01448f21-264d-4a89-b171-ca68db862fe4" xsi:nil="true"/>
    <lcf76f155ced4ddcb4097134ff3c332f xmlns="312627ce-a9a9-4733-922e-aa0718ceaa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A10BE1-6746-453F-ADD7-4131246E03A6}"/>
</file>

<file path=customXml/itemProps2.xml><?xml version="1.0" encoding="utf-8"?>
<ds:datastoreItem xmlns:ds="http://schemas.openxmlformats.org/officeDocument/2006/customXml" ds:itemID="{24F13252-DD45-408D-BA76-B57C42B162B3}"/>
</file>

<file path=customXml/itemProps3.xml><?xml version="1.0" encoding="utf-8"?>
<ds:datastoreItem xmlns:ds="http://schemas.openxmlformats.org/officeDocument/2006/customXml" ds:itemID="{D9E2EE35-F1D6-43F4-8DBC-B658B74318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PINTO, Clarice</dc:creator>
  <keywords/>
  <dc:description/>
  <lastModifiedBy>SIEGENTHALER, Yann</lastModifiedBy>
  <revision>4</revision>
  <dcterms:created xsi:type="dcterms:W3CDTF">2025-06-26T09:01:00.0000000Z</dcterms:created>
  <dcterms:modified xsi:type="dcterms:W3CDTF">2025-06-30T13:43:07.2863683Z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0x010100B269297C3360CF4E8868D5B29A14E5B0</vt:lpwstr>
  </property>
  <property fmtid="{D5CDD505-2E9C-101B-9397-08002B2CF9AE}" pid="3" name="MediaServiceImageTags">
    <vt:lpwstr/>
  </property>
</Properties>
</file>