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E1C1" w14:textId="77777777" w:rsidR="005F40DC" w:rsidRPr="00CC2AAC" w:rsidRDefault="00590F36" w:rsidP="008E4801">
      <w:pPr>
        <w:spacing w:before="480" w:after="120"/>
        <w:rPr>
          <w:lang w:val="fr-FR"/>
        </w:rPr>
      </w:pPr>
      <w:r w:rsidRPr="00CC2AAC">
        <w:rPr>
          <w:b/>
          <w:bCs/>
          <w:color w:val="666666"/>
          <w:lang w:val="fr-FR"/>
        </w:rPr>
        <w:t>QU’EST-CE QUI FONCTIONNE ET COMMENT ?</w:t>
      </w:r>
    </w:p>
    <w:p w14:paraId="4EBF8799" w14:textId="77777777" w:rsidR="005F40DC" w:rsidRPr="00CC2AAC" w:rsidRDefault="00590F36" w:rsidP="008E4801">
      <w:pPr>
        <w:spacing w:after="120"/>
        <w:rPr>
          <w:lang w:val="fr-FR"/>
        </w:rPr>
      </w:pPr>
      <w:r w:rsidRPr="00CC2AAC">
        <w:rPr>
          <w:b/>
          <w:bCs/>
          <w:color w:val="006BB6"/>
          <w:sz w:val="36"/>
          <w:szCs w:val="36"/>
          <w:lang w:val="fr-FR"/>
        </w:rPr>
        <w:t>Expériences communautaires d’adaptation aux changements climatiques pour la santé et les droits sexuels et reproductifs</w:t>
      </w:r>
    </w:p>
    <w:p w14:paraId="24C1D44C" w14:textId="77777777" w:rsidR="005F40DC" w:rsidRPr="00CC2AAC" w:rsidRDefault="00590F36" w:rsidP="008E4801">
      <w:pPr>
        <w:pBdr>
          <w:bottom w:val="single" w:sz="8" w:space="4" w:color="006BB6"/>
        </w:pBdr>
        <w:spacing w:before="80" w:after="120"/>
        <w:rPr>
          <w:lang w:val="fr-FR"/>
        </w:rPr>
      </w:pPr>
      <w:r w:rsidRPr="00CC2AAC">
        <w:rPr>
          <w:b/>
          <w:bCs/>
          <w:color w:val="005A8E"/>
          <w:sz w:val="28"/>
          <w:szCs w:val="28"/>
          <w:lang w:val="fr-FR"/>
        </w:rPr>
        <w:t>Appel à propositions de recherche</w:t>
      </w:r>
    </w:p>
    <w:p w14:paraId="3AFA27AC" w14:textId="77777777" w:rsidR="005F40DC" w:rsidRPr="00CC2AAC" w:rsidRDefault="00590F36" w:rsidP="008E4801">
      <w:pPr>
        <w:spacing w:before="120" w:after="120"/>
        <w:rPr>
          <w:lang w:val="fr-FR"/>
        </w:rPr>
      </w:pPr>
      <w:r w:rsidRPr="00CC2AAC">
        <w:rPr>
          <w:b/>
          <w:bCs/>
          <w:color w:val="333333"/>
          <w:lang w:val="fr-FR"/>
        </w:rPr>
        <w:t xml:space="preserve">Publié par : </w:t>
      </w:r>
      <w:r w:rsidRPr="00CC2AAC">
        <w:rPr>
          <w:color w:val="333333"/>
          <w:lang w:val="fr-FR"/>
        </w:rPr>
        <w:t>Programme spécial PNUD/UNFPA/UNICEF/OMS/Banque mondiale de recherche, de développement et de formation à la recherche en reproduction humaine (HRP), Département de la santé sexuelle, reproductive, maternelle, infantile, adolescente et du vieillissement, Organisation mondiale de la Santé</w:t>
      </w:r>
    </w:p>
    <w:p w14:paraId="29D0D6F0" w14:textId="782382E5" w:rsidR="005F40DC" w:rsidRPr="00CC2AAC" w:rsidRDefault="00590F36" w:rsidP="008E4801">
      <w:pPr>
        <w:spacing w:before="60" w:after="120"/>
        <w:rPr>
          <w:lang w:val="fr-FR"/>
        </w:rPr>
      </w:pPr>
      <w:r w:rsidRPr="00CC2AAC">
        <w:rPr>
          <w:b/>
          <w:bCs/>
          <w:color w:val="333333"/>
          <w:lang w:val="fr-FR"/>
        </w:rPr>
        <w:t>Date limite de soumission :</w:t>
      </w:r>
      <w:r w:rsidRPr="006A08DD">
        <w:rPr>
          <w:color w:val="333333"/>
          <w:lang w:val="fr-FR"/>
        </w:rPr>
        <w:t xml:space="preserve"> </w:t>
      </w:r>
      <w:r w:rsidR="006A08DD" w:rsidRPr="00006B82">
        <w:rPr>
          <w:strike/>
          <w:color w:val="333333"/>
          <w:lang w:val="fr-FR"/>
        </w:rPr>
        <w:t>12</w:t>
      </w:r>
      <w:r w:rsidRPr="00006B82">
        <w:rPr>
          <w:strike/>
          <w:color w:val="333333"/>
          <w:lang w:val="fr-FR"/>
        </w:rPr>
        <w:t xml:space="preserve"> avril 2026, 23 h 59 GMT+1</w:t>
      </w:r>
      <w:r w:rsidR="00006B82">
        <w:rPr>
          <w:color w:val="333333"/>
          <w:lang w:val="fr-FR"/>
        </w:rPr>
        <w:t xml:space="preserve"> </w:t>
      </w:r>
      <w:r w:rsidR="00006B82" w:rsidRPr="00006B82">
        <w:rPr>
          <w:b/>
          <w:bCs/>
          <w:color w:val="FF0000"/>
          <w:lang w:val="fr-FR"/>
        </w:rPr>
        <w:t>NOUVEL DATE 26 avril 2026, 23 h 59 GMT+1</w:t>
      </w:r>
    </w:p>
    <w:p w14:paraId="57579117" w14:textId="79F24A16" w:rsidR="00EB73B2" w:rsidRPr="00CC2AAC" w:rsidRDefault="00590F36" w:rsidP="008E4801">
      <w:pPr>
        <w:spacing w:before="60" w:after="120"/>
        <w:rPr>
          <w:b/>
          <w:bCs/>
          <w:color w:val="333333"/>
          <w:lang w:val="fr-FR"/>
        </w:rPr>
      </w:pPr>
      <w:r w:rsidRPr="00CC2AAC">
        <w:rPr>
          <w:b/>
          <w:bCs/>
          <w:color w:val="333333"/>
          <w:lang w:val="fr-FR"/>
        </w:rPr>
        <w:t xml:space="preserve">Plateforme de soumission : </w:t>
      </w:r>
      <w:hyperlink r:id="rId11" w:history="1">
        <w:r w:rsidRPr="00CC2AAC">
          <w:rPr>
            <w:rStyle w:val="Hyperlink"/>
            <w:b/>
            <w:bCs/>
            <w:lang w:val="fr-FR"/>
          </w:rPr>
          <w:t>Expériences communautaires d’adaptation aux changements climatiques pour la santé et les droits sexuels et reproductifs – FORMULAIRE DE CANDIDATURE</w:t>
        </w:r>
      </w:hyperlink>
      <w:r w:rsidR="007A37FC" w:rsidRPr="00CC2AAC">
        <w:rPr>
          <w:b/>
          <w:bCs/>
          <w:color w:val="333333"/>
          <w:lang w:val="fr-FR"/>
        </w:rPr>
        <w:t xml:space="preserve"> </w:t>
      </w:r>
    </w:p>
    <w:p w14:paraId="70846E2F" w14:textId="77B065DD" w:rsidR="00042576" w:rsidRPr="00CC2AAC" w:rsidRDefault="00590F36" w:rsidP="00042576">
      <w:pPr>
        <w:spacing w:before="60" w:after="120"/>
        <w:rPr>
          <w:lang w:val="fr-FR"/>
        </w:rPr>
      </w:pPr>
      <w:r w:rsidRPr="00CC2AAC">
        <w:rPr>
          <w:b/>
          <w:bCs/>
          <w:color w:val="333333"/>
          <w:lang w:val="fr-FR"/>
        </w:rPr>
        <w:t xml:space="preserve">Langues acceptées : </w:t>
      </w:r>
      <w:r w:rsidRPr="00CC2AAC">
        <w:rPr>
          <w:color w:val="333333"/>
          <w:lang w:val="fr-FR"/>
        </w:rPr>
        <w:t>anglais, français ou espagnol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42576" w:rsidRPr="00006B82" w14:paraId="027FF46E" w14:textId="77777777" w:rsidTr="001D57EA">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2383FE95" w14:textId="787871BB" w:rsidR="00042576" w:rsidRPr="00CC2AAC" w:rsidRDefault="00042576" w:rsidP="001D57EA">
            <w:pPr>
              <w:spacing w:after="120"/>
              <w:rPr>
                <w:lang w:val="fr-FR"/>
              </w:rPr>
            </w:pPr>
            <w:r w:rsidRPr="00CC2AAC">
              <w:rPr>
                <w:b/>
                <w:bCs/>
                <w:color w:val="006BB6"/>
                <w:lang w:val="fr-FR"/>
              </w:rPr>
              <w:t xml:space="preserve">Avertissement </w:t>
            </w:r>
          </w:p>
          <w:p w14:paraId="19CA5733" w14:textId="039B64A5" w:rsidR="00042576" w:rsidRPr="00CC2AAC" w:rsidRDefault="00042576" w:rsidP="001D57EA">
            <w:pPr>
              <w:spacing w:before="40" w:after="120"/>
              <w:rPr>
                <w:lang w:val="fr-FR"/>
              </w:rPr>
            </w:pPr>
            <w:r w:rsidRPr="00CC2AAC">
              <w:rPr>
                <w:lang w:val="fr-FR"/>
              </w:rPr>
              <w:t xml:space="preserve">La traduction en français </w:t>
            </w:r>
            <w:r w:rsidR="00941F00">
              <w:rPr>
                <w:lang w:val="fr-FR"/>
              </w:rPr>
              <w:t xml:space="preserve">depuis l’originale en anglais </w:t>
            </w:r>
            <w:r w:rsidRPr="00CC2AAC">
              <w:rPr>
                <w:lang w:val="fr-FR"/>
              </w:rPr>
              <w:t>a été réalisée avec une IA ; toute erreur éventuelle est involontaire</w:t>
            </w:r>
            <w:r w:rsidRPr="00CC2AAC">
              <w:rPr>
                <w:color w:val="333333"/>
                <w:lang w:val="fr-FR"/>
              </w:rPr>
              <w:t xml:space="preserve"> </w:t>
            </w:r>
          </w:p>
        </w:tc>
      </w:tr>
    </w:tbl>
    <w:p w14:paraId="01D0DC95" w14:textId="77777777" w:rsidR="00042576" w:rsidRPr="00CC2AAC" w:rsidRDefault="00042576" w:rsidP="00042576">
      <w:pPr>
        <w:spacing w:after="120"/>
        <w:rPr>
          <w:lang w:val="fr-FR"/>
        </w:rPr>
      </w:pPr>
    </w:p>
    <w:p w14:paraId="2CAA633C" w14:textId="77777777" w:rsidR="00AE0024" w:rsidRPr="00CC2AAC" w:rsidRDefault="00AE0024" w:rsidP="008E4801">
      <w:pPr>
        <w:spacing w:after="120"/>
        <w:rPr>
          <w:lang w:val="fr-FR"/>
        </w:rPr>
      </w:pPr>
    </w:p>
    <w:p w14:paraId="24DB18A8" w14:textId="3B1D2A21" w:rsidR="005F40DC" w:rsidRPr="00CC2AAC" w:rsidRDefault="00590F36" w:rsidP="008E4801">
      <w:pPr>
        <w:pStyle w:val="Heading1"/>
        <w:rPr>
          <w:lang w:val="fr-FR"/>
        </w:rPr>
      </w:pPr>
      <w:r w:rsidRPr="00CC2AAC">
        <w:rPr>
          <w:lang w:val="fr-FR"/>
        </w:rPr>
        <w:t>1. Contexte et justification</w:t>
      </w:r>
    </w:p>
    <w:p w14:paraId="044DA759" w14:textId="6E8AF738" w:rsidR="005F40DC" w:rsidRPr="00CC2AAC" w:rsidRDefault="00590F36" w:rsidP="008E4801">
      <w:pPr>
        <w:spacing w:before="60" w:after="120"/>
        <w:rPr>
          <w:lang w:val="fr-FR"/>
        </w:rPr>
      </w:pPr>
      <w:r w:rsidRPr="00CC2AAC">
        <w:rPr>
          <w:color w:val="333333"/>
          <w:lang w:val="fr-FR"/>
        </w:rPr>
        <w:t>Le changement climatique est l’une des menaces les plus graves pour la santé mondiale au XXIᵉ siècle [1]. Ses effets sur la santé et les droits sexuels et reproductifs (SDSR) sont multiples : des résultats maternels et périnataux néfastes liés aux fortes chaleurs et aux inondations, à une incidence accrue de la violence fondée sur le genre dans les suites des chocs climatiques, en passant par l’accès perturbé aux soins contraceptifs et aux services d’avortement lorsque les systèmes de santé sont dépassés [2–6]. Une revue de la portée menée par l’OMS/HRP a confirmé l’ampleur de ces associations tout en documentant des lacunes critiques dans les preuves, en particulier pour les soins pour avortement, la contraception et les problèmes de santé sexuelle plus larges [3]. Les preuves sont particulièrement rares pour les études appliquant une approche intersectionnelle tenant compte de la façon dont le genre, l’âge, le handicap, la pauvreté et le statut migratoire interagissent avec l’exposition climatique pour façonner les résultats en matière de SDSR.</w:t>
      </w:r>
    </w:p>
    <w:p w14:paraId="56F7D597" w14:textId="30AB6463" w:rsidR="0034636C" w:rsidRPr="00CC2AAC" w:rsidRDefault="00590F36" w:rsidP="008E4801">
      <w:pPr>
        <w:spacing w:before="60" w:after="120"/>
        <w:rPr>
          <w:color w:val="333333"/>
          <w:lang w:val="fr-FR"/>
        </w:rPr>
      </w:pPr>
      <w:r w:rsidRPr="00CC2AAC">
        <w:rPr>
          <w:color w:val="333333"/>
          <w:lang w:val="fr-FR"/>
        </w:rPr>
        <w:t xml:space="preserve">Un exercice de priorisation mené par l’OMS/HRP en 2024 avec des </w:t>
      </w:r>
      <w:proofErr w:type="spellStart"/>
      <w:r w:rsidRPr="00CC2AAC">
        <w:rPr>
          <w:color w:val="333333"/>
          <w:lang w:val="fr-FR"/>
        </w:rPr>
        <w:t>expert·e·s</w:t>
      </w:r>
      <w:proofErr w:type="spellEnd"/>
      <w:r w:rsidRPr="00CC2AAC">
        <w:rPr>
          <w:color w:val="333333"/>
          <w:lang w:val="fr-FR"/>
        </w:rPr>
        <w:t xml:space="preserve"> en SDSR, en climat et en environnement a produit une liste de dix questions de recherche prioritaires à l’intersection des événements liés au climat et des SDSR [7], et a identifié les approches participatives et les méthodes mixtes comme les approches les plus appropriées pour générer les preuves nécessaires [8]. Des données probantes ont également montré que si certains Plans nationaux d’adaptation (PNA) et Plans nationaux d’adaptation pour la santé (PNAS) incluent des composantes SDSR, aucun ne traite les SDSR de manière exhaustive [9,10]. </w:t>
      </w:r>
    </w:p>
    <w:p w14:paraId="1DCD2B4C" w14:textId="2558AFCD" w:rsidR="005F40DC" w:rsidRPr="00CC2AAC" w:rsidRDefault="00590F36" w:rsidP="008E4801">
      <w:pPr>
        <w:spacing w:before="60" w:after="120"/>
        <w:rPr>
          <w:lang w:val="fr-FR"/>
        </w:rPr>
      </w:pPr>
      <w:r w:rsidRPr="00CC2AAC">
        <w:rPr>
          <w:color w:val="333333"/>
          <w:lang w:val="fr-FR"/>
        </w:rPr>
        <w:t>Cet appel répond directement à ces deux constats. Il se concentre sur quatre domaines de résultats prioritaires — la santé maternelle, la violence fondée sur le genre, la contraception et les soins pour avortement — et repose sur le principe que les communautés les plus touchées par le changement climatique sont les mieux placées pour définir, étudier et contribuer à résoudre les problèmes auxquels elles font face.</w:t>
      </w:r>
    </w:p>
    <w:p w14:paraId="4706A595" w14:textId="77777777" w:rsidR="00AE0024" w:rsidRPr="00CC2AAC" w:rsidRDefault="00AE0024" w:rsidP="008E4801">
      <w:pPr>
        <w:pStyle w:val="Heading1"/>
        <w:rPr>
          <w:lang w:val="fr-FR"/>
        </w:rPr>
      </w:pPr>
    </w:p>
    <w:p w14:paraId="787BCD12" w14:textId="77777777" w:rsidR="00AE0024" w:rsidRPr="00CC2AAC" w:rsidRDefault="00AE0024" w:rsidP="008E4801">
      <w:pPr>
        <w:pStyle w:val="Heading1"/>
        <w:rPr>
          <w:lang w:val="fr-FR"/>
        </w:rPr>
      </w:pPr>
    </w:p>
    <w:p w14:paraId="6302CE49" w14:textId="650B2AF4" w:rsidR="005F40DC" w:rsidRPr="00CC2AAC" w:rsidRDefault="00590F36" w:rsidP="008E4801">
      <w:pPr>
        <w:pStyle w:val="Heading1"/>
        <w:rPr>
          <w:lang w:val="fr-FR"/>
        </w:rPr>
      </w:pPr>
      <w:r w:rsidRPr="00CC2AAC">
        <w:rPr>
          <w:lang w:val="fr-FR"/>
        </w:rPr>
        <w:t>2. Questions de recherche et objectifs</w:t>
      </w:r>
    </w:p>
    <w:p w14:paraId="7DB0B1E3" w14:textId="609375AF" w:rsidR="005F40DC" w:rsidRPr="00CC2AAC" w:rsidRDefault="00590F36" w:rsidP="008E4801">
      <w:pPr>
        <w:pStyle w:val="Heading2"/>
        <w:pBdr>
          <w:bottom w:val="single" w:sz="2" w:space="4" w:color="CCCCCC"/>
        </w:pBdr>
        <w:spacing w:after="120"/>
        <w:rPr>
          <w:lang w:val="fr-FR"/>
        </w:rPr>
      </w:pPr>
      <w:r w:rsidRPr="00CC2AAC">
        <w:rPr>
          <w:lang w:val="fr-FR"/>
        </w:rPr>
        <w:t>2.1 Questions de recherche prioritaires</w:t>
      </w:r>
    </w:p>
    <w:p w14:paraId="7EA55CD4" w14:textId="3AA8DEE9" w:rsidR="005F40DC" w:rsidRPr="00CC2AAC" w:rsidRDefault="00590F36" w:rsidP="008E4801">
      <w:pPr>
        <w:spacing w:before="60" w:after="120"/>
        <w:rPr>
          <w:lang w:val="fr-FR"/>
        </w:rPr>
      </w:pPr>
      <w:r w:rsidRPr="00CC2AAC">
        <w:rPr>
          <w:color w:val="333333"/>
          <w:lang w:val="fr-FR"/>
        </w:rPr>
        <w:t xml:space="preserve">Cet appel se concentre sur quatre domaines de résultats en matière de SDSR où les lacunes dans les preuves sont les plus </w:t>
      </w:r>
      <w:r w:rsidR="00356CEF" w:rsidRPr="00CC2AAC">
        <w:rPr>
          <w:color w:val="333333"/>
          <w:lang w:val="fr-FR"/>
        </w:rPr>
        <w:t>aigües</w:t>
      </w:r>
      <w:r w:rsidRPr="00CC2AAC">
        <w:rPr>
          <w:color w:val="333333"/>
          <w:lang w:val="fr-FR"/>
        </w:rPr>
        <w:t xml:space="preserve"> et où la recherche participative centrée sur les communautés est la plus nécessaire, en s’appuyant sur le processus de consensus de l’OMS/HRP de 2024 [7]. Chaque proposition doit porter sur </w:t>
      </w:r>
      <w:r w:rsidRPr="00CC2AAC">
        <w:rPr>
          <w:b/>
          <w:bCs/>
          <w:color w:val="333333"/>
          <w:u w:val="single"/>
          <w:lang w:val="fr-FR"/>
        </w:rPr>
        <w:t>une</w:t>
      </w:r>
      <w:r w:rsidRPr="00CC2AAC">
        <w:rPr>
          <w:color w:val="333333"/>
          <w:lang w:val="fr-FR"/>
        </w:rPr>
        <w:t xml:space="preserve"> des quatre questions prioritaires suivantes et fournir une justification concise de ce choix basée sur le contexte local, les lacunes dans les preuves existantes et l’expertise de l’équipe.</w:t>
      </w:r>
    </w:p>
    <w:p w14:paraId="28E72B86" w14:textId="77777777" w:rsidR="005F40DC" w:rsidRPr="00CC2AAC" w:rsidRDefault="005F40DC" w:rsidP="008E4801">
      <w:pPr>
        <w:spacing w:after="120"/>
        <w:rP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006B82" w14:paraId="65EB8C2C"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477D8CEB" w14:textId="232B189B" w:rsidR="005F40DC" w:rsidRPr="00CC2AAC" w:rsidRDefault="00590F36" w:rsidP="008E4801">
            <w:pPr>
              <w:spacing w:after="120"/>
              <w:rPr>
                <w:lang w:val="fr-FR"/>
              </w:rPr>
            </w:pPr>
            <w:r w:rsidRPr="00CC2AAC">
              <w:rPr>
                <w:b/>
                <w:bCs/>
                <w:color w:val="006BB6"/>
                <w:lang w:val="fr-FR"/>
              </w:rPr>
              <w:t>Question prioritaire 1 – Santé maternelle</w:t>
            </w:r>
          </w:p>
          <w:p w14:paraId="3693FA06" w14:textId="77777777" w:rsidR="005F40DC" w:rsidRPr="00CC2AAC" w:rsidRDefault="00590F36" w:rsidP="008E4801">
            <w:pPr>
              <w:spacing w:before="40" w:after="120"/>
              <w:rPr>
                <w:lang w:val="fr-FR"/>
              </w:rPr>
            </w:pPr>
            <w:r w:rsidRPr="00CC2AAC">
              <w:rPr>
                <w:color w:val="333333"/>
                <w:lang w:val="fr-FR"/>
              </w:rPr>
              <w:t>Comment les événements liés au climat — notamment les températures extrêmes, les inondations et la sécheresse — affectent-ils les résultats de santé maternelle et périnatale, et que révèlent les expériences vécues des communautés sur les obstacles et les facteurs favorables à des soins de maternité de qualité pendant et après ces événements ?</w:t>
            </w:r>
          </w:p>
        </w:tc>
      </w:tr>
    </w:tbl>
    <w:p w14:paraId="186D6594" w14:textId="77777777" w:rsidR="005F40DC" w:rsidRPr="00CC2AAC" w:rsidRDefault="005F40DC" w:rsidP="008E4801">
      <w:pPr>
        <w:spacing w:after="120"/>
        <w:rP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006B82" w14:paraId="5384E8FF"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37DEA054" w14:textId="142B17CA" w:rsidR="005F40DC" w:rsidRPr="00CC2AAC" w:rsidRDefault="00590F36" w:rsidP="008E4801">
            <w:pPr>
              <w:spacing w:after="120"/>
              <w:rPr>
                <w:lang w:val="fr-FR"/>
              </w:rPr>
            </w:pPr>
            <w:r w:rsidRPr="00CC2AAC">
              <w:rPr>
                <w:b/>
                <w:bCs/>
                <w:color w:val="006BB6"/>
                <w:lang w:val="fr-FR"/>
              </w:rPr>
              <w:t xml:space="preserve">Question prioritaire 2 – Violence fondée sur le genre </w:t>
            </w:r>
          </w:p>
          <w:p w14:paraId="72B98DE1" w14:textId="70B68090" w:rsidR="005F40DC" w:rsidRPr="00CC2AAC" w:rsidRDefault="00590F36" w:rsidP="008E4801">
            <w:pPr>
              <w:spacing w:before="40" w:after="120"/>
              <w:rPr>
                <w:lang w:val="fr-FR"/>
              </w:rPr>
            </w:pPr>
            <w:r w:rsidRPr="00CC2AAC">
              <w:rPr>
                <w:color w:val="333333"/>
                <w:lang w:val="fr-FR"/>
              </w:rPr>
              <w:t>Comment les événements liés au climat — notamment la sécheresse, les inondations et les températures extrêmes — affectent-ils l’incidence, les manifestations et la réponse du système de santé à la violence fondée sur le genre, et quelles interventions communautaires peuvent efficacement prévenir et réduire cette violence ?</w:t>
            </w:r>
          </w:p>
        </w:tc>
      </w:tr>
    </w:tbl>
    <w:p w14:paraId="2CEB6D02" w14:textId="77777777" w:rsidR="005F40DC" w:rsidRPr="00CC2AAC" w:rsidRDefault="005F40DC" w:rsidP="008E4801">
      <w:pPr>
        <w:spacing w:after="120"/>
        <w:rP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006B82" w14:paraId="40211D8B"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5EC1AE8E" w14:textId="2CA2EB7B" w:rsidR="005F40DC" w:rsidRPr="00CC2AAC" w:rsidRDefault="00590F36" w:rsidP="008E4801">
            <w:pPr>
              <w:spacing w:after="120"/>
              <w:rPr>
                <w:lang w:val="fr-FR"/>
              </w:rPr>
            </w:pPr>
            <w:r w:rsidRPr="00CC2AAC">
              <w:rPr>
                <w:b/>
                <w:bCs/>
                <w:color w:val="006BB6"/>
                <w:lang w:val="fr-FR"/>
              </w:rPr>
              <w:t xml:space="preserve">Question prioritaire 3 – Contraception </w:t>
            </w:r>
          </w:p>
          <w:p w14:paraId="47526CB4" w14:textId="63C3C387" w:rsidR="005F40DC" w:rsidRPr="00CC2AAC" w:rsidRDefault="00590F36" w:rsidP="008E4801">
            <w:pPr>
              <w:spacing w:before="40" w:after="120"/>
              <w:rPr>
                <w:lang w:val="fr-FR"/>
              </w:rPr>
            </w:pPr>
            <w:r w:rsidRPr="00CC2AAC">
              <w:rPr>
                <w:color w:val="333333"/>
                <w:lang w:val="fr-FR"/>
              </w:rPr>
              <w:t>Comment les événements liés au climat affectent-ils l’accès aux services et produits contraceptifs ainsi que leur continuité, et quelles mesures peuvent être mises en œuvre pour maintenir des soins contraceptifs de qualité pendant et après les chocs climatiques ?</w:t>
            </w:r>
          </w:p>
        </w:tc>
      </w:tr>
    </w:tbl>
    <w:p w14:paraId="51772367" w14:textId="77777777" w:rsidR="005F40DC" w:rsidRPr="00CC2AAC" w:rsidRDefault="005F40DC" w:rsidP="008E4801">
      <w:pPr>
        <w:spacing w:after="120"/>
        <w:rP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006B82" w14:paraId="47532A58"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62961250" w14:textId="196C18A8" w:rsidR="005F40DC" w:rsidRPr="00CC2AAC" w:rsidRDefault="00590F36" w:rsidP="008E4801">
            <w:pPr>
              <w:spacing w:after="120"/>
              <w:rPr>
                <w:lang w:val="fr-FR"/>
              </w:rPr>
            </w:pPr>
            <w:r w:rsidRPr="00CC2AAC">
              <w:rPr>
                <w:b/>
                <w:bCs/>
                <w:color w:val="006BB6"/>
                <w:lang w:val="fr-FR"/>
              </w:rPr>
              <w:t xml:space="preserve">Question prioritaire 4 – Soins pour avortement </w:t>
            </w:r>
          </w:p>
          <w:p w14:paraId="3249767B" w14:textId="75CD3BF1" w:rsidR="005F40DC" w:rsidRPr="00CC2AAC" w:rsidRDefault="00590F36" w:rsidP="008E4801">
            <w:pPr>
              <w:spacing w:before="40" w:after="120"/>
              <w:rPr>
                <w:lang w:val="fr-FR"/>
              </w:rPr>
            </w:pPr>
            <w:r w:rsidRPr="00CC2AAC">
              <w:rPr>
                <w:color w:val="333333"/>
                <w:lang w:val="fr-FR"/>
              </w:rPr>
              <w:t>Comment les événements liés au climat affectent-ils l’accès aux soins complets pour avortement, et comment les expériences des communautés et les réponses des systèmes de santé peuvent-elles éclairer des stratégies visant à assurer la continuité des soins pendant et après les chocs climatiques ?</w:t>
            </w:r>
          </w:p>
        </w:tc>
      </w:tr>
    </w:tbl>
    <w:p w14:paraId="5C8C4DC1" w14:textId="77777777" w:rsidR="005F40DC" w:rsidRPr="00CC2AAC" w:rsidRDefault="005F40DC" w:rsidP="008E4801">
      <w:pPr>
        <w:spacing w:after="120"/>
        <w:rPr>
          <w:lang w:val="fr-FR"/>
        </w:rPr>
      </w:pPr>
    </w:p>
    <w:p w14:paraId="458193EA" w14:textId="1C4C4EF0" w:rsidR="005F40DC" w:rsidRPr="00CC2AAC" w:rsidRDefault="00590F36" w:rsidP="008E4801">
      <w:pPr>
        <w:pStyle w:val="Heading2"/>
        <w:pBdr>
          <w:bottom w:val="single" w:sz="2" w:space="4" w:color="CCCCCC"/>
        </w:pBdr>
        <w:spacing w:after="120"/>
        <w:rPr>
          <w:lang w:val="fr-FR"/>
        </w:rPr>
      </w:pPr>
      <w:r w:rsidRPr="00CC2AAC">
        <w:rPr>
          <w:lang w:val="fr-FR"/>
        </w:rPr>
        <w:t>2.2 Objectifs</w:t>
      </w:r>
    </w:p>
    <w:p w14:paraId="17145B4A" w14:textId="77777777" w:rsidR="005F40DC" w:rsidRPr="00CC2AAC" w:rsidRDefault="00590F36" w:rsidP="008E4801">
      <w:pPr>
        <w:spacing w:before="60" w:after="120"/>
        <w:rPr>
          <w:lang w:val="fr-FR"/>
        </w:rPr>
      </w:pPr>
      <w:r w:rsidRPr="00CC2AAC">
        <w:rPr>
          <w:color w:val="333333"/>
          <w:lang w:val="fr-FR"/>
        </w:rPr>
        <w:t>Les objectifs de cet appel sont :</w:t>
      </w:r>
    </w:p>
    <w:p w14:paraId="02FEF336" w14:textId="77777777" w:rsidR="005F40DC" w:rsidRPr="00CC2AAC" w:rsidRDefault="00590F36" w:rsidP="008E4801">
      <w:pPr>
        <w:pStyle w:val="ListParagraph"/>
        <w:numPr>
          <w:ilvl w:val="0"/>
          <w:numId w:val="2"/>
        </w:numPr>
        <w:spacing w:before="40" w:after="120"/>
        <w:rPr>
          <w:lang w:val="fr-FR"/>
        </w:rPr>
      </w:pPr>
      <w:r w:rsidRPr="00CC2AAC">
        <w:rPr>
          <w:color w:val="333333"/>
          <w:lang w:val="fr-FR"/>
        </w:rPr>
        <w:t>Générer des preuves centrées sur les communautés concernant l’expérience vécue des impacts du changement climatique sur les SDSR, dans quatre domaines de résultats prioritaires : la santé maternelle, la violence fondée sur le genre, la contraception et les soins pour avortement.</w:t>
      </w:r>
    </w:p>
    <w:p w14:paraId="09C5237B" w14:textId="77777777" w:rsidR="005F40DC" w:rsidRPr="00CC2AAC" w:rsidRDefault="00590F36" w:rsidP="008E4801">
      <w:pPr>
        <w:pStyle w:val="ListParagraph"/>
        <w:numPr>
          <w:ilvl w:val="0"/>
          <w:numId w:val="2"/>
        </w:numPr>
        <w:spacing w:before="40" w:after="120"/>
        <w:rPr>
          <w:lang w:val="fr-FR"/>
        </w:rPr>
      </w:pPr>
      <w:r w:rsidRPr="00CC2AAC">
        <w:rPr>
          <w:color w:val="333333"/>
          <w:lang w:val="fr-FR"/>
        </w:rPr>
        <w:t xml:space="preserve">Soutenir la recherche participative qui place les communautés affectées par le climat en tant que </w:t>
      </w:r>
      <w:proofErr w:type="spellStart"/>
      <w:r w:rsidRPr="00CC2AAC">
        <w:rPr>
          <w:color w:val="333333"/>
          <w:lang w:val="fr-FR"/>
        </w:rPr>
        <w:t>co-chercheur·euse·s</w:t>
      </w:r>
      <w:proofErr w:type="spellEnd"/>
      <w:r w:rsidRPr="00CC2AAC">
        <w:rPr>
          <w:color w:val="333333"/>
          <w:lang w:val="fr-FR"/>
        </w:rPr>
        <w:t xml:space="preserve"> </w:t>
      </w:r>
      <w:proofErr w:type="spellStart"/>
      <w:r w:rsidRPr="00CC2AAC">
        <w:rPr>
          <w:color w:val="333333"/>
          <w:lang w:val="fr-FR"/>
        </w:rPr>
        <w:t>actif·ve·s</w:t>
      </w:r>
      <w:proofErr w:type="spellEnd"/>
      <w:r w:rsidRPr="00CC2AAC">
        <w:rPr>
          <w:color w:val="333333"/>
          <w:lang w:val="fr-FR"/>
        </w:rPr>
        <w:t>, et qui peut éclairer le renforcement des PNA/PNAS et les politiques en matière de SDSR au niveau national.</w:t>
      </w:r>
    </w:p>
    <w:p w14:paraId="6AEED663" w14:textId="77777777" w:rsidR="005F40DC" w:rsidRPr="00CC2AAC" w:rsidRDefault="00590F36" w:rsidP="008E4801">
      <w:pPr>
        <w:pStyle w:val="ListParagraph"/>
        <w:numPr>
          <w:ilvl w:val="0"/>
          <w:numId w:val="2"/>
        </w:numPr>
        <w:spacing w:before="40" w:after="120"/>
        <w:rPr>
          <w:lang w:val="fr-FR"/>
        </w:rPr>
      </w:pPr>
      <w:r w:rsidRPr="00CC2AAC">
        <w:rPr>
          <w:color w:val="333333"/>
          <w:lang w:val="fr-FR"/>
        </w:rPr>
        <w:lastRenderedPageBreak/>
        <w:t>Renforcer les capacités de recherche en matière de SDSR dans les pays à revenu faible et intermédiaire, en mettant l’accent sur les approches participatives et les méthodes mixtes.</w:t>
      </w:r>
    </w:p>
    <w:p w14:paraId="67A38758" w14:textId="77777777" w:rsidR="005F40DC" w:rsidRPr="00CC2AAC" w:rsidRDefault="005F40DC" w:rsidP="008E4801">
      <w:pPr>
        <w:spacing w:after="120"/>
        <w:rPr>
          <w:lang w:val="fr-FR"/>
        </w:rPr>
      </w:pPr>
    </w:p>
    <w:p w14:paraId="078C2166" w14:textId="762D38CE" w:rsidR="005F40DC" w:rsidRPr="00CC2AAC" w:rsidRDefault="00590F36" w:rsidP="008E4801">
      <w:pPr>
        <w:pStyle w:val="Heading1"/>
        <w:rPr>
          <w:lang w:val="fr-FR"/>
        </w:rPr>
      </w:pPr>
      <w:r w:rsidRPr="00CC2AAC">
        <w:rPr>
          <w:lang w:val="fr-FR"/>
        </w:rPr>
        <w:t>3. Exigences méthodologiques</w:t>
      </w:r>
    </w:p>
    <w:p w14:paraId="25EA0525" w14:textId="52881987" w:rsidR="005F40DC" w:rsidRPr="00CC2AAC" w:rsidRDefault="00590F36" w:rsidP="008E4801">
      <w:pPr>
        <w:spacing w:before="60" w:after="120"/>
        <w:rPr>
          <w:lang w:val="fr-FR"/>
        </w:rPr>
      </w:pPr>
      <w:r w:rsidRPr="00CC2AAC">
        <w:rPr>
          <w:b/>
          <w:bCs/>
          <w:color w:val="333333"/>
          <w:lang w:val="fr-FR"/>
        </w:rPr>
        <w:t xml:space="preserve">Les propositions n’ont pas besoin de présenter un protocole de recherche finalisé. </w:t>
      </w:r>
      <w:r w:rsidRPr="00CC2AAC">
        <w:rPr>
          <w:color w:val="333333"/>
          <w:lang w:val="fr-FR"/>
        </w:rPr>
        <w:t xml:space="preserve">Les équipes des propositions sélectionnées seront invitées à </w:t>
      </w:r>
      <w:proofErr w:type="spellStart"/>
      <w:r w:rsidRPr="00CC2AAC">
        <w:rPr>
          <w:color w:val="333333"/>
          <w:lang w:val="fr-FR"/>
        </w:rPr>
        <w:t>co-développer</w:t>
      </w:r>
      <w:proofErr w:type="spellEnd"/>
      <w:r w:rsidRPr="00CC2AAC">
        <w:rPr>
          <w:color w:val="333333"/>
          <w:lang w:val="fr-FR"/>
        </w:rPr>
        <w:t xml:space="preserve"> un protocole unique transnational lors d’un atelier en présentiel (voir section 4). Les propositions devront présenter une vision de recherche convaincante : comment elles envisagent d’aborder le travail, pourquoi leur équipe est la mieux placée pour répondre à la question prioritaire choisie, et ce qu’elles apporteront au processus collectif.</w:t>
      </w:r>
    </w:p>
    <w:p w14:paraId="1DD43409" w14:textId="6E2E2C31" w:rsidR="005F40DC" w:rsidRPr="00CC2AAC" w:rsidRDefault="00590F36" w:rsidP="008E4801">
      <w:pPr>
        <w:pStyle w:val="Heading2"/>
        <w:pBdr>
          <w:bottom w:val="single" w:sz="2" w:space="4" w:color="CCCCCC"/>
        </w:pBdr>
        <w:spacing w:after="120"/>
        <w:rPr>
          <w:lang w:val="fr-FR"/>
        </w:rPr>
      </w:pPr>
      <w:r w:rsidRPr="00CC2AAC">
        <w:rPr>
          <w:lang w:val="fr-FR"/>
        </w:rPr>
        <w:t>3.1 Recherche participative</w:t>
      </w:r>
    </w:p>
    <w:p w14:paraId="70DCFDB5" w14:textId="432D4E89" w:rsidR="005F40DC" w:rsidRPr="00CC2AAC" w:rsidRDefault="00590F36" w:rsidP="008E4801">
      <w:pPr>
        <w:spacing w:before="60" w:after="120"/>
        <w:rPr>
          <w:lang w:val="fr-FR"/>
        </w:rPr>
      </w:pPr>
      <w:r w:rsidRPr="00CC2AAC">
        <w:rPr>
          <w:color w:val="333333"/>
          <w:lang w:val="fr-FR"/>
        </w:rPr>
        <w:t xml:space="preserve">Les membres de la communauté appartenant à des populations touchées par le changement climatique et les défis liés aux SDSR doivent être des partenaires </w:t>
      </w:r>
      <w:proofErr w:type="spellStart"/>
      <w:r w:rsidRPr="00CC2AAC">
        <w:rPr>
          <w:color w:val="333333"/>
          <w:lang w:val="fr-FR"/>
        </w:rPr>
        <w:t>actif·ve·s</w:t>
      </w:r>
      <w:proofErr w:type="spellEnd"/>
      <w:r w:rsidRPr="00CC2AAC">
        <w:rPr>
          <w:color w:val="333333"/>
          <w:lang w:val="fr-FR"/>
        </w:rPr>
        <w:t xml:space="preserve"> du processus de recherche — et non de simples sujets de collecte de données [11,12]. Un engagement communautaire significatif améliore la pertinence, l’adoption et l’impact équitable de la recherche [13–17]. Les propositions doivent décrire comment la participation communautaire sera intégrée tout au long du cycle de recherche : définition du problème, conception de la recherche et développement des outils, collecte de données, interprétation des données et diffusion.</w:t>
      </w:r>
    </w:p>
    <w:p w14:paraId="3BC9E49A" w14:textId="676D14AF" w:rsidR="00736697" w:rsidRPr="00CC2AAC" w:rsidRDefault="00590F36" w:rsidP="008E4801">
      <w:pPr>
        <w:spacing w:before="60" w:after="120"/>
        <w:rPr>
          <w:color w:val="333333"/>
          <w:lang w:val="fr-FR"/>
        </w:rPr>
      </w:pPr>
      <w:r w:rsidRPr="00CC2AAC">
        <w:rPr>
          <w:color w:val="333333"/>
          <w:lang w:val="fr-FR"/>
        </w:rPr>
        <w:t xml:space="preserve">Les approches acceptables comprennent la recherche participative basée sur la communauté (CBPR), la recherche-action participative (PAR), l’évaluation rurale participative (PRA), le </w:t>
      </w:r>
      <w:proofErr w:type="spellStart"/>
      <w:r w:rsidRPr="00CC2AAC">
        <w:rPr>
          <w:color w:val="333333"/>
          <w:lang w:val="fr-FR"/>
        </w:rPr>
        <w:t>photovoïx</w:t>
      </w:r>
      <w:proofErr w:type="spellEnd"/>
      <w:r w:rsidRPr="00CC2AAC">
        <w:rPr>
          <w:color w:val="333333"/>
          <w:lang w:val="fr-FR"/>
        </w:rPr>
        <w:t xml:space="preserve"> et les méthodes de </w:t>
      </w:r>
      <w:proofErr w:type="spellStart"/>
      <w:r w:rsidRPr="00CC2AAC">
        <w:rPr>
          <w:color w:val="333333"/>
          <w:lang w:val="fr-FR"/>
        </w:rPr>
        <w:t>co-conception</w:t>
      </w:r>
      <w:proofErr w:type="spellEnd"/>
      <w:r w:rsidRPr="00CC2AAC">
        <w:rPr>
          <w:color w:val="333333"/>
          <w:lang w:val="fr-FR"/>
        </w:rPr>
        <w:t xml:space="preserve">. Les propositions doivent décrire brièvement la structure de gouvernance prévue pour la participation communautaire, notamment la manière dont les dynamiques de pouvoir seront abordées et dont les intérêts des </w:t>
      </w:r>
      <w:proofErr w:type="spellStart"/>
      <w:r w:rsidRPr="00CC2AAC">
        <w:rPr>
          <w:color w:val="333333"/>
          <w:lang w:val="fr-FR"/>
        </w:rPr>
        <w:t>participant·e·s</w:t>
      </w:r>
      <w:proofErr w:type="spellEnd"/>
      <w:r w:rsidRPr="00CC2AAC">
        <w:rPr>
          <w:color w:val="333333"/>
          <w:lang w:val="fr-FR"/>
        </w:rPr>
        <w:t xml:space="preserve"> seront protégés [18]. Des orientations complémentaires sur les cadres de gouvernance participative sont fournies à l’</w:t>
      </w:r>
      <w:r w:rsidRPr="00CC2AAC">
        <w:rPr>
          <w:b/>
          <w:bCs/>
          <w:color w:val="333333"/>
          <w:lang w:val="fr-FR"/>
        </w:rPr>
        <w:t>Annexe 1</w:t>
      </w:r>
      <w:r w:rsidRPr="00CC2AAC">
        <w:rPr>
          <w:color w:val="333333"/>
          <w:lang w:val="fr-FR"/>
        </w:rPr>
        <w:t>.</w:t>
      </w:r>
    </w:p>
    <w:p w14:paraId="702124FF" w14:textId="0C5EAC81" w:rsidR="005F40DC" w:rsidRPr="00CC2AAC" w:rsidRDefault="00590F36" w:rsidP="008E4801">
      <w:pPr>
        <w:pStyle w:val="Heading2"/>
        <w:pBdr>
          <w:bottom w:val="single" w:sz="2" w:space="4" w:color="CCCCCC"/>
        </w:pBdr>
        <w:spacing w:after="120"/>
        <w:rPr>
          <w:lang w:val="fr-FR"/>
        </w:rPr>
      </w:pPr>
      <w:r w:rsidRPr="00CC2AAC">
        <w:rPr>
          <w:lang w:val="fr-FR"/>
        </w:rPr>
        <w:t>3.2 Conception en méthodes mixtes</w:t>
      </w:r>
    </w:p>
    <w:p w14:paraId="42953A48" w14:textId="27DD16F1" w:rsidR="005F40DC" w:rsidRPr="00CC2AAC" w:rsidRDefault="00590F36" w:rsidP="008E4801">
      <w:pPr>
        <w:spacing w:before="60" w:after="120"/>
        <w:rPr>
          <w:lang w:val="fr-FR"/>
        </w:rPr>
      </w:pPr>
      <w:r w:rsidRPr="00CC2AAC">
        <w:rPr>
          <w:color w:val="333333"/>
          <w:lang w:val="fr-FR"/>
        </w:rPr>
        <w:t>Les méthodes participatives constitueront l’ancrage qualitatif de l’étude. Les propositions doivent également inclure au moins un volet quantitatif pour permettre des comparaisons entre pays. Les propositions doivent indiquer sommairement comment elles envisagent d’intégrer les volets qualitatif et quantitatif au stade de l’analyse, et pas seulement lors de la collecte des données. Des orientations sur les sources de données et les options d’intégration des méthodes mixtes sont fournies à l’</w:t>
      </w:r>
      <w:r w:rsidRPr="00CC2AAC">
        <w:rPr>
          <w:b/>
          <w:bCs/>
          <w:color w:val="333333"/>
          <w:lang w:val="fr-FR"/>
        </w:rPr>
        <w:t>Annexe 1</w:t>
      </w:r>
      <w:r w:rsidRPr="00CC2AAC">
        <w:rPr>
          <w:color w:val="333333"/>
          <w:lang w:val="fr-FR"/>
        </w:rPr>
        <w:t>.</w:t>
      </w:r>
    </w:p>
    <w:p w14:paraId="71E9A85B" w14:textId="3A12610F" w:rsidR="005F40DC" w:rsidRPr="00CC2AAC" w:rsidRDefault="00590F36" w:rsidP="008E4801">
      <w:pPr>
        <w:pStyle w:val="Heading2"/>
        <w:pBdr>
          <w:bottom w:val="single" w:sz="2" w:space="4" w:color="CCCCCC"/>
        </w:pBdr>
        <w:spacing w:after="120"/>
        <w:rPr>
          <w:lang w:val="fr-FR"/>
        </w:rPr>
      </w:pPr>
      <w:r w:rsidRPr="00CC2AAC">
        <w:rPr>
          <w:lang w:val="fr-FR"/>
        </w:rPr>
        <w:t>3.3 Résultats d’intérêt</w:t>
      </w:r>
    </w:p>
    <w:p w14:paraId="2FE36CFD" w14:textId="0D7C0753" w:rsidR="005F40DC" w:rsidRPr="00CC2AAC" w:rsidRDefault="00590F36" w:rsidP="00A14688">
      <w:pPr>
        <w:spacing w:before="60" w:after="120"/>
        <w:rPr>
          <w:lang w:val="fr-FR"/>
        </w:rPr>
      </w:pPr>
      <w:r w:rsidRPr="00CC2AAC">
        <w:rPr>
          <w:color w:val="333333"/>
          <w:lang w:val="fr-FR"/>
        </w:rPr>
        <w:t>Les propositions doivent considérer les expositions climatiques — sécheresse, inondations et températures extrêmes — les plus pertinentes dans leur contexte. Les résultats primaires d’intérêt diffèrent selon la question prioritaire ; les propositions n’ont pas besoin de traiter chacun des résultats proposés.</w:t>
      </w:r>
    </w:p>
    <w:p w14:paraId="42D8FCAD" w14:textId="4E9A36DC" w:rsidR="005F40DC" w:rsidRPr="00CC2AAC" w:rsidRDefault="00590F36" w:rsidP="008E4801">
      <w:pPr>
        <w:pStyle w:val="Heading3"/>
        <w:spacing w:after="120"/>
        <w:rPr>
          <w:lang w:val="fr-FR"/>
        </w:rPr>
      </w:pPr>
      <w:r w:rsidRPr="00CC2AAC">
        <w:rPr>
          <w:lang w:val="fr-FR"/>
        </w:rPr>
        <w:t xml:space="preserve">Question prioritaire 1 – Santé maternelle </w:t>
      </w:r>
    </w:p>
    <w:p w14:paraId="19625FBA"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Accès aux soins prénatals et qualité de ces soins, notamment la couverture, la continuité et la disponibilité des agents de santé pendant et après les événements climatiques</w:t>
      </w:r>
    </w:p>
    <w:p w14:paraId="6DFF251B"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Troubles hypertensifs maternels dans le contexte de l’exposition à la chaleur</w:t>
      </w:r>
    </w:p>
    <w:p w14:paraId="703F6209"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 xml:space="preserve">Qualité des soins </w:t>
      </w:r>
      <w:proofErr w:type="spellStart"/>
      <w:r w:rsidRPr="00CC2AAC">
        <w:rPr>
          <w:color w:val="333333"/>
          <w:lang w:val="fr-FR"/>
        </w:rPr>
        <w:t>intrapartum</w:t>
      </w:r>
      <w:proofErr w:type="spellEnd"/>
      <w:r w:rsidRPr="00CC2AAC">
        <w:rPr>
          <w:color w:val="333333"/>
          <w:lang w:val="fr-FR"/>
        </w:rPr>
        <w:t xml:space="preserve"> et présence d’un accoucheur ou </w:t>
      </w:r>
      <w:proofErr w:type="gramStart"/>
      <w:r w:rsidRPr="00CC2AAC">
        <w:rPr>
          <w:color w:val="333333"/>
          <w:lang w:val="fr-FR"/>
        </w:rPr>
        <w:t xml:space="preserve">d’une accoucheuse </w:t>
      </w:r>
      <w:proofErr w:type="spellStart"/>
      <w:r w:rsidRPr="00CC2AAC">
        <w:rPr>
          <w:color w:val="333333"/>
          <w:lang w:val="fr-FR"/>
        </w:rPr>
        <w:t>qualifié</w:t>
      </w:r>
      <w:proofErr w:type="gramEnd"/>
      <w:r w:rsidRPr="00CC2AAC">
        <w:rPr>
          <w:color w:val="333333"/>
          <w:lang w:val="fr-FR"/>
        </w:rPr>
        <w:t>·e</w:t>
      </w:r>
      <w:proofErr w:type="spellEnd"/>
      <w:r w:rsidRPr="00CC2AAC">
        <w:rPr>
          <w:color w:val="333333"/>
          <w:lang w:val="fr-FR"/>
        </w:rPr>
        <w:t xml:space="preserve"> pendant et après les chocs climatiques</w:t>
      </w:r>
    </w:p>
    <w:p w14:paraId="4AA0DC65"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Naissances prématurées et faible poids de naissance associés aux expositions climatiques</w:t>
      </w:r>
    </w:p>
    <w:p w14:paraId="1986856D" w14:textId="6866310C" w:rsidR="005F40DC" w:rsidRPr="00CC2AAC" w:rsidRDefault="00590F36" w:rsidP="008E4801">
      <w:pPr>
        <w:pStyle w:val="ListParagraph"/>
        <w:numPr>
          <w:ilvl w:val="0"/>
          <w:numId w:val="3"/>
        </w:numPr>
        <w:spacing w:before="40" w:after="120"/>
        <w:rPr>
          <w:lang w:val="fr-FR"/>
        </w:rPr>
      </w:pPr>
      <w:r w:rsidRPr="00CC2AAC">
        <w:rPr>
          <w:color w:val="333333"/>
          <w:lang w:val="fr-FR"/>
        </w:rPr>
        <w:t>Expériences des communautés concernant les obstacles et les facteurs favorables à l’accès aux soins de maternité</w:t>
      </w:r>
    </w:p>
    <w:p w14:paraId="58B97067" w14:textId="22A15EB4" w:rsidR="005F40DC" w:rsidRPr="00CC2AAC" w:rsidRDefault="00590F36" w:rsidP="008E4801">
      <w:pPr>
        <w:pStyle w:val="Heading3"/>
        <w:spacing w:after="120"/>
        <w:rPr>
          <w:lang w:val="fr-FR"/>
        </w:rPr>
      </w:pPr>
      <w:r w:rsidRPr="00CC2AAC">
        <w:rPr>
          <w:lang w:val="fr-FR"/>
        </w:rPr>
        <w:t xml:space="preserve">Question prioritaire 2 – Violence fondée sur le genre </w:t>
      </w:r>
    </w:p>
    <w:p w14:paraId="5D19F609"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Incidence et manifestations de la violence fondée sur le genre pendant et après les événements climatiques</w:t>
      </w:r>
    </w:p>
    <w:p w14:paraId="48009036"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lastRenderedPageBreak/>
        <w:t>Capacité des systèmes de santé à détecter, orienter et répondre à la violence fondée sur le genre dans les contextes touchés par le climat</w:t>
      </w:r>
    </w:p>
    <w:p w14:paraId="58A93265"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Mécanismes de prévention et de réponse basés sur la communauté, notamment dans les processus de réduction des risques de catastrophe</w:t>
      </w:r>
    </w:p>
    <w:p w14:paraId="720E2EB6" w14:textId="37BABDE4" w:rsidR="005F40DC" w:rsidRPr="00CC2AAC" w:rsidRDefault="00590F36" w:rsidP="008E4801">
      <w:pPr>
        <w:pStyle w:val="ListParagraph"/>
        <w:numPr>
          <w:ilvl w:val="0"/>
          <w:numId w:val="3"/>
        </w:numPr>
        <w:spacing w:before="40" w:after="120"/>
        <w:rPr>
          <w:lang w:val="fr-FR"/>
        </w:rPr>
      </w:pPr>
      <w:r w:rsidRPr="00CC2AAC">
        <w:rPr>
          <w:color w:val="333333"/>
          <w:lang w:val="fr-FR"/>
        </w:rPr>
        <w:t>Impacts sur les populations en situation de vulnérabilité, notamment les personnes handicapées</w:t>
      </w:r>
    </w:p>
    <w:p w14:paraId="2522F222" w14:textId="3156F44F" w:rsidR="005F40DC" w:rsidRPr="00CC2AAC" w:rsidRDefault="00590F36" w:rsidP="008E4801">
      <w:pPr>
        <w:pStyle w:val="Heading3"/>
        <w:spacing w:after="120"/>
        <w:rPr>
          <w:lang w:val="fr-FR"/>
        </w:rPr>
      </w:pPr>
      <w:r w:rsidRPr="00CC2AAC">
        <w:rPr>
          <w:lang w:val="fr-FR"/>
        </w:rPr>
        <w:t xml:space="preserve">Question prioritaire 3 – Contraception </w:t>
      </w:r>
    </w:p>
    <w:p w14:paraId="48AFB920"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Accès aux services et produits contraceptifs au niveau communautaire et continuité de ces services et produits</w:t>
      </w:r>
    </w:p>
    <w:p w14:paraId="185DD200"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Perturbations de la chaîne d’approvisionnement affectant la disponibilité des contraceptifs lors des événements climatiques</w:t>
      </w:r>
    </w:p>
    <w:p w14:paraId="624E0784"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Besoins non satisfaits et stratégies d’adaptation des communautés dans les populations touchées par le climat</w:t>
      </w:r>
    </w:p>
    <w:p w14:paraId="52151103" w14:textId="125F2637" w:rsidR="005F40DC" w:rsidRPr="00CC2AAC" w:rsidRDefault="00590F36" w:rsidP="008E4801">
      <w:pPr>
        <w:pStyle w:val="ListParagraph"/>
        <w:numPr>
          <w:ilvl w:val="0"/>
          <w:numId w:val="3"/>
        </w:numPr>
        <w:spacing w:before="40" w:after="120"/>
        <w:rPr>
          <w:lang w:val="fr-FR"/>
        </w:rPr>
      </w:pPr>
      <w:r w:rsidRPr="00CC2AAC">
        <w:rPr>
          <w:color w:val="333333"/>
          <w:lang w:val="fr-FR"/>
        </w:rPr>
        <w:t>Qualité du conseil en matière de contraception et disponibilité des prestataires lors des chocs climatiques</w:t>
      </w:r>
    </w:p>
    <w:p w14:paraId="0D3A7A28" w14:textId="600A96D2" w:rsidR="005F40DC" w:rsidRPr="00CC2AAC" w:rsidRDefault="00590F36" w:rsidP="008E4801">
      <w:pPr>
        <w:pStyle w:val="Heading3"/>
        <w:spacing w:after="120"/>
        <w:rPr>
          <w:lang w:val="fr-FR"/>
        </w:rPr>
      </w:pPr>
      <w:r w:rsidRPr="00CC2AAC">
        <w:rPr>
          <w:lang w:val="fr-FR"/>
        </w:rPr>
        <w:t xml:space="preserve">Question prioritaire 4 – Soins pour avortement </w:t>
      </w:r>
    </w:p>
    <w:p w14:paraId="176D10BF"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Accès à un avortement sûr et aux soins post-avortement dans les contextes touchés par le climat</w:t>
      </w:r>
    </w:p>
    <w:p w14:paraId="4E283C6A"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Perturbations des systèmes de santé affectant la disponibilité des services et produits liés à l’avortement</w:t>
      </w:r>
    </w:p>
    <w:p w14:paraId="78A27DDB" w14:textId="3722B08A" w:rsidR="005F40DC" w:rsidRPr="00CC2AAC" w:rsidRDefault="00590F36" w:rsidP="008E4801">
      <w:pPr>
        <w:pStyle w:val="ListParagraph"/>
        <w:numPr>
          <w:ilvl w:val="0"/>
          <w:numId w:val="3"/>
        </w:numPr>
        <w:spacing w:before="40" w:after="120"/>
        <w:rPr>
          <w:lang w:val="fr-FR"/>
        </w:rPr>
      </w:pPr>
      <w:r w:rsidRPr="00CC2AAC">
        <w:rPr>
          <w:color w:val="333333"/>
          <w:lang w:val="fr-FR"/>
        </w:rPr>
        <w:t>Expériences des communautés pour accéder aux soins pour avortement lors des événements climatiques</w:t>
      </w:r>
    </w:p>
    <w:p w14:paraId="0CC3221D"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Obstacles juridiques et politiques exacerbés par les perturbations liées au climat</w:t>
      </w:r>
    </w:p>
    <w:p w14:paraId="35006710" w14:textId="77777777" w:rsidR="005F40DC" w:rsidRPr="00CC2AAC" w:rsidRDefault="005F40DC" w:rsidP="008E4801">
      <w:pPr>
        <w:spacing w:after="120"/>
        <w:rPr>
          <w:lang w:val="fr-FR"/>
        </w:rPr>
      </w:pPr>
    </w:p>
    <w:p w14:paraId="6B7E90F3" w14:textId="39B22158" w:rsidR="005F40DC" w:rsidRPr="00CC2AAC" w:rsidRDefault="00590F36" w:rsidP="008E4801">
      <w:pPr>
        <w:pStyle w:val="Heading2"/>
        <w:pBdr>
          <w:bottom w:val="single" w:sz="2" w:space="4" w:color="CCCCCC"/>
        </w:pBdr>
        <w:spacing w:after="120"/>
        <w:rPr>
          <w:lang w:val="fr-FR"/>
        </w:rPr>
      </w:pPr>
      <w:r w:rsidRPr="00CC2AAC">
        <w:rPr>
          <w:lang w:val="fr-FR"/>
        </w:rPr>
        <w:t>3.4 Droits humains et intersectionnalité</w:t>
      </w:r>
    </w:p>
    <w:p w14:paraId="718BA6B2" w14:textId="16C1692B" w:rsidR="005F40DC" w:rsidRPr="00CC2AAC" w:rsidRDefault="00590F36" w:rsidP="008E4801">
      <w:pPr>
        <w:spacing w:before="60" w:after="120"/>
        <w:rPr>
          <w:color w:val="333333"/>
          <w:lang w:val="fr-FR"/>
        </w:rPr>
      </w:pPr>
      <w:r w:rsidRPr="00CC2AAC">
        <w:rPr>
          <w:color w:val="333333"/>
          <w:lang w:val="fr-FR"/>
        </w:rPr>
        <w:t xml:space="preserve">Toutes les propositions doivent adopter un cadre de droits humains, en traitant les SDSR comme une question de droits plutôt que de simples résultats de santé [19,20]. Les propositions doivent également adopter une approche intersectionnelle, examinant comment le genre, l’âge, le handicap, la situation socioéconomique, le statut migratoire et d’autres déterminants sociaux aggravent la vulnérabilité aux changements climatiques et aux atteintes aux SDSR [21–24]. </w:t>
      </w:r>
    </w:p>
    <w:p w14:paraId="1586F493" w14:textId="34521596" w:rsidR="005F40DC" w:rsidRPr="00CC2AAC" w:rsidRDefault="00590F36" w:rsidP="008E4801">
      <w:pPr>
        <w:pStyle w:val="Heading2"/>
        <w:pBdr>
          <w:bottom w:val="single" w:sz="2" w:space="4" w:color="CCCCCC"/>
        </w:pBdr>
        <w:spacing w:after="120"/>
        <w:rPr>
          <w:lang w:val="fr-FR"/>
        </w:rPr>
      </w:pPr>
      <w:r w:rsidRPr="00CC2AAC">
        <w:rPr>
          <w:lang w:val="fr-FR"/>
        </w:rPr>
        <w:t>3.5 Éthique</w:t>
      </w:r>
    </w:p>
    <w:p w14:paraId="75617341" w14:textId="0C93B5B1" w:rsidR="005F40DC" w:rsidRPr="00CC2AAC" w:rsidRDefault="00590F36" w:rsidP="008E4801">
      <w:pPr>
        <w:spacing w:before="60" w:after="120"/>
        <w:rPr>
          <w:lang w:val="fr-FR"/>
        </w:rPr>
      </w:pPr>
      <w:proofErr w:type="gramStart"/>
      <w:r w:rsidRPr="00CC2AAC">
        <w:rPr>
          <w:color w:val="333333"/>
          <w:lang w:val="fr-FR"/>
        </w:rPr>
        <w:t>Suite à</w:t>
      </w:r>
      <w:proofErr w:type="gramEnd"/>
      <w:r w:rsidRPr="00CC2AAC">
        <w:rPr>
          <w:color w:val="333333"/>
          <w:lang w:val="fr-FR"/>
        </w:rPr>
        <w:t xml:space="preserve"> l’atelier de développement du protocole (voir section 4), toutes les équipes devront soumettre leur protocole spécifique au pays à l’examen du comité d’examen éthique de l’OMS et du comité d’éthique national ou institutionnel compétent dans leur pays. La collecte de données ne pourra débuter qu’une fois toutes les approbations éthiques requises obtenues et les fonds ne seront </w:t>
      </w:r>
      <w:proofErr w:type="spellStart"/>
      <w:r w:rsidRPr="00CC2AAC">
        <w:rPr>
          <w:color w:val="333333"/>
          <w:lang w:val="fr-FR"/>
        </w:rPr>
        <w:t>décaisés</w:t>
      </w:r>
      <w:proofErr w:type="spellEnd"/>
      <w:r w:rsidRPr="00CC2AAC">
        <w:rPr>
          <w:color w:val="333333"/>
          <w:lang w:val="fr-FR"/>
        </w:rPr>
        <w:t xml:space="preserve"> qu’après l’obtention des approbations éthiques. HRP/OMS apportera un soutien aux équipes pour naviguer dans le processus d’examen éthique.</w:t>
      </w:r>
    </w:p>
    <w:p w14:paraId="368F8C3C" w14:textId="77777777" w:rsidR="005F40DC" w:rsidRPr="00CC2AAC" w:rsidRDefault="005F40DC" w:rsidP="008E4801">
      <w:pPr>
        <w:spacing w:after="120"/>
        <w:rPr>
          <w:lang w:val="fr-FR"/>
        </w:rPr>
      </w:pPr>
    </w:p>
    <w:p w14:paraId="3C03AACC" w14:textId="712DC24B" w:rsidR="005F40DC" w:rsidRPr="00CC2AAC" w:rsidRDefault="00590F36" w:rsidP="008E4801">
      <w:pPr>
        <w:pStyle w:val="Heading1"/>
        <w:rPr>
          <w:lang w:val="fr-FR"/>
        </w:rPr>
      </w:pPr>
      <w:r w:rsidRPr="00CC2AAC">
        <w:rPr>
          <w:lang w:val="fr-FR"/>
        </w:rPr>
        <w:t>4. Atelier de développement du protocole</w:t>
      </w:r>
    </w:p>
    <w:p w14:paraId="73BC1525" w14:textId="47C2B175" w:rsidR="005F40DC" w:rsidRPr="00CC2AAC" w:rsidRDefault="00590F36" w:rsidP="008E4801">
      <w:pPr>
        <w:spacing w:before="60" w:after="120"/>
        <w:rPr>
          <w:lang w:val="fr-FR"/>
        </w:rPr>
      </w:pPr>
      <w:r w:rsidRPr="00CC2AAC">
        <w:rPr>
          <w:color w:val="333333"/>
          <w:lang w:val="fr-FR"/>
        </w:rPr>
        <w:t xml:space="preserve">La première activité après la sélection sera un atelier conjoint de développement du protocole, prévu </w:t>
      </w:r>
      <w:r w:rsidR="006A08DD">
        <w:rPr>
          <w:color w:val="333333"/>
          <w:lang w:val="fr-FR"/>
        </w:rPr>
        <w:t>pour</w:t>
      </w:r>
      <w:r w:rsidR="00E1514F">
        <w:rPr>
          <w:color w:val="333333"/>
          <w:lang w:val="fr-FR"/>
        </w:rPr>
        <w:t xml:space="preserve"> </w:t>
      </w:r>
      <w:r w:rsidR="00E46B70" w:rsidRPr="00CC2AAC">
        <w:rPr>
          <w:color w:val="333333"/>
          <w:lang w:val="fr-FR"/>
        </w:rPr>
        <w:t xml:space="preserve">une semaine </w:t>
      </w:r>
      <w:r w:rsidR="009169E8">
        <w:rPr>
          <w:color w:val="333333"/>
          <w:lang w:val="fr-FR"/>
        </w:rPr>
        <w:t xml:space="preserve">en </w:t>
      </w:r>
      <w:r w:rsidR="00E46B70" w:rsidRPr="00CC2AAC">
        <w:rPr>
          <w:color w:val="333333"/>
          <w:lang w:val="fr-FR"/>
        </w:rPr>
        <w:t xml:space="preserve">juillet </w:t>
      </w:r>
      <w:r w:rsidRPr="00CC2AAC">
        <w:rPr>
          <w:color w:val="333333"/>
          <w:lang w:val="fr-FR"/>
        </w:rPr>
        <w:t>à Genève, au siège de l’OMS</w:t>
      </w:r>
      <w:r w:rsidR="00771EAB">
        <w:rPr>
          <w:color w:val="333333"/>
          <w:lang w:val="fr-FR"/>
        </w:rPr>
        <w:t xml:space="preserve"> (</w:t>
      </w:r>
      <w:r w:rsidR="00771EAB" w:rsidRPr="00771EAB">
        <w:rPr>
          <w:color w:val="FF0000"/>
          <w:lang w:val="fr-FR"/>
        </w:rPr>
        <w:t>à définir</w:t>
      </w:r>
      <w:r w:rsidR="00771EAB">
        <w:rPr>
          <w:color w:val="333333"/>
          <w:lang w:val="fr-FR"/>
        </w:rPr>
        <w:t>)</w:t>
      </w:r>
      <w:r w:rsidRPr="00CC2AAC">
        <w:rPr>
          <w:color w:val="333333"/>
          <w:lang w:val="fr-FR"/>
        </w:rPr>
        <w:t>. Cet atelier est un élément central de cette initiative. Toutes les équipes sélectionnées se réuniront pour définir collectivement un protocole unique transnational, en s’accordant sur une question prioritaire pour tous les sites, les instruments de collecte de données à développer, le cadre d’engagement participatif, un plan d’analyse commun et les étapes de rapport. Chaque équipe aura également la possibilité d’inclure des mesures spécifiques au pays dans leurs protocoles nationaux afin de traiter les aspects de leur question prioritaire particulièrement pertinents pour leur contexte local.</w:t>
      </w:r>
    </w:p>
    <w:p w14:paraId="11841FC2" w14:textId="4DF954E3" w:rsidR="005F40DC" w:rsidRPr="00CC2AAC" w:rsidRDefault="00590F36" w:rsidP="008E4801">
      <w:pPr>
        <w:spacing w:before="60" w:after="120"/>
        <w:rPr>
          <w:lang w:val="fr-FR"/>
        </w:rPr>
      </w:pPr>
      <w:r w:rsidRPr="00CC2AAC">
        <w:rPr>
          <w:color w:val="333333"/>
          <w:lang w:val="fr-FR"/>
        </w:rPr>
        <w:lastRenderedPageBreak/>
        <w:t xml:space="preserve">Les </w:t>
      </w:r>
      <w:proofErr w:type="spellStart"/>
      <w:r w:rsidRPr="00CC2AAC">
        <w:rPr>
          <w:color w:val="333333"/>
          <w:lang w:val="fr-FR"/>
        </w:rPr>
        <w:t>candidat·e·s</w:t>
      </w:r>
      <w:proofErr w:type="spellEnd"/>
      <w:r w:rsidRPr="00CC2AAC">
        <w:rPr>
          <w:color w:val="333333"/>
          <w:lang w:val="fr-FR"/>
        </w:rPr>
        <w:t xml:space="preserve"> doivent comprendre que la proposition qu’ils/elles soumettent dans le cadre de cet appel n’est pas un protocole de recherche finalisé. Les propositions doivent démontrer (a) une vision de recherche claire et un sens de l’approche, (b) pourquoi l’équipe est la mieux placée pour répondre à la question prioritaire sélectionnée dans le contexte de son pays, et (c) l’expérience participative et les partenariats communautaires qu’ils/elles apporteraient. Les choix méthodologiques détaillés seront faits collectivement lors de l’atelier.</w:t>
      </w:r>
    </w:p>
    <w:p w14:paraId="14C31DEF" w14:textId="67C6193E" w:rsidR="005F40DC" w:rsidRPr="00CC2AAC" w:rsidRDefault="00590F36" w:rsidP="008E4801">
      <w:pPr>
        <w:spacing w:before="60" w:after="120"/>
        <w:rPr>
          <w:lang w:val="fr-FR"/>
        </w:rPr>
      </w:pPr>
      <w:r w:rsidRPr="00CC2AAC">
        <w:rPr>
          <w:color w:val="333333"/>
          <w:lang w:val="fr-FR"/>
        </w:rPr>
        <w:t xml:space="preserve">La participation à l’atelier est un aspect clé du processus de </w:t>
      </w:r>
      <w:proofErr w:type="spellStart"/>
      <w:r w:rsidRPr="00CC2AAC">
        <w:rPr>
          <w:color w:val="333333"/>
          <w:lang w:val="fr-FR"/>
        </w:rPr>
        <w:t>co-conception</w:t>
      </w:r>
      <w:proofErr w:type="spellEnd"/>
      <w:r w:rsidRPr="00CC2AAC">
        <w:rPr>
          <w:color w:val="333333"/>
          <w:lang w:val="fr-FR"/>
        </w:rPr>
        <w:t xml:space="preserve"> et de co-développement. L’OMS/HRP prendra en charge les frais de voyage en classe économique et d’hébergement pour deux membres au maximum par équipe sélectionnée.</w:t>
      </w:r>
    </w:p>
    <w:p w14:paraId="1C60261B" w14:textId="77777777" w:rsidR="005F40DC" w:rsidRPr="00CC2AAC" w:rsidRDefault="005F40DC" w:rsidP="008E4801">
      <w:pPr>
        <w:spacing w:after="120"/>
        <w:rPr>
          <w:lang w:val="fr-FR"/>
        </w:rPr>
      </w:pPr>
    </w:p>
    <w:p w14:paraId="2FA289D7" w14:textId="6EFC2A21" w:rsidR="005F40DC" w:rsidRPr="00CC2AAC" w:rsidRDefault="00590F36" w:rsidP="008E4801">
      <w:pPr>
        <w:pStyle w:val="Heading1"/>
        <w:rPr>
          <w:lang w:val="fr-FR"/>
        </w:rPr>
      </w:pPr>
      <w:r w:rsidRPr="00CC2AAC">
        <w:rPr>
          <w:lang w:val="fr-FR"/>
        </w:rPr>
        <w:t>5. Critères d’éligibilité</w:t>
      </w:r>
    </w:p>
    <w:p w14:paraId="098EC125" w14:textId="0EFDD8B0" w:rsidR="005F40DC" w:rsidRPr="00CC2AAC" w:rsidRDefault="00590F36" w:rsidP="008E4801">
      <w:pPr>
        <w:pStyle w:val="Heading2"/>
        <w:pBdr>
          <w:bottom w:val="single" w:sz="2" w:space="4" w:color="CCCCCC"/>
        </w:pBdr>
        <w:spacing w:after="120"/>
        <w:rPr>
          <w:lang w:val="fr-FR"/>
        </w:rPr>
      </w:pPr>
      <w:r w:rsidRPr="00CC2AAC">
        <w:rPr>
          <w:lang w:val="fr-FR"/>
        </w:rPr>
        <w:t>5.1 Qui peut soumettre une candidature</w:t>
      </w:r>
    </w:p>
    <w:p w14:paraId="44945938" w14:textId="318A7E37" w:rsidR="005F40DC" w:rsidRPr="00CC2AAC" w:rsidRDefault="00590F36" w:rsidP="008E4801">
      <w:pPr>
        <w:spacing w:before="60" w:after="120"/>
        <w:rPr>
          <w:lang w:val="fr-FR"/>
        </w:rPr>
      </w:pPr>
      <w:r w:rsidRPr="00CC2AAC">
        <w:rPr>
          <w:color w:val="333333"/>
          <w:lang w:val="fr-FR"/>
        </w:rPr>
        <w:t>Cet appel est ouvert aux équipes de recherche basées dans des institutions ou organisations dans des pays à revenu faible ou intermédiaire</w:t>
      </w:r>
      <w:r w:rsidR="007F70D0" w:rsidRPr="00CC2AAC">
        <w:rPr>
          <w:rStyle w:val="FootnoteReference"/>
          <w:color w:val="333333"/>
          <w:lang w:val="fr-FR"/>
        </w:rPr>
        <w:footnoteReference w:id="2"/>
      </w:r>
      <w:r w:rsidRPr="00CC2AAC">
        <w:rPr>
          <w:color w:val="333333"/>
          <w:lang w:val="fr-FR"/>
        </w:rPr>
        <w:t>, en mettant l’accent sur les pays prioritaires listés à l’</w:t>
      </w:r>
      <w:r w:rsidRPr="00CC2AAC">
        <w:rPr>
          <w:b/>
          <w:bCs/>
          <w:color w:val="333333"/>
          <w:lang w:val="fr-FR"/>
        </w:rPr>
        <w:t>Annexe 2</w:t>
      </w:r>
      <w:r w:rsidRPr="00CC2AAC">
        <w:rPr>
          <w:color w:val="333333"/>
          <w:lang w:val="fr-FR"/>
        </w:rPr>
        <w:t xml:space="preserve">. Les </w:t>
      </w:r>
      <w:proofErr w:type="spellStart"/>
      <w:r w:rsidRPr="00CC2AAC">
        <w:rPr>
          <w:color w:val="333333"/>
          <w:lang w:val="fr-FR"/>
        </w:rPr>
        <w:t>candidat·e·s</w:t>
      </w:r>
      <w:proofErr w:type="spellEnd"/>
      <w:r w:rsidRPr="00CC2AAC">
        <w:rPr>
          <w:color w:val="333333"/>
          <w:lang w:val="fr-FR"/>
        </w:rPr>
        <w:t xml:space="preserve"> éligibles comprennent :</w:t>
      </w:r>
    </w:p>
    <w:p w14:paraId="0A2F9CB4"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Organisations communautaires et organisations de la société civile ayant une expérience avérée dans la recherche axée sur la communauté ou la recherche participative</w:t>
      </w:r>
    </w:p>
    <w:p w14:paraId="5F9B5352"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Organisations non gouvernementales (ONG) ayant une fonction de recherche ou de production de preuves active</w:t>
      </w:r>
    </w:p>
    <w:p w14:paraId="64D857E3"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Institutions académiques et de recherche (universités, centres de recherche, instituts de santé publique)</w:t>
      </w:r>
    </w:p>
    <w:p w14:paraId="5AB09D45"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Consortiums multi-institutionnels combinant les types ci-dessus, à condition que l’institution chef de file et l’</w:t>
      </w:r>
      <w:proofErr w:type="spellStart"/>
      <w:r w:rsidRPr="00CC2AAC">
        <w:rPr>
          <w:color w:val="333333"/>
          <w:lang w:val="fr-FR"/>
        </w:rPr>
        <w:t>investigateur·rice</w:t>
      </w:r>
      <w:proofErr w:type="spellEnd"/>
      <w:r w:rsidRPr="00CC2AAC">
        <w:rPr>
          <w:color w:val="333333"/>
          <w:lang w:val="fr-FR"/>
        </w:rPr>
        <w:t xml:space="preserve"> </w:t>
      </w:r>
      <w:proofErr w:type="spellStart"/>
      <w:r w:rsidRPr="00CC2AAC">
        <w:rPr>
          <w:color w:val="333333"/>
          <w:lang w:val="fr-FR"/>
        </w:rPr>
        <w:t>principal·e</w:t>
      </w:r>
      <w:proofErr w:type="spellEnd"/>
      <w:r w:rsidRPr="00CC2AAC">
        <w:rPr>
          <w:color w:val="333333"/>
          <w:lang w:val="fr-FR"/>
        </w:rPr>
        <w:t xml:space="preserve"> soient </w:t>
      </w:r>
      <w:proofErr w:type="spellStart"/>
      <w:r w:rsidRPr="00CC2AAC">
        <w:rPr>
          <w:color w:val="333333"/>
          <w:lang w:val="fr-FR"/>
        </w:rPr>
        <w:t>basé·e·s</w:t>
      </w:r>
      <w:proofErr w:type="spellEnd"/>
      <w:r w:rsidRPr="00CC2AAC">
        <w:rPr>
          <w:color w:val="333333"/>
          <w:lang w:val="fr-FR"/>
        </w:rPr>
        <w:t xml:space="preserve"> dans un pays éligible</w:t>
      </w:r>
    </w:p>
    <w:p w14:paraId="1F2AECA3" w14:textId="77777777" w:rsidR="005F40DC" w:rsidRPr="00CC2AAC" w:rsidRDefault="00590F36" w:rsidP="008E4801">
      <w:pPr>
        <w:spacing w:before="60" w:after="120"/>
        <w:rPr>
          <w:lang w:val="fr-FR"/>
        </w:rPr>
      </w:pPr>
      <w:r w:rsidRPr="00CC2AAC">
        <w:rPr>
          <w:color w:val="333333"/>
          <w:lang w:val="fr-FR"/>
        </w:rPr>
        <w:t>La collaboration avec des institutions basées en dehors du pays éligible est autorisée et encouragée, notamment lorsqu’elle soutient le renforcement des capacités de recherche. Toutefois, l’</w:t>
      </w:r>
      <w:proofErr w:type="spellStart"/>
      <w:r w:rsidRPr="00CC2AAC">
        <w:rPr>
          <w:color w:val="333333"/>
          <w:lang w:val="fr-FR"/>
        </w:rPr>
        <w:t>investigateur·rice</w:t>
      </w:r>
      <w:proofErr w:type="spellEnd"/>
      <w:r w:rsidRPr="00CC2AAC">
        <w:rPr>
          <w:color w:val="333333"/>
          <w:lang w:val="fr-FR"/>
        </w:rPr>
        <w:t xml:space="preserve"> </w:t>
      </w:r>
      <w:proofErr w:type="spellStart"/>
      <w:r w:rsidRPr="00CC2AAC">
        <w:rPr>
          <w:color w:val="333333"/>
          <w:lang w:val="fr-FR"/>
        </w:rPr>
        <w:t>principal·e</w:t>
      </w:r>
      <w:proofErr w:type="spellEnd"/>
      <w:r w:rsidRPr="00CC2AAC">
        <w:rPr>
          <w:color w:val="333333"/>
          <w:lang w:val="fr-FR"/>
        </w:rPr>
        <w:t xml:space="preserve"> et l’équipe de recherche principale doivent être </w:t>
      </w:r>
      <w:proofErr w:type="spellStart"/>
      <w:r w:rsidRPr="00CC2AAC">
        <w:rPr>
          <w:color w:val="333333"/>
          <w:lang w:val="fr-FR"/>
        </w:rPr>
        <w:t>basé·e·s</w:t>
      </w:r>
      <w:proofErr w:type="spellEnd"/>
      <w:r w:rsidRPr="00CC2AAC">
        <w:rPr>
          <w:color w:val="333333"/>
          <w:lang w:val="fr-FR"/>
        </w:rPr>
        <w:t xml:space="preserve"> dans le pays. Les partenaires internationaux ne peuvent pas jouer le rôle de candidat principal ou détenir le sous-contrat principal. Pas plus de 15 % de la subvention totale ne peut être alloué à des institutions ou des personnes basées dans des pays à revenu élevé.</w:t>
      </w:r>
    </w:p>
    <w:p w14:paraId="4CC4EB73" w14:textId="1E0EEED7" w:rsidR="005F40DC" w:rsidRPr="00CC2AAC" w:rsidRDefault="00590F36" w:rsidP="008E4801">
      <w:pPr>
        <w:pStyle w:val="Heading2"/>
        <w:pBdr>
          <w:bottom w:val="single" w:sz="2" w:space="4" w:color="CCCCCC"/>
        </w:pBdr>
        <w:spacing w:after="120"/>
        <w:rPr>
          <w:lang w:val="fr-FR"/>
        </w:rPr>
      </w:pPr>
      <w:r w:rsidRPr="00CC2AAC">
        <w:rPr>
          <w:lang w:val="fr-FR"/>
        </w:rPr>
        <w:t>5.2 Composition de l’équipe</w:t>
      </w:r>
    </w:p>
    <w:p w14:paraId="39898A7F" w14:textId="77777777" w:rsidR="005F40DC" w:rsidRPr="00CC2AAC" w:rsidRDefault="00590F36" w:rsidP="008E4801">
      <w:pPr>
        <w:spacing w:before="60" w:after="120"/>
        <w:rPr>
          <w:lang w:val="fr-FR"/>
        </w:rPr>
      </w:pPr>
      <w:r w:rsidRPr="00CC2AAC">
        <w:rPr>
          <w:color w:val="333333"/>
          <w:lang w:val="fr-FR"/>
        </w:rPr>
        <w:t>Les équipes éligibles devront :</w:t>
      </w:r>
    </w:p>
    <w:p w14:paraId="6C92FD4E" w14:textId="16CA8036" w:rsidR="005F40DC" w:rsidRPr="00CC2AAC" w:rsidRDefault="00590F36" w:rsidP="008E4801">
      <w:pPr>
        <w:pStyle w:val="ListParagraph"/>
        <w:numPr>
          <w:ilvl w:val="0"/>
          <w:numId w:val="3"/>
        </w:numPr>
        <w:spacing w:before="40" w:after="120"/>
        <w:rPr>
          <w:lang w:val="fr-FR"/>
        </w:rPr>
      </w:pPr>
      <w:r w:rsidRPr="00CC2AAC">
        <w:rPr>
          <w:color w:val="333333"/>
          <w:lang w:val="fr-FR"/>
        </w:rPr>
        <w:t>Avoir de l’expérience dans la conduite de recherches avec des communautés touchées par des défis climatiques et sanitaires et/ou dans la recherche sur la santé et les droits sexuels et reproductifs</w:t>
      </w:r>
    </w:p>
    <w:p w14:paraId="5E0C8B00" w14:textId="45898684" w:rsidR="005F40DC" w:rsidRPr="00CC2AAC" w:rsidRDefault="00590F36" w:rsidP="009C6DA9">
      <w:pPr>
        <w:pStyle w:val="ListParagraph"/>
        <w:numPr>
          <w:ilvl w:val="0"/>
          <w:numId w:val="3"/>
        </w:numPr>
        <w:spacing w:before="40" w:after="120"/>
        <w:rPr>
          <w:lang w:val="fr-FR"/>
        </w:rPr>
      </w:pPr>
      <w:r w:rsidRPr="00CC2AAC">
        <w:rPr>
          <w:color w:val="333333"/>
          <w:lang w:val="fr-FR"/>
        </w:rPr>
        <w:t>Avoir de l’expérience dans la conception de recherches en méthodes mixtes, y compris de l’expérience avec les méthodes participatives</w:t>
      </w:r>
    </w:p>
    <w:p w14:paraId="223D6DF9"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 xml:space="preserve">Inclure au moins </w:t>
      </w:r>
      <w:proofErr w:type="spellStart"/>
      <w:r w:rsidRPr="00CC2AAC">
        <w:rPr>
          <w:color w:val="333333"/>
          <w:lang w:val="fr-FR"/>
        </w:rPr>
        <w:t>un·e</w:t>
      </w:r>
      <w:proofErr w:type="spellEnd"/>
      <w:r w:rsidRPr="00CC2AAC">
        <w:rPr>
          <w:color w:val="333333"/>
          <w:lang w:val="fr-FR"/>
        </w:rPr>
        <w:t xml:space="preserve"> </w:t>
      </w:r>
      <w:proofErr w:type="spellStart"/>
      <w:r w:rsidRPr="00CC2AAC">
        <w:rPr>
          <w:color w:val="333333"/>
          <w:lang w:val="fr-FR"/>
        </w:rPr>
        <w:t>chercheur·euse</w:t>
      </w:r>
      <w:proofErr w:type="spellEnd"/>
      <w:r w:rsidRPr="00CC2AAC">
        <w:rPr>
          <w:color w:val="333333"/>
          <w:lang w:val="fr-FR"/>
        </w:rPr>
        <w:t xml:space="preserve"> ayant une formation formelle ou une expertise avérée dans les méthodes qualitatives et/ou participatives</w:t>
      </w:r>
    </w:p>
    <w:p w14:paraId="778FADD9" w14:textId="77777777" w:rsidR="005F40DC" w:rsidRPr="00CC2AAC" w:rsidRDefault="005F40DC" w:rsidP="008E4801">
      <w:pPr>
        <w:spacing w:after="120"/>
        <w:rPr>
          <w:lang w:val="fr-FR"/>
        </w:rPr>
      </w:pPr>
    </w:p>
    <w:p w14:paraId="5E0D48FA" w14:textId="77777777" w:rsidR="005F40DC" w:rsidRPr="00CC2AAC" w:rsidRDefault="00590F36" w:rsidP="008E4801">
      <w:pPr>
        <w:spacing w:before="60" w:after="120"/>
        <w:rPr>
          <w:lang w:val="fr-FR"/>
        </w:rPr>
      </w:pPr>
      <w:r w:rsidRPr="00CC2AAC">
        <w:rPr>
          <w:color w:val="333333"/>
          <w:lang w:val="fr-FR"/>
        </w:rPr>
        <w:t>Les équipes sont fortement encouragées à inclure :</w:t>
      </w:r>
    </w:p>
    <w:p w14:paraId="3EB59548"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 xml:space="preserve">Des </w:t>
      </w:r>
      <w:proofErr w:type="spellStart"/>
      <w:r w:rsidRPr="00CC2AAC">
        <w:rPr>
          <w:color w:val="333333"/>
          <w:lang w:val="fr-FR"/>
        </w:rPr>
        <w:t>chercheur·euse·s</w:t>
      </w:r>
      <w:proofErr w:type="spellEnd"/>
      <w:r w:rsidRPr="00CC2AAC">
        <w:rPr>
          <w:color w:val="333333"/>
          <w:lang w:val="fr-FR"/>
        </w:rPr>
        <w:t xml:space="preserve"> en début de carrière (dans les 5 à 7 ans suivant l’obtention d’un doctorat ou équivalent)</w:t>
      </w:r>
    </w:p>
    <w:p w14:paraId="572CCBAA"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Des chercheuses occupant des postes de direction</w:t>
      </w:r>
    </w:p>
    <w:p w14:paraId="6C8E10CC"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lastRenderedPageBreak/>
        <w:t xml:space="preserve">Des </w:t>
      </w:r>
      <w:proofErr w:type="spellStart"/>
      <w:r w:rsidRPr="00CC2AAC">
        <w:rPr>
          <w:color w:val="333333"/>
          <w:lang w:val="fr-FR"/>
        </w:rPr>
        <w:t>chercheur·euse·s</w:t>
      </w:r>
      <w:proofErr w:type="spellEnd"/>
      <w:r w:rsidRPr="00CC2AAC">
        <w:rPr>
          <w:color w:val="333333"/>
          <w:lang w:val="fr-FR"/>
        </w:rPr>
        <w:t xml:space="preserve"> issus de disciplines autres que la santé, notamment les sciences sociales, les sciences de l’environnement et le développement communautaire</w:t>
      </w:r>
    </w:p>
    <w:p w14:paraId="21274C5C" w14:textId="5B62CDA5" w:rsidR="005F40DC" w:rsidRPr="00CC2AAC" w:rsidRDefault="00590F36" w:rsidP="008E4801">
      <w:pPr>
        <w:pStyle w:val="Heading2"/>
        <w:pBdr>
          <w:bottom w:val="single" w:sz="2" w:space="4" w:color="CCCCCC"/>
        </w:pBdr>
        <w:spacing w:after="120"/>
        <w:rPr>
          <w:lang w:val="fr-FR"/>
        </w:rPr>
      </w:pPr>
      <w:r w:rsidRPr="00CC2AAC">
        <w:rPr>
          <w:lang w:val="fr-FR"/>
        </w:rPr>
        <w:t>5.3 Conflit d’intérêts</w:t>
      </w:r>
    </w:p>
    <w:p w14:paraId="7BA92EA0" w14:textId="585B93DF" w:rsidR="005F40DC" w:rsidRPr="00CC2AAC" w:rsidRDefault="00590F36" w:rsidP="008E4801">
      <w:pPr>
        <w:spacing w:before="60" w:after="120"/>
        <w:rPr>
          <w:lang w:val="fr-FR"/>
        </w:rPr>
      </w:pPr>
      <w:r w:rsidRPr="00CC2AAC">
        <w:rPr>
          <w:color w:val="333333"/>
          <w:lang w:val="fr-FR"/>
        </w:rPr>
        <w:t xml:space="preserve">Tous les </w:t>
      </w:r>
      <w:proofErr w:type="spellStart"/>
      <w:r w:rsidRPr="00CC2AAC">
        <w:rPr>
          <w:color w:val="333333"/>
          <w:lang w:val="fr-FR"/>
        </w:rPr>
        <w:t>candidat·e·s</w:t>
      </w:r>
      <w:proofErr w:type="spellEnd"/>
      <w:r w:rsidRPr="00CC2AAC">
        <w:rPr>
          <w:color w:val="333333"/>
          <w:lang w:val="fr-FR"/>
        </w:rPr>
        <w:t xml:space="preserve"> sont </w:t>
      </w:r>
      <w:proofErr w:type="spellStart"/>
      <w:r w:rsidRPr="00CC2AAC">
        <w:rPr>
          <w:color w:val="333333"/>
          <w:lang w:val="fr-FR"/>
        </w:rPr>
        <w:t>tenu·e·s</w:t>
      </w:r>
      <w:proofErr w:type="spellEnd"/>
      <w:r w:rsidRPr="00CC2AAC">
        <w:rPr>
          <w:color w:val="333333"/>
          <w:lang w:val="fr-FR"/>
        </w:rPr>
        <w:t xml:space="preserve"> de déclarer tout conflit d’intérêts réel, potentiel ou apparent au moment de la soumission. Un conflit d’intérêts comprend toute relation financière, professionnelle ou personnelle susceptible de compromettre — ou d’être perçue comme compromettant — l’indépendance ou l’objectivité de la recherche proposée. Cela inclut notamment : tout emploi, conseil ou relation de financement actuel ou récent avec l’OMS ou HRP ; des relations personnelles avec des membres du panel d’évaluation ; ou un intérêt financier direct dans les résultats de la recherche proposée.</w:t>
      </w:r>
    </w:p>
    <w:p w14:paraId="246E9BB9" w14:textId="421EDC89" w:rsidR="005F40DC" w:rsidRPr="00CC2AAC" w:rsidRDefault="00590F36" w:rsidP="008E4801">
      <w:pPr>
        <w:spacing w:before="60" w:after="120"/>
        <w:rPr>
          <w:color w:val="333333"/>
          <w:lang w:val="fr-FR"/>
        </w:rPr>
      </w:pPr>
      <w:r w:rsidRPr="00CC2AAC">
        <w:rPr>
          <w:color w:val="333333"/>
          <w:lang w:val="fr-FR"/>
        </w:rPr>
        <w:t>Un formulaire de déclaration de conflit d’intérêts est disponible sur le site web de HRP où cet appel a été publié. La divulgation d’un conflit d’intérêts ne disqualifie pas nécessairement une proposition ; les déclarations seront évaluées par l’OMS/HRP afin de déterminer si l’intérêt déclaré est gérable et si des mesures de protection sont nécessaires. Le fait de ne pas divulguer un conflit d’intérêts pertinent peut entraîner une disqualification.</w:t>
      </w:r>
    </w:p>
    <w:p w14:paraId="57C98935" w14:textId="77777777" w:rsidR="00BB64DB" w:rsidRPr="00CC2AAC" w:rsidRDefault="00BB64DB" w:rsidP="008E4801">
      <w:pPr>
        <w:spacing w:before="60" w:after="120"/>
        <w:rPr>
          <w:lang w:val="fr-FR"/>
        </w:rPr>
      </w:pPr>
    </w:p>
    <w:p w14:paraId="48910380" w14:textId="5C7D193A" w:rsidR="005F40DC" w:rsidRPr="00CC2AAC" w:rsidRDefault="00590F36" w:rsidP="008E4801">
      <w:pPr>
        <w:pStyle w:val="Heading1"/>
        <w:rPr>
          <w:lang w:val="fr-FR"/>
        </w:rPr>
      </w:pPr>
      <w:r w:rsidRPr="00CC2AAC">
        <w:rPr>
          <w:lang w:val="fr-FR"/>
        </w:rPr>
        <w:t>6. Critères d’évaluation et de sélection</w:t>
      </w:r>
    </w:p>
    <w:p w14:paraId="1E37C33B" w14:textId="0550170F" w:rsidR="002837E0" w:rsidRPr="00CC2AAC" w:rsidRDefault="002837E0" w:rsidP="008E4801">
      <w:pPr>
        <w:spacing w:before="60" w:after="120"/>
        <w:rPr>
          <w:lang w:val="fr-FR"/>
        </w:rPr>
      </w:pPr>
      <w:r w:rsidRPr="00CC2AAC">
        <w:rPr>
          <w:color w:val="333333"/>
          <w:lang w:val="fr-FR"/>
        </w:rPr>
        <w:t>HRP cherche à sélectionner jusqu’à six équipes de recherche, avec un maximum d’une équipe par pays éligible et dans le but d’assurer une représentation dans les six régions de l’OMS (Région africaine, Région des Amériques, Région de la Méditerranée orientale, Région européenne, Région de l’Asie du Sud-Est et Région du Pacifique occidental)</w:t>
      </w:r>
      <w:r w:rsidR="00D7273B" w:rsidRPr="00CC2AAC">
        <w:rPr>
          <w:rStyle w:val="FootnoteReference"/>
          <w:color w:val="333333"/>
          <w:lang w:val="fr-FR"/>
        </w:rPr>
        <w:footnoteReference w:id="3"/>
      </w:r>
      <w:r w:rsidRPr="00CC2AAC">
        <w:rPr>
          <w:color w:val="333333"/>
          <w:lang w:val="fr-FR"/>
        </w:rPr>
        <w:t>.</w:t>
      </w:r>
    </w:p>
    <w:p w14:paraId="7E4015F8" w14:textId="37D5BF14" w:rsidR="005F40DC" w:rsidRPr="00CC2AAC" w:rsidRDefault="00590F36" w:rsidP="008E4801">
      <w:pPr>
        <w:spacing w:before="60" w:after="120"/>
        <w:rPr>
          <w:lang w:val="fr-FR"/>
        </w:rPr>
      </w:pPr>
      <w:r w:rsidRPr="00CC2AAC">
        <w:rPr>
          <w:color w:val="333333"/>
          <w:lang w:val="fr-FR"/>
        </w:rPr>
        <w:t xml:space="preserve">Toutes les propositions feront l’objet d’une vérification initiale d’éligibilité par le personnel de l’OMS/HRP. Les propositions satisfaisant aux critères d’éligibilité seront évaluées par un panel d’examen multidisciplinaire composé de membres </w:t>
      </w:r>
      <w:proofErr w:type="spellStart"/>
      <w:r w:rsidR="00AE647B" w:rsidRPr="00CC2AAC">
        <w:rPr>
          <w:color w:val="333333"/>
          <w:lang w:val="fr-FR"/>
        </w:rPr>
        <w:t>selectioné</w:t>
      </w:r>
      <w:r w:rsidR="00E46D64" w:rsidRPr="00CC2AAC">
        <w:rPr>
          <w:color w:val="333333"/>
          <w:lang w:val="fr-FR"/>
        </w:rPr>
        <w:t>·e·s</w:t>
      </w:r>
      <w:proofErr w:type="spellEnd"/>
      <w:r w:rsidR="00E46D64" w:rsidRPr="00CC2AAC">
        <w:rPr>
          <w:color w:val="333333"/>
          <w:lang w:val="fr-FR"/>
        </w:rPr>
        <w:t xml:space="preserve"> par</w:t>
      </w:r>
      <w:r w:rsidRPr="00CC2AAC">
        <w:rPr>
          <w:color w:val="333333"/>
          <w:lang w:val="fr-FR"/>
        </w:rPr>
        <w:t xml:space="preserve"> personnel de l’OMS/HRP.</w:t>
      </w:r>
    </w:p>
    <w:p w14:paraId="7B97CE71" w14:textId="106052C5" w:rsidR="005F40DC" w:rsidRPr="00CC2AAC" w:rsidRDefault="00590F36" w:rsidP="008E4801">
      <w:pPr>
        <w:spacing w:before="60" w:after="120"/>
        <w:rPr>
          <w:lang w:val="fr-FR"/>
        </w:rPr>
      </w:pPr>
      <w:r w:rsidRPr="00CC2AAC">
        <w:rPr>
          <w:color w:val="333333"/>
          <w:lang w:val="fr-FR"/>
        </w:rPr>
        <w:t>Les propositions seront évaluées selon les critères suivants. Chaque critère est évalué s</w:t>
      </w:r>
      <w:r w:rsidR="00971B50">
        <w:rPr>
          <w:color w:val="333333"/>
          <w:lang w:val="fr-FR"/>
        </w:rPr>
        <w:t>elon la table ci-dessous</w:t>
      </w:r>
      <w:r w:rsidR="00A021A4">
        <w:rPr>
          <w:color w:val="333333"/>
          <w:lang w:val="fr-FR"/>
        </w:rPr>
        <w:t xml:space="preserve"> avec un </w:t>
      </w:r>
      <w:r w:rsidRPr="00CC2AAC">
        <w:rPr>
          <w:color w:val="333333"/>
          <w:lang w:val="fr-FR"/>
        </w:rPr>
        <w:t>score maximum possible</w:t>
      </w:r>
      <w:r w:rsidR="00E46D64" w:rsidRPr="00CC2AAC">
        <w:rPr>
          <w:color w:val="333333"/>
          <w:lang w:val="fr-FR"/>
        </w:rPr>
        <w:t xml:space="preserve"> </w:t>
      </w:r>
      <w:r w:rsidRPr="00CC2AAC">
        <w:rPr>
          <w:color w:val="333333"/>
          <w:lang w:val="fr-FR"/>
        </w:rPr>
        <w:t>de 100 points.</w:t>
      </w:r>
    </w:p>
    <w:p w14:paraId="09D7AEEE" w14:textId="77777777" w:rsidR="005F40DC" w:rsidRPr="00CC2AAC" w:rsidRDefault="005F40DC" w:rsidP="008E4801">
      <w:pPr>
        <w:spacing w:after="120"/>
        <w:rP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1826"/>
      </w:tblGrid>
      <w:tr w:rsidR="0078037C" w:rsidRPr="00CC2AAC" w14:paraId="2937A46E" w14:textId="77777777" w:rsidTr="7D66A2A1">
        <w:trPr>
          <w:tblHeader/>
        </w:trPr>
        <w:tc>
          <w:tcPr>
            <w:tcW w:w="7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006BB6"/>
            <w:tcMar>
              <w:top w:w="100" w:type="dxa"/>
              <w:left w:w="140" w:type="dxa"/>
              <w:bottom w:w="100" w:type="dxa"/>
              <w:right w:w="140" w:type="dxa"/>
            </w:tcMar>
          </w:tcPr>
          <w:p w14:paraId="08F969ED" w14:textId="77777777" w:rsidR="002F621D" w:rsidRPr="00CC2AAC" w:rsidRDefault="002F621D" w:rsidP="008E4801">
            <w:pPr>
              <w:spacing w:after="120"/>
              <w:rPr>
                <w:lang w:val="fr-FR"/>
              </w:rPr>
            </w:pPr>
            <w:r w:rsidRPr="00CC2AAC">
              <w:rPr>
                <w:b/>
                <w:bCs/>
                <w:color w:val="FFFFFF"/>
                <w:lang w:val="fr-FR"/>
              </w:rPr>
              <w:t>Critère</w:t>
            </w:r>
          </w:p>
        </w:tc>
        <w:tc>
          <w:tcPr>
            <w:tcW w:w="1826"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006BB6"/>
            <w:tcMar>
              <w:top w:w="100" w:type="dxa"/>
              <w:left w:w="140" w:type="dxa"/>
              <w:bottom w:w="100" w:type="dxa"/>
              <w:right w:w="140" w:type="dxa"/>
            </w:tcMar>
          </w:tcPr>
          <w:p w14:paraId="63615CF2" w14:textId="77777777" w:rsidR="002F621D" w:rsidRPr="00CC2AAC" w:rsidRDefault="002F621D" w:rsidP="008E4801">
            <w:pPr>
              <w:spacing w:after="120"/>
              <w:jc w:val="center"/>
              <w:rPr>
                <w:lang w:val="fr-FR"/>
              </w:rPr>
            </w:pPr>
            <w:r w:rsidRPr="00CC2AAC">
              <w:rPr>
                <w:b/>
                <w:bCs/>
                <w:color w:val="FFFFFF" w:themeColor="background1"/>
                <w:lang w:val="fr-FR"/>
              </w:rPr>
              <w:t>Score maximum</w:t>
            </w:r>
          </w:p>
        </w:tc>
      </w:tr>
      <w:tr w:rsidR="0078037C" w:rsidRPr="00CC2AAC" w14:paraId="34143C8E"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56ABD4BE" w14:textId="697D236B" w:rsidR="002F621D" w:rsidRPr="00CC2AAC" w:rsidRDefault="002F621D" w:rsidP="008E4801">
            <w:pPr>
              <w:spacing w:after="120"/>
              <w:rPr>
                <w:lang w:val="fr-FR"/>
              </w:rPr>
            </w:pPr>
            <w:r w:rsidRPr="00CC2AAC">
              <w:rPr>
                <w:b/>
                <w:bCs/>
                <w:color w:val="333333"/>
                <w:lang w:val="fr-FR"/>
              </w:rPr>
              <w:t xml:space="preserve">1. Vision de recherche et mérite scientifique : </w:t>
            </w:r>
            <w:r w:rsidRPr="00CC2AAC">
              <w:rPr>
                <w:color w:val="333333"/>
                <w:lang w:val="fr-FR"/>
              </w:rPr>
              <w:t>Clarté de la vision de recherche et de son ancrage contextuel ; pertinence par rapport à la question prioritaire sélectionnée et aux lacunes dans les preuves locales ; cohérence de l’approche participative et des méthodes mixtes proposées ; potentiel de générer des preuves pouvant éclairer la politique et la pratique.</w:t>
            </w:r>
          </w:p>
        </w:tc>
        <w:tc>
          <w:tcPr>
            <w:tcW w:w="1826"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190D737D" w14:textId="666C5858" w:rsidR="002F621D" w:rsidRPr="00CC2AAC" w:rsidRDefault="002D7CA5" w:rsidP="008E4801">
            <w:pPr>
              <w:spacing w:after="120"/>
              <w:jc w:val="center"/>
              <w:rPr>
                <w:lang w:val="fr-FR"/>
              </w:rPr>
            </w:pPr>
            <w:r w:rsidRPr="00CC2AAC">
              <w:rPr>
                <w:b/>
                <w:bCs/>
                <w:color w:val="333333"/>
                <w:lang w:val="fr-FR"/>
              </w:rPr>
              <w:t>3</w:t>
            </w:r>
            <w:r w:rsidR="002F621D" w:rsidRPr="00CC2AAC">
              <w:rPr>
                <w:b/>
                <w:bCs/>
                <w:color w:val="333333"/>
                <w:lang w:val="fr-FR"/>
              </w:rPr>
              <w:t>5</w:t>
            </w:r>
          </w:p>
        </w:tc>
      </w:tr>
      <w:tr w:rsidR="0078037C" w:rsidRPr="00CC2AAC" w14:paraId="584C8314"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0763EBA1" w14:textId="5B3D8C6D" w:rsidR="002F621D" w:rsidRPr="00CC2AAC" w:rsidRDefault="002F621D" w:rsidP="008E4801">
            <w:pPr>
              <w:spacing w:after="120"/>
              <w:rPr>
                <w:lang w:val="fr-FR"/>
              </w:rPr>
            </w:pPr>
            <w:r w:rsidRPr="00CC2AAC">
              <w:rPr>
                <w:b/>
                <w:bCs/>
                <w:color w:val="333333"/>
                <w:lang w:val="fr-FR"/>
              </w:rPr>
              <w:t xml:space="preserve">2. Partenariat communautaire et approche participative : </w:t>
            </w:r>
            <w:r w:rsidRPr="00CC2AAC">
              <w:rPr>
                <w:color w:val="333333"/>
                <w:lang w:val="fr-FR"/>
              </w:rPr>
              <w:t xml:space="preserve">Profondeur et authenticité de l’implication communautaire ; mesure dans laquelle les communautés sont positionnées comme </w:t>
            </w:r>
            <w:proofErr w:type="spellStart"/>
            <w:r w:rsidRPr="00CC2AAC">
              <w:rPr>
                <w:color w:val="333333"/>
                <w:lang w:val="fr-FR"/>
              </w:rPr>
              <w:t>co-chercheur·euse·s</w:t>
            </w:r>
            <w:proofErr w:type="spellEnd"/>
            <w:r w:rsidRPr="00CC2AAC">
              <w:rPr>
                <w:color w:val="333333"/>
                <w:lang w:val="fr-FR"/>
              </w:rPr>
              <w:t> ; clarté de la gouvernance participative ; attention portée aux dynamiques de pouvoir et à l’éthique de la participation.</w:t>
            </w:r>
          </w:p>
        </w:tc>
        <w:tc>
          <w:tcPr>
            <w:tcW w:w="182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1F534360" w14:textId="4C389D94" w:rsidR="002F621D" w:rsidRPr="00CC2AAC" w:rsidRDefault="00930859" w:rsidP="008E4801">
            <w:pPr>
              <w:spacing w:after="120"/>
              <w:jc w:val="center"/>
              <w:rPr>
                <w:lang w:val="fr-FR"/>
              </w:rPr>
            </w:pPr>
            <w:r w:rsidRPr="00CC2AAC">
              <w:rPr>
                <w:b/>
                <w:bCs/>
                <w:color w:val="333333"/>
                <w:lang w:val="fr-FR"/>
              </w:rPr>
              <w:t>25</w:t>
            </w:r>
          </w:p>
        </w:tc>
      </w:tr>
      <w:tr w:rsidR="0078037C" w:rsidRPr="00CC2AAC" w14:paraId="5ABA8929"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0A4D81DE" w14:textId="41593FDF" w:rsidR="002F621D" w:rsidRPr="00CC2AAC" w:rsidRDefault="002F621D" w:rsidP="008E4801">
            <w:pPr>
              <w:spacing w:after="120"/>
              <w:rPr>
                <w:lang w:val="fr-FR"/>
              </w:rPr>
            </w:pPr>
            <w:r w:rsidRPr="00CC2AAC">
              <w:rPr>
                <w:b/>
                <w:bCs/>
                <w:color w:val="333333"/>
                <w:lang w:val="fr-FR"/>
              </w:rPr>
              <w:t xml:space="preserve">3. Composition de l’équipe, faisabilité et budget : </w:t>
            </w:r>
            <w:r w:rsidRPr="00CC2AAC">
              <w:rPr>
                <w:color w:val="333333"/>
                <w:lang w:val="fr-FR"/>
              </w:rPr>
              <w:t>Expertise pertinente en recherche participative et en méthodes mixtes ; capacité institutionnelle et expérience ; réalisme de l’approche proposée compte tenu du contexte et des ressources ; pertinence et rapport coût-efficacité du budget.</w:t>
            </w:r>
          </w:p>
        </w:tc>
        <w:tc>
          <w:tcPr>
            <w:tcW w:w="1826"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5A7BCED4" w14:textId="044E7071" w:rsidR="002F621D" w:rsidRPr="00CC2AAC" w:rsidRDefault="002D7CA5" w:rsidP="008E4801">
            <w:pPr>
              <w:spacing w:after="120"/>
              <w:jc w:val="center"/>
              <w:rPr>
                <w:lang w:val="fr-FR"/>
              </w:rPr>
            </w:pPr>
            <w:r w:rsidRPr="00CC2AAC">
              <w:rPr>
                <w:b/>
                <w:bCs/>
                <w:color w:val="333333"/>
                <w:lang w:val="fr-FR"/>
              </w:rPr>
              <w:t>2</w:t>
            </w:r>
            <w:r w:rsidR="00930859" w:rsidRPr="00CC2AAC">
              <w:rPr>
                <w:b/>
                <w:bCs/>
                <w:color w:val="333333"/>
                <w:lang w:val="fr-FR"/>
              </w:rPr>
              <w:t>0</w:t>
            </w:r>
          </w:p>
        </w:tc>
      </w:tr>
      <w:tr w:rsidR="0078037C" w:rsidRPr="00CC2AAC" w14:paraId="596682D3"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412CC42F" w14:textId="47C245BA" w:rsidR="002F621D" w:rsidRPr="00CC2AAC" w:rsidRDefault="002F621D" w:rsidP="008E4801">
            <w:pPr>
              <w:spacing w:after="120"/>
              <w:rPr>
                <w:lang w:val="fr-FR"/>
              </w:rPr>
            </w:pPr>
            <w:r w:rsidRPr="00CC2AAC">
              <w:rPr>
                <w:b/>
                <w:bCs/>
                <w:color w:val="333333"/>
                <w:lang w:val="fr-FR"/>
              </w:rPr>
              <w:t xml:space="preserve">4. Droits humains, intersectionnalité et renforcement des capacités de recherche : </w:t>
            </w:r>
            <w:r w:rsidRPr="00CC2AAC">
              <w:rPr>
                <w:color w:val="333333"/>
                <w:lang w:val="fr-FR"/>
              </w:rPr>
              <w:t xml:space="preserve">Application d’un cadre de droits humains ; utilisation d’une </w:t>
            </w:r>
            <w:r w:rsidRPr="00CC2AAC">
              <w:rPr>
                <w:color w:val="333333"/>
                <w:lang w:val="fr-FR"/>
              </w:rPr>
              <w:lastRenderedPageBreak/>
              <w:t xml:space="preserve">approche intersectionnelle dans la conception et l’analyse ; inclusion de </w:t>
            </w:r>
            <w:proofErr w:type="spellStart"/>
            <w:r w:rsidRPr="00CC2AAC">
              <w:rPr>
                <w:color w:val="333333"/>
                <w:lang w:val="fr-FR"/>
              </w:rPr>
              <w:t>chercheur·euse·s</w:t>
            </w:r>
            <w:proofErr w:type="spellEnd"/>
            <w:r w:rsidRPr="00CC2AAC">
              <w:rPr>
                <w:color w:val="333333"/>
                <w:lang w:val="fr-FR"/>
              </w:rPr>
              <w:t xml:space="preserve"> en début de carrière ; plans de renforcement des capacités de recherche locales.</w:t>
            </w:r>
          </w:p>
        </w:tc>
        <w:tc>
          <w:tcPr>
            <w:tcW w:w="182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6D6F1431" w14:textId="0BBB45A0" w:rsidR="002F621D" w:rsidRPr="00CC2AAC" w:rsidRDefault="00930859" w:rsidP="008E4801">
            <w:pPr>
              <w:spacing w:after="120"/>
              <w:jc w:val="center"/>
              <w:rPr>
                <w:b/>
                <w:bCs/>
                <w:lang w:val="fr-FR"/>
              </w:rPr>
            </w:pPr>
            <w:r w:rsidRPr="00CC2AAC">
              <w:rPr>
                <w:b/>
                <w:bCs/>
                <w:lang w:val="fr-FR"/>
              </w:rPr>
              <w:lastRenderedPageBreak/>
              <w:t>20</w:t>
            </w:r>
          </w:p>
        </w:tc>
      </w:tr>
      <w:tr w:rsidR="0078037C" w:rsidRPr="00CC2AAC" w14:paraId="1E8CF5AE"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D6E8F5"/>
            <w:tcMar>
              <w:top w:w="100" w:type="dxa"/>
              <w:left w:w="140" w:type="dxa"/>
              <w:bottom w:w="100" w:type="dxa"/>
              <w:right w:w="140" w:type="dxa"/>
            </w:tcMar>
          </w:tcPr>
          <w:p w14:paraId="395DF789" w14:textId="77777777" w:rsidR="002F621D" w:rsidRPr="00CC2AAC" w:rsidRDefault="002F621D" w:rsidP="008E4801">
            <w:pPr>
              <w:spacing w:after="120"/>
              <w:rPr>
                <w:lang w:val="fr-FR"/>
              </w:rPr>
            </w:pPr>
            <w:r w:rsidRPr="00CC2AAC">
              <w:rPr>
                <w:b/>
                <w:bCs/>
                <w:color w:val="333333"/>
                <w:lang w:val="fr-FR"/>
              </w:rPr>
              <w:t>TOTAL</w:t>
            </w:r>
          </w:p>
        </w:tc>
        <w:tc>
          <w:tcPr>
            <w:tcW w:w="1826" w:type="dxa"/>
            <w:tcBorders>
              <w:top w:val="single" w:sz="4" w:space="0" w:color="CCCCCC"/>
              <w:left w:val="single" w:sz="4" w:space="0" w:color="CCCCCC"/>
              <w:bottom w:val="single" w:sz="4" w:space="0" w:color="CCCCCC"/>
              <w:right w:val="single" w:sz="4" w:space="0" w:color="CCCCCC"/>
            </w:tcBorders>
            <w:shd w:val="clear" w:color="auto" w:fill="D6E8F5"/>
            <w:tcMar>
              <w:top w:w="100" w:type="dxa"/>
              <w:left w:w="140" w:type="dxa"/>
              <w:bottom w:w="100" w:type="dxa"/>
              <w:right w:w="140" w:type="dxa"/>
            </w:tcMar>
          </w:tcPr>
          <w:p w14:paraId="64EE21A0" w14:textId="77777777" w:rsidR="002F621D" w:rsidRPr="00CC2AAC" w:rsidRDefault="002F621D" w:rsidP="008E4801">
            <w:pPr>
              <w:spacing w:after="120"/>
              <w:jc w:val="center"/>
              <w:rPr>
                <w:lang w:val="fr-FR"/>
              </w:rPr>
            </w:pPr>
            <w:r w:rsidRPr="00CC2AAC">
              <w:rPr>
                <w:b/>
                <w:bCs/>
                <w:color w:val="333333"/>
                <w:lang w:val="fr-FR"/>
              </w:rPr>
              <w:t>100</w:t>
            </w:r>
          </w:p>
        </w:tc>
      </w:tr>
    </w:tbl>
    <w:p w14:paraId="71899403" w14:textId="77777777" w:rsidR="005F40DC" w:rsidRPr="00CC2AAC" w:rsidRDefault="005F40DC" w:rsidP="008E4801">
      <w:pPr>
        <w:spacing w:after="120"/>
        <w:rPr>
          <w:lang w:val="fr-FR"/>
        </w:rPr>
      </w:pPr>
    </w:p>
    <w:p w14:paraId="11AF25E9" w14:textId="77777777" w:rsidR="005F40DC" w:rsidRPr="00CC2AAC" w:rsidRDefault="00590F36" w:rsidP="008E4801">
      <w:pPr>
        <w:spacing w:before="60" w:after="120"/>
        <w:rPr>
          <w:lang w:val="fr-FR"/>
        </w:rPr>
      </w:pPr>
      <w:r w:rsidRPr="00CC2AAC">
        <w:rPr>
          <w:color w:val="333333"/>
          <w:lang w:val="fr-FR"/>
        </w:rPr>
        <w:t>En cas d’égalité de scores entre les propositions, la préférence sera donnée à la proposition qui contribue le mieux à l’équilibre régional entre les régions de l’OMS et à la représentation des communautés les plus touchées par le changement climatique.</w:t>
      </w:r>
    </w:p>
    <w:p w14:paraId="074E2860" w14:textId="77777777" w:rsidR="005F40DC" w:rsidRPr="00CC2AAC" w:rsidRDefault="005F40DC" w:rsidP="008E4801">
      <w:pPr>
        <w:spacing w:after="120"/>
        <w:rPr>
          <w:lang w:val="fr-FR"/>
        </w:rPr>
      </w:pPr>
    </w:p>
    <w:p w14:paraId="5C6F9E59" w14:textId="4565FCBB" w:rsidR="005F40DC" w:rsidRPr="00CC2AAC" w:rsidRDefault="00590F36" w:rsidP="008E4801">
      <w:pPr>
        <w:pStyle w:val="Heading1"/>
        <w:rPr>
          <w:lang w:val="fr-FR"/>
        </w:rPr>
      </w:pPr>
      <w:r w:rsidRPr="00CC2AAC">
        <w:rPr>
          <w:lang w:val="fr-FR"/>
        </w:rPr>
        <w:t>7. Orientations budgétaires</w:t>
      </w:r>
    </w:p>
    <w:p w14:paraId="411AB45E" w14:textId="342A3161" w:rsidR="005F40DC" w:rsidRPr="00CC2AAC" w:rsidRDefault="00590F36" w:rsidP="008E4801">
      <w:pPr>
        <w:spacing w:before="60" w:after="120"/>
        <w:rPr>
          <w:lang w:val="fr-FR"/>
        </w:rPr>
      </w:pPr>
      <w:r w:rsidRPr="00CC2AAC">
        <w:rPr>
          <w:color w:val="333333"/>
          <w:lang w:val="fr-FR"/>
        </w:rPr>
        <w:t xml:space="preserve">Chaque équipe sélectionnée recevra une subvention de recherche de l’OMS/HRP pour soutenir la mise en œuvre du protocole d’étude convenu. Le montant maximum de la subvention par équipe est de </w:t>
      </w:r>
      <w:r w:rsidRPr="00CC2AAC">
        <w:rPr>
          <w:b/>
          <w:bCs/>
          <w:color w:val="333333"/>
          <w:lang w:val="fr-FR"/>
        </w:rPr>
        <w:t>55</w:t>
      </w:r>
      <w:r w:rsidR="00F51E1B" w:rsidRPr="00CC2AAC">
        <w:rPr>
          <w:b/>
          <w:bCs/>
          <w:color w:val="333333"/>
          <w:lang w:val="fr-FR"/>
        </w:rPr>
        <w:t>’</w:t>
      </w:r>
      <w:r w:rsidRPr="00CC2AAC">
        <w:rPr>
          <w:b/>
          <w:bCs/>
          <w:color w:val="333333"/>
          <w:lang w:val="fr-FR"/>
        </w:rPr>
        <w:t>000 USD</w:t>
      </w:r>
      <w:r w:rsidRPr="00CC2AAC">
        <w:rPr>
          <w:color w:val="333333"/>
          <w:lang w:val="fr-FR"/>
        </w:rPr>
        <w:t xml:space="preserve"> pour toute la durée de l’étude. Les montants finals des subventions seront négociés avec les équipes sélectionnées après l’atelier de développement du protocole et seront proportionnels à la portée et au contexte du travail proposé. Les équipes doivent indiquer dans le formulaire de candidature si elles sont en mesure d’obtenir un financement complémentaire pour la mise en œuvre de l’étude.</w:t>
      </w:r>
    </w:p>
    <w:p w14:paraId="785AE0C8" w14:textId="03CB1093" w:rsidR="00BB64DB" w:rsidRPr="00CC2AAC" w:rsidRDefault="00590F36" w:rsidP="008E4801">
      <w:pPr>
        <w:spacing w:before="60" w:after="120"/>
        <w:rPr>
          <w:lang w:val="fr-FR"/>
        </w:rPr>
      </w:pPr>
      <w:r w:rsidRPr="00CC2AAC">
        <w:rPr>
          <w:color w:val="333333"/>
          <w:lang w:val="fr-FR"/>
        </w:rPr>
        <w:t>Les propositions doivent soumettre un budget détaillé et une justification budgétaire à l’aide du modèle fourni sur le site web de l’OMS/HRP où cet appel a été publié. Les budgets doivent refléter les activités prévues et les ressources nécessaires à leur mise en œuvre.</w:t>
      </w:r>
    </w:p>
    <w:p w14:paraId="143FA35C" w14:textId="516E4E11" w:rsidR="005F40DC" w:rsidRPr="00CC2AAC" w:rsidRDefault="00590F36" w:rsidP="008E4801">
      <w:pPr>
        <w:spacing w:before="60" w:after="120"/>
        <w:rPr>
          <w:lang w:val="fr-FR"/>
        </w:rPr>
      </w:pPr>
      <w:r w:rsidRPr="00CC2AAC">
        <w:rPr>
          <w:color w:val="333333"/>
          <w:lang w:val="fr-FR"/>
        </w:rPr>
        <w:t>Les catégories budgétaires éligibles comprennent :</w:t>
      </w:r>
    </w:p>
    <w:p w14:paraId="686ACC2C"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 xml:space="preserve">Coûts de personnel (temps du personnel de recherche, allocations et incitations pour </w:t>
      </w:r>
      <w:proofErr w:type="gramStart"/>
      <w:r w:rsidRPr="00CC2AAC">
        <w:rPr>
          <w:color w:val="333333"/>
          <w:lang w:val="fr-FR"/>
        </w:rPr>
        <w:t xml:space="preserve">les </w:t>
      </w:r>
      <w:proofErr w:type="spellStart"/>
      <w:r w:rsidRPr="00CC2AAC">
        <w:rPr>
          <w:color w:val="333333"/>
          <w:lang w:val="fr-FR"/>
        </w:rPr>
        <w:t>chercheur</w:t>
      </w:r>
      <w:proofErr w:type="gramEnd"/>
      <w:r w:rsidRPr="00CC2AAC">
        <w:rPr>
          <w:color w:val="333333"/>
          <w:lang w:val="fr-FR"/>
        </w:rPr>
        <w:t>·euse·s</w:t>
      </w:r>
      <w:proofErr w:type="spellEnd"/>
      <w:r w:rsidRPr="00CC2AAC">
        <w:rPr>
          <w:color w:val="333333"/>
          <w:lang w:val="fr-FR"/>
        </w:rPr>
        <w:t xml:space="preserve"> communautaires)</w:t>
      </w:r>
    </w:p>
    <w:p w14:paraId="6427A653"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Services et fournitures (matériaux de collecte de données, transcription, traduction et logiciels)</w:t>
      </w:r>
    </w:p>
    <w:p w14:paraId="60249F08"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Coûts liés aux participants (transport, garde d’enfants et autres coûts pour faciliter la participation communautaire)</w:t>
      </w:r>
    </w:p>
    <w:p w14:paraId="77F5F0C9" w14:textId="2A35191E" w:rsidR="005F40DC" w:rsidRPr="00CC2AAC" w:rsidRDefault="00590F36" w:rsidP="008E4801">
      <w:pPr>
        <w:pStyle w:val="ListParagraph"/>
        <w:numPr>
          <w:ilvl w:val="0"/>
          <w:numId w:val="3"/>
        </w:numPr>
        <w:spacing w:before="40" w:after="120"/>
        <w:rPr>
          <w:lang w:val="fr-FR"/>
        </w:rPr>
      </w:pPr>
      <w:r w:rsidRPr="00CC2AAC">
        <w:rPr>
          <w:color w:val="333333"/>
          <w:lang w:val="fr-FR"/>
        </w:rPr>
        <w:t>Voyages locaux et travail de terrain (pas de voyages internationaux)</w:t>
      </w:r>
    </w:p>
    <w:p w14:paraId="31234B07"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Activités de diffusion et de transfert des connaissances</w:t>
      </w:r>
    </w:p>
    <w:p w14:paraId="320216B2"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Coûts indirects (frais généraux institutionnels), jusqu’à un maximum de 13 % des coûts directs</w:t>
      </w:r>
    </w:p>
    <w:p w14:paraId="5EC51EC5" w14:textId="52056040" w:rsidR="005F40DC" w:rsidRPr="00CC2AAC" w:rsidRDefault="00590F36" w:rsidP="008E4801">
      <w:pPr>
        <w:spacing w:before="60" w:after="120"/>
        <w:rPr>
          <w:lang w:val="fr-FR"/>
        </w:rPr>
      </w:pPr>
      <w:r w:rsidRPr="00CC2AAC">
        <w:rPr>
          <w:color w:val="333333"/>
          <w:lang w:val="fr-FR"/>
        </w:rPr>
        <w:t>Les coûts non éligibles au remboursement comprennent : les voyages internationaux, les achats d’équipements dépassant 2</w:t>
      </w:r>
      <w:r w:rsidR="00F51E1B" w:rsidRPr="00CC2AAC">
        <w:rPr>
          <w:color w:val="333333"/>
          <w:lang w:val="fr-FR"/>
        </w:rPr>
        <w:t>’</w:t>
      </w:r>
      <w:r w:rsidRPr="00CC2AAC">
        <w:rPr>
          <w:color w:val="333333"/>
          <w:lang w:val="fr-FR"/>
        </w:rPr>
        <w:t>000 USD par article sans justification préalable, et les coûts engagés avant la signature de la convention de subvention. Pas plus de 15 % de la subvention totale ne peut être alloué à des institutions ou des personnes basées dans des pays à revenu élevé (tels que classés par la Banque mondiale</w:t>
      </w:r>
      <w:r w:rsidR="0035282B" w:rsidRPr="00CC2AAC">
        <w:rPr>
          <w:rStyle w:val="FootnoteReference"/>
          <w:color w:val="333333"/>
          <w:lang w:val="fr-FR"/>
        </w:rPr>
        <w:footnoteReference w:id="4"/>
      </w:r>
      <w:r w:rsidRPr="00CC2AAC">
        <w:rPr>
          <w:color w:val="333333"/>
          <w:lang w:val="fr-FR"/>
        </w:rPr>
        <w:t>). Cette restriction s’applique à l’ensemble du budget du projet, y compris tout arrangement de sous-traitance ou de conseil.</w:t>
      </w:r>
    </w:p>
    <w:p w14:paraId="191D4F12" w14:textId="5EE709E2" w:rsidR="005F40DC" w:rsidRPr="00CC2AAC" w:rsidRDefault="00590F36" w:rsidP="00100FC7">
      <w:pPr>
        <w:spacing w:before="60" w:after="120"/>
        <w:rPr>
          <w:color w:val="333333"/>
          <w:lang w:val="fr-FR"/>
        </w:rPr>
      </w:pPr>
      <w:r w:rsidRPr="00CC2AAC">
        <w:rPr>
          <w:color w:val="333333"/>
          <w:lang w:val="fr-FR"/>
        </w:rPr>
        <w:t>Toutes les équipes auront accès aux ressources de renforcement des capacités de recherche soutenues par l’OMS/HRP, notamment des logiciels d’analyse de données, des cours de formation et des outils, sans frais pour le budget du projet. Les frais de déplacement liés à l’atelier de développement du protocole seront couverts par l’OMS/HRP.</w:t>
      </w:r>
    </w:p>
    <w:p w14:paraId="40F6B90A" w14:textId="77777777" w:rsidR="00CE01B0" w:rsidRPr="00CC2AAC" w:rsidRDefault="00CE01B0" w:rsidP="00100FC7">
      <w:pPr>
        <w:spacing w:before="60" w:after="120"/>
        <w:rPr>
          <w:lang w:val="fr-FR"/>
        </w:rPr>
      </w:pPr>
    </w:p>
    <w:p w14:paraId="4363A48E" w14:textId="77777777" w:rsidR="00F51E1B" w:rsidRPr="00CC2AAC" w:rsidRDefault="00F51E1B" w:rsidP="00100FC7">
      <w:pPr>
        <w:spacing w:before="60" w:after="120"/>
        <w:rPr>
          <w:lang w:val="fr-FR"/>
        </w:rPr>
      </w:pPr>
    </w:p>
    <w:p w14:paraId="146F308C" w14:textId="5550A735" w:rsidR="005F40DC" w:rsidRPr="00CC2AAC" w:rsidRDefault="00590F36" w:rsidP="008E4801">
      <w:pPr>
        <w:pStyle w:val="Heading1"/>
        <w:rPr>
          <w:lang w:val="fr-FR"/>
        </w:rPr>
      </w:pPr>
      <w:r w:rsidRPr="00CC2AAC">
        <w:rPr>
          <w:lang w:val="fr-FR"/>
        </w:rPr>
        <w:lastRenderedPageBreak/>
        <w:t>8. Procédure de candidature</w:t>
      </w:r>
    </w:p>
    <w:p w14:paraId="08A61785" w14:textId="273355D8" w:rsidR="005F40DC" w:rsidRPr="00CC2AAC" w:rsidRDefault="00590F36" w:rsidP="008E4801">
      <w:pPr>
        <w:pStyle w:val="Heading2"/>
        <w:pBdr>
          <w:bottom w:val="single" w:sz="2" w:space="4" w:color="CCCCCC"/>
        </w:pBdr>
        <w:spacing w:after="120"/>
        <w:rPr>
          <w:lang w:val="fr-FR"/>
        </w:rPr>
      </w:pPr>
      <w:r w:rsidRPr="00CC2AAC">
        <w:rPr>
          <w:lang w:val="fr-FR"/>
        </w:rPr>
        <w:t>8.1 Comment soumettre une candidature</w:t>
      </w:r>
    </w:p>
    <w:p w14:paraId="66E106AE" w14:textId="7FE6DB1A" w:rsidR="005F40DC" w:rsidRPr="00CC2AAC" w:rsidRDefault="00590F36" w:rsidP="008E4801">
      <w:pPr>
        <w:spacing w:before="60" w:after="120"/>
        <w:rPr>
          <w:lang w:val="fr-FR"/>
        </w:rPr>
      </w:pPr>
      <w:r w:rsidRPr="00CC2AAC">
        <w:rPr>
          <w:color w:val="333333"/>
          <w:lang w:val="fr-FR"/>
        </w:rPr>
        <w:t xml:space="preserve">Les équipes intéressées doivent soumettre une proposition complète en utilisant le formulaire de candidature disponible </w:t>
      </w:r>
      <w:hyperlink r:id="rId12" w:history="1">
        <w:r w:rsidRPr="00CC2AAC">
          <w:rPr>
            <w:rStyle w:val="Hyperlink"/>
            <w:lang w:val="fr-FR"/>
          </w:rPr>
          <w:t>à ce lien</w:t>
        </w:r>
      </w:hyperlink>
      <w:r w:rsidRPr="00CC2AAC">
        <w:rPr>
          <w:color w:val="333333"/>
          <w:lang w:val="fr-FR"/>
        </w:rPr>
        <w:t xml:space="preserve">. Toutes les propositions doivent être soumises avant le </w:t>
      </w:r>
      <w:r w:rsidR="00E1514F" w:rsidRPr="0003663F">
        <w:rPr>
          <w:b/>
          <w:bCs/>
          <w:strike/>
          <w:color w:val="333333"/>
          <w:lang w:val="fr-FR"/>
        </w:rPr>
        <w:t>12</w:t>
      </w:r>
      <w:r w:rsidRPr="0003663F">
        <w:rPr>
          <w:b/>
          <w:bCs/>
          <w:strike/>
          <w:color w:val="333333"/>
          <w:lang w:val="fr-FR"/>
        </w:rPr>
        <w:t xml:space="preserve"> avril</w:t>
      </w:r>
      <w:r w:rsidRPr="00CC2AAC">
        <w:rPr>
          <w:b/>
          <w:bCs/>
          <w:color w:val="333333"/>
          <w:lang w:val="fr-FR"/>
        </w:rPr>
        <w:t xml:space="preserve"> </w:t>
      </w:r>
      <w:r w:rsidR="00FC714C" w:rsidRPr="00FC714C">
        <w:rPr>
          <w:b/>
          <w:bCs/>
          <w:color w:val="FF0000"/>
          <w:lang w:val="fr-FR"/>
        </w:rPr>
        <w:t xml:space="preserve">26 avril </w:t>
      </w:r>
      <w:r w:rsidRPr="00FC714C">
        <w:rPr>
          <w:b/>
          <w:bCs/>
          <w:color w:val="FF0000"/>
          <w:lang w:val="fr-FR"/>
        </w:rPr>
        <w:t>2026, 23 h 59 GMT+1</w:t>
      </w:r>
      <w:r w:rsidRPr="00CC2AAC">
        <w:rPr>
          <w:color w:val="333333"/>
          <w:lang w:val="fr-FR"/>
        </w:rPr>
        <w:t>, via la plateforme en ligne. Aucune soumission par courrier électronique ne sera acceptée. Les soumissions reçues après la date limite ne seront pas acceptées. Toutes les soumissions recevront un accusé de réception automatique du système</w:t>
      </w:r>
      <w:r w:rsidR="00932B50" w:rsidRPr="00CC2AAC">
        <w:rPr>
          <w:color w:val="333333"/>
          <w:lang w:val="fr-FR"/>
        </w:rPr>
        <w:t>.</w:t>
      </w:r>
    </w:p>
    <w:p w14:paraId="61CA3858" w14:textId="755FDC4E" w:rsidR="005F40DC" w:rsidRPr="00CC2AAC" w:rsidRDefault="00590F36" w:rsidP="008E4801">
      <w:pPr>
        <w:spacing w:before="60" w:after="120"/>
        <w:rPr>
          <w:color w:val="333333"/>
          <w:lang w:val="fr-FR"/>
        </w:rPr>
      </w:pPr>
      <w:r w:rsidRPr="00CC2AAC">
        <w:rPr>
          <w:color w:val="333333"/>
          <w:lang w:val="fr-FR"/>
        </w:rPr>
        <w:t xml:space="preserve">Tous les </w:t>
      </w:r>
      <w:proofErr w:type="spellStart"/>
      <w:r w:rsidRPr="00CC2AAC">
        <w:rPr>
          <w:color w:val="333333"/>
          <w:lang w:val="fr-FR"/>
        </w:rPr>
        <w:t>candidat·e·s</w:t>
      </w:r>
      <w:proofErr w:type="spellEnd"/>
      <w:r w:rsidRPr="00CC2AAC">
        <w:rPr>
          <w:color w:val="333333"/>
          <w:lang w:val="fr-FR"/>
        </w:rPr>
        <w:t xml:space="preserve"> recevront une réponse écrite confirmant si leur proposition a été sélectionnée ou non. Les notifications seront envoyées le </w:t>
      </w:r>
      <w:r w:rsidR="0003663F" w:rsidRPr="0003663F">
        <w:rPr>
          <w:b/>
          <w:bCs/>
          <w:color w:val="FF0000"/>
          <w:lang w:val="fr-FR"/>
        </w:rPr>
        <w:t>25 mai 2026</w:t>
      </w:r>
      <w:r w:rsidR="0003663F">
        <w:rPr>
          <w:color w:val="333333"/>
          <w:lang w:val="fr-FR"/>
        </w:rPr>
        <w:t xml:space="preserve"> </w:t>
      </w:r>
      <w:r w:rsidR="00E1514F" w:rsidRPr="0003663F">
        <w:rPr>
          <w:b/>
          <w:bCs/>
          <w:strike/>
          <w:color w:val="333333"/>
          <w:lang w:val="fr-FR"/>
        </w:rPr>
        <w:t>11</w:t>
      </w:r>
      <w:r w:rsidRPr="0003663F">
        <w:rPr>
          <w:b/>
          <w:bCs/>
          <w:strike/>
          <w:color w:val="333333"/>
          <w:lang w:val="fr-FR"/>
        </w:rPr>
        <w:t xml:space="preserve"> mai 2026</w:t>
      </w:r>
      <w:r w:rsidRPr="00CC2AAC">
        <w:rPr>
          <w:color w:val="333333"/>
          <w:lang w:val="fr-FR"/>
        </w:rPr>
        <w:t>. Les équipes dont les propositions ne sont pas sélectionnées seront également notifiées à cette date et, dans la mesure du possible, recevront un bref retour sur l’évaluation de leur proposition.</w:t>
      </w:r>
    </w:p>
    <w:p w14:paraId="40398DD0" w14:textId="77777777" w:rsidR="00155739" w:rsidRPr="00CC2AAC" w:rsidRDefault="00155739" w:rsidP="008E4801">
      <w:pPr>
        <w:spacing w:before="60" w:after="120"/>
        <w:rP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55464" w:rsidRPr="00006B82" w14:paraId="15876A23"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25E080D4" w14:textId="77777777" w:rsidR="005F40DC" w:rsidRPr="00CC2AAC" w:rsidRDefault="00590F36" w:rsidP="008E4801">
            <w:pPr>
              <w:spacing w:after="120"/>
              <w:rPr>
                <w:lang w:val="fr-FR"/>
              </w:rPr>
            </w:pPr>
            <w:r w:rsidRPr="00CC2AAC">
              <w:rPr>
                <w:b/>
                <w:bCs/>
                <w:color w:val="006BB6"/>
                <w:lang w:val="fr-FR"/>
              </w:rPr>
              <w:t>Important : les propositions sont des visions de recherche, pas des protocoles finaux</w:t>
            </w:r>
          </w:p>
          <w:p w14:paraId="30BB1E55" w14:textId="38630747" w:rsidR="005F40DC" w:rsidRPr="00CC2AAC" w:rsidRDefault="00590F36" w:rsidP="008E4801">
            <w:pPr>
              <w:spacing w:before="40" w:after="120"/>
              <w:rPr>
                <w:lang w:val="fr-FR"/>
              </w:rPr>
            </w:pPr>
            <w:r w:rsidRPr="00CC2AAC">
              <w:rPr>
                <w:color w:val="333333"/>
                <w:lang w:val="fr-FR"/>
              </w:rPr>
              <w:t xml:space="preserve">Les équipes sélectionnées développeront collectivement un protocole de recherche partagé unique lors de l’Atelier de développement du protocole (Section 4), tenu lors </w:t>
            </w:r>
            <w:r w:rsidR="000E10E8" w:rsidRPr="00CC2AAC">
              <w:rPr>
                <w:color w:val="333333"/>
                <w:lang w:val="fr-FR"/>
              </w:rPr>
              <w:t>d’une</w:t>
            </w:r>
            <w:r w:rsidRPr="00CC2AAC">
              <w:rPr>
                <w:color w:val="333333"/>
                <w:lang w:val="fr-FR"/>
              </w:rPr>
              <w:t xml:space="preserve"> semaine </w:t>
            </w:r>
            <w:r w:rsidR="00606494">
              <w:rPr>
                <w:color w:val="333333"/>
                <w:lang w:val="fr-FR"/>
              </w:rPr>
              <w:t xml:space="preserve">en </w:t>
            </w:r>
            <w:r w:rsidR="007068A9" w:rsidRPr="00CC2AAC">
              <w:rPr>
                <w:color w:val="333333"/>
                <w:lang w:val="fr-FR"/>
              </w:rPr>
              <w:t>juillet</w:t>
            </w:r>
            <w:r w:rsidRPr="00CC2AAC">
              <w:rPr>
                <w:color w:val="333333"/>
                <w:lang w:val="fr-FR"/>
              </w:rPr>
              <w:t xml:space="preserve">. Les </w:t>
            </w:r>
            <w:proofErr w:type="spellStart"/>
            <w:r w:rsidRPr="00CC2AAC">
              <w:rPr>
                <w:color w:val="333333"/>
                <w:lang w:val="fr-FR"/>
              </w:rPr>
              <w:t>candidat·e·s</w:t>
            </w:r>
            <w:proofErr w:type="spellEnd"/>
            <w:r w:rsidRPr="00CC2AAC">
              <w:rPr>
                <w:color w:val="333333"/>
                <w:lang w:val="fr-FR"/>
              </w:rPr>
              <w:t xml:space="preserve"> doivent axer leur proposition sur la démonstration de l’aptitude de l’équipe, des partenariats communautaires et de la vision de recherche — et non sur la présentation d’une méthodologie entièrement finalisée.</w:t>
            </w:r>
          </w:p>
        </w:tc>
      </w:tr>
    </w:tbl>
    <w:p w14:paraId="06FF9098" w14:textId="77777777" w:rsidR="005F40DC" w:rsidRPr="00CC2AAC" w:rsidRDefault="005F40DC" w:rsidP="008E4801">
      <w:pPr>
        <w:spacing w:after="120"/>
        <w:rP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55464" w:rsidRPr="00006B82" w14:paraId="54FCB8E8" w14:textId="77777777">
        <w:tc>
          <w:tcPr>
            <w:tcW w:w="0" w:type="auto"/>
            <w:tcBorders>
              <w:top w:val="single" w:sz="4" w:space="0" w:color="006BB6"/>
              <w:left w:val="single" w:sz="12" w:space="0" w:color="006BB6"/>
              <w:bottom w:val="none" w:sz="0" w:space="0" w:color="FFFFFF"/>
              <w:right w:val="none" w:sz="0" w:space="0" w:color="FFFFFF"/>
            </w:tcBorders>
            <w:shd w:val="clear" w:color="auto" w:fill="EBF4FB"/>
            <w:tcMar>
              <w:top w:w="100" w:type="dxa"/>
              <w:left w:w="160" w:type="dxa"/>
              <w:bottom w:w="100" w:type="dxa"/>
              <w:right w:w="160" w:type="dxa"/>
            </w:tcMar>
          </w:tcPr>
          <w:p w14:paraId="155ABC76" w14:textId="03F07ECB" w:rsidR="005F40DC" w:rsidRPr="00CC2AAC" w:rsidRDefault="00590F36" w:rsidP="008E4801">
            <w:pPr>
              <w:spacing w:after="120"/>
              <w:rPr>
                <w:lang w:val="fr-FR"/>
              </w:rPr>
            </w:pPr>
            <w:r w:rsidRPr="00CC2AAC">
              <w:rPr>
                <w:b/>
                <w:bCs/>
                <w:color w:val="006BB6"/>
                <w:lang w:val="fr-FR"/>
              </w:rPr>
              <w:t xml:space="preserve">Langue de soumission : </w:t>
            </w:r>
            <w:r w:rsidRPr="00CC2AAC">
              <w:rPr>
                <w:color w:val="333333"/>
                <w:lang w:val="fr-FR"/>
              </w:rPr>
              <w:t xml:space="preserve">Les propositions peuvent être soumises en anglais, en français ou en espagnol. Le formulaire de candidature est disponible dans les </w:t>
            </w:r>
            <w:r w:rsidR="00905682" w:rsidRPr="00CC2AAC">
              <w:rPr>
                <w:color w:val="333333"/>
                <w:lang w:val="fr-FR"/>
              </w:rPr>
              <w:t>trois</w:t>
            </w:r>
            <w:r w:rsidRPr="00CC2AAC">
              <w:rPr>
                <w:color w:val="333333"/>
                <w:lang w:val="fr-FR"/>
              </w:rPr>
              <w:t xml:space="preserve"> langues.</w:t>
            </w:r>
          </w:p>
        </w:tc>
      </w:tr>
    </w:tbl>
    <w:p w14:paraId="7E4E8567" w14:textId="77777777" w:rsidR="005F40DC" w:rsidRPr="00CC2AAC" w:rsidRDefault="005F40DC" w:rsidP="008E4801">
      <w:pPr>
        <w:spacing w:after="120"/>
        <w:rPr>
          <w:lang w:val="fr-FR"/>
        </w:rPr>
      </w:pPr>
    </w:p>
    <w:p w14:paraId="696C1554" w14:textId="419A5057" w:rsidR="00100FC7" w:rsidRPr="00CC2AAC" w:rsidRDefault="00100FC7" w:rsidP="00100FC7">
      <w:pPr>
        <w:spacing w:before="40" w:after="120"/>
        <w:rPr>
          <w:color w:val="333333"/>
          <w:lang w:val="fr-FR"/>
        </w:rPr>
      </w:pPr>
      <w:r w:rsidRPr="00CC2AAC">
        <w:rPr>
          <w:color w:val="333333"/>
          <w:lang w:val="fr-FR"/>
        </w:rPr>
        <w:t xml:space="preserve">La proposition complète doit être soumise via la plateforme en ligne. La plateforme comprend le formulaire de candidature (Parties I à </w:t>
      </w:r>
      <w:r w:rsidR="00087FB3" w:rsidRPr="00CC2AAC">
        <w:rPr>
          <w:color w:val="333333"/>
          <w:lang w:val="fr-FR"/>
        </w:rPr>
        <w:t>I</w:t>
      </w:r>
      <w:r w:rsidRPr="00CC2AAC">
        <w:rPr>
          <w:color w:val="333333"/>
          <w:lang w:val="fr-FR"/>
        </w:rPr>
        <w:t xml:space="preserve">V), qui couvre toutes les sections de la proposition, y compris la confirmation provisoire de l’approbation institutionnelle. En outre, les documents suivants </w:t>
      </w:r>
      <w:r w:rsidRPr="00CC2AAC">
        <w:rPr>
          <w:color w:val="333333"/>
          <w:u w:val="single"/>
          <w:lang w:val="fr-FR"/>
        </w:rPr>
        <w:t>doivent être téléversés directement sur la plateforme</w:t>
      </w:r>
      <w:r w:rsidRPr="00CC2AAC">
        <w:rPr>
          <w:color w:val="333333"/>
          <w:lang w:val="fr-FR"/>
        </w:rPr>
        <w:t xml:space="preserve"> avant la soumission :</w:t>
      </w:r>
    </w:p>
    <w:p w14:paraId="786689EE" w14:textId="4A457E28" w:rsidR="00100FC7" w:rsidRPr="00CC2AAC" w:rsidRDefault="00100FC7" w:rsidP="00100FC7">
      <w:pPr>
        <w:pStyle w:val="ListParagraph"/>
        <w:numPr>
          <w:ilvl w:val="0"/>
          <w:numId w:val="3"/>
        </w:numPr>
        <w:spacing w:before="40" w:after="120"/>
        <w:rPr>
          <w:color w:val="333333"/>
          <w:lang w:val="fr-FR"/>
        </w:rPr>
      </w:pPr>
      <w:r w:rsidRPr="00CC2AAC">
        <w:rPr>
          <w:i/>
          <w:iCs/>
          <w:color w:val="333333"/>
          <w:u w:val="single"/>
          <w:lang w:val="fr-FR"/>
        </w:rPr>
        <w:t>Budget</w:t>
      </w:r>
      <w:r w:rsidRPr="00CC2AAC">
        <w:rPr>
          <w:color w:val="333333"/>
          <w:lang w:val="fr-FR"/>
        </w:rPr>
        <w:t xml:space="preserve"> : </w:t>
      </w:r>
      <w:r w:rsidR="000E3666" w:rsidRPr="00CC2AAC">
        <w:rPr>
          <w:color w:val="333333"/>
          <w:lang w:val="fr-FR"/>
        </w:rPr>
        <w:t xml:space="preserve">un budget pour la mise en œuvre du projet </w:t>
      </w:r>
      <w:r w:rsidR="0015455F" w:rsidRPr="00CC2AAC">
        <w:rPr>
          <w:color w:val="333333"/>
          <w:lang w:val="fr-FR"/>
        </w:rPr>
        <w:t>en utilisant</w:t>
      </w:r>
      <w:r w:rsidRPr="00CC2AAC">
        <w:rPr>
          <w:color w:val="333333"/>
          <w:lang w:val="fr-FR"/>
        </w:rPr>
        <w:t xml:space="preserve"> le modèle Excel </w:t>
      </w:r>
      <w:r w:rsidR="0015455F" w:rsidRPr="00CC2AAC">
        <w:rPr>
          <w:color w:val="333333"/>
          <w:lang w:val="fr-FR"/>
        </w:rPr>
        <w:t>fourni sur le site web de l’OMS/HRP</w:t>
      </w:r>
      <w:r w:rsidRPr="00CC2AAC">
        <w:rPr>
          <w:color w:val="333333"/>
          <w:lang w:val="fr-FR"/>
        </w:rPr>
        <w:t>.</w:t>
      </w:r>
    </w:p>
    <w:p w14:paraId="10C6785C" w14:textId="2FF9B6A7" w:rsidR="00100FC7" w:rsidRPr="00CC2AAC" w:rsidRDefault="00100FC7" w:rsidP="00100FC7">
      <w:pPr>
        <w:pStyle w:val="ListParagraph"/>
        <w:numPr>
          <w:ilvl w:val="0"/>
          <w:numId w:val="3"/>
        </w:numPr>
        <w:spacing w:before="40" w:after="120"/>
        <w:rPr>
          <w:color w:val="333333"/>
          <w:lang w:val="fr-FR"/>
        </w:rPr>
      </w:pPr>
      <w:r w:rsidRPr="00CC2AAC">
        <w:rPr>
          <w:i/>
          <w:iCs/>
          <w:color w:val="333333"/>
          <w:u w:val="single"/>
          <w:lang w:val="fr-FR"/>
        </w:rPr>
        <w:t>CV</w:t>
      </w:r>
      <w:r w:rsidRPr="00CC2AAC">
        <w:rPr>
          <w:color w:val="333333"/>
          <w:lang w:val="fr-FR"/>
        </w:rPr>
        <w:t xml:space="preserve"> : </w:t>
      </w:r>
      <w:r w:rsidR="0015455F" w:rsidRPr="00CC2AAC">
        <w:rPr>
          <w:color w:val="333333"/>
          <w:lang w:val="fr-FR"/>
        </w:rPr>
        <w:t>un</w:t>
      </w:r>
      <w:r w:rsidR="00E044E9" w:rsidRPr="00CC2AAC">
        <w:rPr>
          <w:color w:val="333333"/>
          <w:lang w:val="fr-FR"/>
        </w:rPr>
        <w:t xml:space="preserve"> court</w:t>
      </w:r>
      <w:r w:rsidRPr="00CC2AAC">
        <w:rPr>
          <w:color w:val="333333"/>
          <w:lang w:val="fr-FR"/>
        </w:rPr>
        <w:t xml:space="preserve"> CV pour l’</w:t>
      </w:r>
      <w:proofErr w:type="spellStart"/>
      <w:r w:rsidRPr="00CC2AAC">
        <w:rPr>
          <w:color w:val="333333"/>
          <w:lang w:val="fr-FR"/>
        </w:rPr>
        <w:t>investigateur·rice</w:t>
      </w:r>
      <w:proofErr w:type="spellEnd"/>
      <w:r w:rsidRPr="00CC2AAC">
        <w:rPr>
          <w:color w:val="333333"/>
          <w:lang w:val="fr-FR"/>
        </w:rPr>
        <w:t xml:space="preserve"> </w:t>
      </w:r>
      <w:proofErr w:type="spellStart"/>
      <w:r w:rsidRPr="00CC2AAC">
        <w:rPr>
          <w:color w:val="333333"/>
          <w:lang w:val="fr-FR"/>
        </w:rPr>
        <w:t>principal·e</w:t>
      </w:r>
      <w:proofErr w:type="spellEnd"/>
      <w:r w:rsidRPr="00CC2AAC">
        <w:rPr>
          <w:color w:val="333333"/>
          <w:lang w:val="fr-FR"/>
        </w:rPr>
        <w:t xml:space="preserve"> et les membres clés de l’équipe, en utilisant le modèle fourni sur le site web de l’OMS/HRP.</w:t>
      </w:r>
    </w:p>
    <w:p w14:paraId="43D13B43" w14:textId="66FA4C6C" w:rsidR="005F40DC" w:rsidRPr="00CC2AAC" w:rsidRDefault="00100FC7" w:rsidP="00100FC7">
      <w:pPr>
        <w:pStyle w:val="ListParagraph"/>
        <w:numPr>
          <w:ilvl w:val="0"/>
          <w:numId w:val="3"/>
        </w:numPr>
        <w:spacing w:before="40" w:after="120"/>
        <w:rPr>
          <w:lang w:val="fr-FR"/>
        </w:rPr>
      </w:pPr>
      <w:r w:rsidRPr="00CC2AAC">
        <w:rPr>
          <w:i/>
          <w:iCs/>
          <w:color w:val="333333"/>
          <w:u w:val="single"/>
          <w:lang w:val="fr-FR"/>
        </w:rPr>
        <w:t>Déclaration de conflit d’intérêts</w:t>
      </w:r>
      <w:r w:rsidRPr="00CC2AAC">
        <w:rPr>
          <w:color w:val="333333"/>
          <w:lang w:val="fr-FR"/>
        </w:rPr>
        <w:t xml:space="preserve"> : </w:t>
      </w:r>
      <w:r w:rsidR="000E3666" w:rsidRPr="00CC2AAC">
        <w:rPr>
          <w:color w:val="333333"/>
          <w:lang w:val="fr-FR"/>
        </w:rPr>
        <w:t>un formulaire rempli</w:t>
      </w:r>
      <w:r w:rsidR="004B2E61" w:rsidRPr="00CC2AAC">
        <w:rPr>
          <w:color w:val="333333"/>
          <w:lang w:val="fr-FR"/>
        </w:rPr>
        <w:t xml:space="preserve"> pour l’</w:t>
      </w:r>
      <w:proofErr w:type="spellStart"/>
      <w:r w:rsidRPr="00CC2AAC">
        <w:rPr>
          <w:color w:val="333333"/>
          <w:lang w:val="fr-FR"/>
        </w:rPr>
        <w:t>investigateur·rice</w:t>
      </w:r>
      <w:proofErr w:type="spellEnd"/>
      <w:r w:rsidRPr="00CC2AAC">
        <w:rPr>
          <w:color w:val="333333"/>
          <w:lang w:val="fr-FR"/>
        </w:rPr>
        <w:t xml:space="preserve"> </w:t>
      </w:r>
      <w:proofErr w:type="spellStart"/>
      <w:r w:rsidRPr="00CC2AAC">
        <w:rPr>
          <w:color w:val="333333"/>
          <w:lang w:val="fr-FR"/>
        </w:rPr>
        <w:t>principal·e</w:t>
      </w:r>
      <w:proofErr w:type="spellEnd"/>
      <w:r w:rsidRPr="00CC2AAC">
        <w:rPr>
          <w:color w:val="333333"/>
          <w:lang w:val="fr-FR"/>
        </w:rPr>
        <w:t xml:space="preserve"> et </w:t>
      </w:r>
      <w:proofErr w:type="spellStart"/>
      <w:r w:rsidRPr="00CC2AAC">
        <w:rPr>
          <w:color w:val="333333"/>
          <w:lang w:val="fr-FR"/>
        </w:rPr>
        <w:t>co-investigateur·rice</w:t>
      </w:r>
      <w:proofErr w:type="spellEnd"/>
      <w:r w:rsidR="00F80E02">
        <w:rPr>
          <w:color w:val="333333"/>
          <w:lang w:val="fr-FR"/>
        </w:rPr>
        <w:t xml:space="preserve"> </w:t>
      </w:r>
      <w:r w:rsidR="004B2E61" w:rsidRPr="00CC2AAC">
        <w:rPr>
          <w:color w:val="333333"/>
          <w:lang w:val="fr-FR"/>
        </w:rPr>
        <w:t xml:space="preserve">en utilisant </w:t>
      </w:r>
      <w:r w:rsidR="000E3666" w:rsidRPr="00CC2AAC">
        <w:rPr>
          <w:color w:val="333333"/>
          <w:lang w:val="fr-FR"/>
        </w:rPr>
        <w:t>le modèle fourni sur le site web de l’OMS/HRP</w:t>
      </w:r>
      <w:r w:rsidRPr="00CC2AAC">
        <w:rPr>
          <w:color w:val="333333"/>
          <w:lang w:val="fr-FR"/>
        </w:rPr>
        <w:t>.</w:t>
      </w:r>
    </w:p>
    <w:p w14:paraId="6F2B8CA1" w14:textId="21AB18DD" w:rsidR="005F40DC" w:rsidRPr="00CC2AAC" w:rsidRDefault="00590F36" w:rsidP="008E4801">
      <w:pPr>
        <w:pStyle w:val="Heading2"/>
        <w:pBdr>
          <w:bottom w:val="single" w:sz="2" w:space="4" w:color="CCCCCC"/>
        </w:pBdr>
        <w:spacing w:after="120"/>
        <w:rPr>
          <w:lang w:val="fr-FR"/>
        </w:rPr>
      </w:pPr>
      <w:r w:rsidRPr="00CC2AAC">
        <w:rPr>
          <w:lang w:val="fr-FR"/>
        </w:rPr>
        <w:t>8.2 Questions et clarifications</w:t>
      </w:r>
    </w:p>
    <w:p w14:paraId="74BEF8B7" w14:textId="71C6E21A" w:rsidR="005F40DC" w:rsidRPr="00CC2AAC" w:rsidRDefault="00590F36" w:rsidP="008E4801">
      <w:pPr>
        <w:spacing w:before="60" w:after="120"/>
        <w:rPr>
          <w:lang w:val="fr-FR"/>
        </w:rPr>
      </w:pPr>
      <w:r w:rsidRPr="00CC2AAC">
        <w:rPr>
          <w:color w:val="333333"/>
          <w:lang w:val="fr-FR"/>
        </w:rPr>
        <w:t xml:space="preserve">Une période ouverte pour les questions se déroulera du </w:t>
      </w:r>
      <w:r w:rsidR="00E1514F">
        <w:rPr>
          <w:b/>
          <w:bCs/>
          <w:color w:val="333333"/>
          <w:lang w:val="fr-FR"/>
        </w:rPr>
        <w:t>1</w:t>
      </w:r>
      <w:r w:rsidR="00606494">
        <w:rPr>
          <w:b/>
          <w:bCs/>
          <w:color w:val="333333"/>
          <w:lang w:val="fr-FR"/>
        </w:rPr>
        <w:t>4</w:t>
      </w:r>
      <w:r w:rsidR="00865F23">
        <w:rPr>
          <w:b/>
          <w:bCs/>
          <w:color w:val="333333"/>
          <w:lang w:val="fr-FR"/>
        </w:rPr>
        <w:t xml:space="preserve"> mars au</w:t>
      </w:r>
      <w:r w:rsidRPr="00CC2AAC">
        <w:rPr>
          <w:b/>
          <w:bCs/>
          <w:color w:val="333333"/>
          <w:lang w:val="fr-FR"/>
        </w:rPr>
        <w:t xml:space="preserve"> </w:t>
      </w:r>
      <w:r w:rsidR="0003663F" w:rsidRPr="0003663F">
        <w:rPr>
          <w:b/>
          <w:bCs/>
          <w:color w:val="FF0000"/>
          <w:lang w:val="fr-FR"/>
        </w:rPr>
        <w:t>2</w:t>
      </w:r>
      <w:r w:rsidR="00C67BE6">
        <w:rPr>
          <w:b/>
          <w:bCs/>
          <w:color w:val="FF0000"/>
          <w:lang w:val="fr-FR"/>
        </w:rPr>
        <w:t>4</w:t>
      </w:r>
      <w:r w:rsidR="0003663F" w:rsidRPr="0003663F">
        <w:rPr>
          <w:b/>
          <w:bCs/>
          <w:color w:val="FF0000"/>
          <w:lang w:val="fr-FR"/>
        </w:rPr>
        <w:t xml:space="preserve"> avril</w:t>
      </w:r>
      <w:r w:rsidR="0003663F">
        <w:rPr>
          <w:b/>
          <w:bCs/>
          <w:color w:val="333333"/>
          <w:lang w:val="fr-FR"/>
        </w:rPr>
        <w:t xml:space="preserve"> </w:t>
      </w:r>
      <w:r w:rsidR="00E1514F" w:rsidRPr="0003663F">
        <w:rPr>
          <w:b/>
          <w:bCs/>
          <w:strike/>
          <w:color w:val="333333"/>
          <w:lang w:val="fr-FR"/>
        </w:rPr>
        <w:t>10</w:t>
      </w:r>
      <w:r w:rsidR="00865F23" w:rsidRPr="0003663F">
        <w:rPr>
          <w:b/>
          <w:bCs/>
          <w:strike/>
          <w:color w:val="333333"/>
          <w:lang w:val="fr-FR"/>
        </w:rPr>
        <w:t xml:space="preserve"> avril</w:t>
      </w:r>
      <w:r w:rsidR="00865F23">
        <w:rPr>
          <w:b/>
          <w:bCs/>
          <w:color w:val="333333"/>
          <w:lang w:val="fr-FR"/>
        </w:rPr>
        <w:t xml:space="preserve"> </w:t>
      </w:r>
      <w:r w:rsidRPr="00CC2AAC">
        <w:rPr>
          <w:b/>
          <w:bCs/>
          <w:color w:val="333333"/>
          <w:lang w:val="fr-FR"/>
        </w:rPr>
        <w:t>2026</w:t>
      </w:r>
      <w:r w:rsidRPr="00CC2AAC">
        <w:rPr>
          <w:color w:val="333333"/>
          <w:lang w:val="fr-FR"/>
        </w:rPr>
        <w:t xml:space="preserve">. Les questions doivent être envoyées par courrier électronique à </w:t>
      </w:r>
      <w:hyperlink r:id="rId13" w:history="1">
        <w:r w:rsidR="00A75E13" w:rsidRPr="00CC2AAC">
          <w:rPr>
            <w:rStyle w:val="Hyperlink"/>
            <w:lang w:val="fr-FR"/>
          </w:rPr>
          <w:t>srhmph@who.int</w:t>
        </w:r>
      </w:hyperlink>
      <w:r w:rsidR="00A75E13" w:rsidRPr="00CC2AAC">
        <w:rPr>
          <w:color w:val="333333"/>
          <w:lang w:val="fr-FR"/>
        </w:rPr>
        <w:t xml:space="preserve"> </w:t>
      </w:r>
      <w:r w:rsidRPr="00CC2AAC">
        <w:rPr>
          <w:color w:val="333333"/>
          <w:lang w:val="fr-FR"/>
        </w:rPr>
        <w:t>avec pour objet « </w:t>
      </w:r>
      <w:r w:rsidRPr="00CC2AAC">
        <w:rPr>
          <w:b/>
          <w:bCs/>
          <w:color w:val="333333"/>
          <w:lang w:val="fr-FR"/>
        </w:rPr>
        <w:t>SDSR-Climat &amp; SDSR – Question</w:t>
      </w:r>
      <w:r w:rsidRPr="00CC2AAC">
        <w:rPr>
          <w:color w:val="333333"/>
          <w:lang w:val="fr-FR"/>
        </w:rPr>
        <w:t xml:space="preserve"> ». Les réponses aux questions fréquemment posées seront publiées sur le site web de l’OMS/HRP et partagées avec tous les </w:t>
      </w:r>
      <w:proofErr w:type="spellStart"/>
      <w:r w:rsidRPr="00CC2AAC">
        <w:rPr>
          <w:color w:val="333333"/>
          <w:lang w:val="fr-FR"/>
        </w:rPr>
        <w:t>candidat·e·s</w:t>
      </w:r>
      <w:proofErr w:type="spellEnd"/>
      <w:r w:rsidRPr="00CC2AAC">
        <w:rPr>
          <w:color w:val="333333"/>
          <w:lang w:val="fr-FR"/>
        </w:rPr>
        <w:t xml:space="preserve">. Les réponses individuelles aux questions soumises après le </w:t>
      </w:r>
      <w:r w:rsidR="005E3480">
        <w:rPr>
          <w:color w:val="333333"/>
          <w:lang w:val="fr-FR"/>
        </w:rPr>
        <w:t>10 avril</w:t>
      </w:r>
      <w:r w:rsidRPr="00CC2AAC">
        <w:rPr>
          <w:color w:val="333333"/>
          <w:lang w:val="fr-FR"/>
        </w:rPr>
        <w:t xml:space="preserve"> 2026 ne peuvent pas être garanties.</w:t>
      </w:r>
      <w:r w:rsidR="00A75E13" w:rsidRPr="00CC2AAC">
        <w:rPr>
          <w:lang w:val="fr-FR"/>
        </w:rPr>
        <w:t xml:space="preserve"> </w:t>
      </w:r>
    </w:p>
    <w:p w14:paraId="3F928CBC" w14:textId="77777777" w:rsidR="00CE01B0" w:rsidRPr="00CC2AAC" w:rsidRDefault="00CE01B0" w:rsidP="008E4801">
      <w:pPr>
        <w:spacing w:before="60" w:after="120"/>
        <w:rPr>
          <w:lang w:val="fr-FR"/>
        </w:rPr>
      </w:pPr>
    </w:p>
    <w:p w14:paraId="59C65319" w14:textId="77777777" w:rsidR="0073514E" w:rsidRPr="00CC2AAC" w:rsidRDefault="0073514E">
      <w:pPr>
        <w:rPr>
          <w:b/>
          <w:bCs/>
          <w:color w:val="006BB6"/>
          <w:sz w:val="28"/>
          <w:szCs w:val="28"/>
          <w:lang w:val="fr-FR"/>
        </w:rPr>
      </w:pPr>
      <w:r w:rsidRPr="00CC2AAC">
        <w:rPr>
          <w:lang w:val="fr-FR"/>
        </w:rPr>
        <w:br w:type="page"/>
      </w:r>
    </w:p>
    <w:p w14:paraId="366BB82F" w14:textId="3CEC8C12" w:rsidR="005F40DC" w:rsidRPr="00CC2AAC" w:rsidRDefault="00590F36" w:rsidP="008E4801">
      <w:pPr>
        <w:pStyle w:val="Heading1"/>
        <w:rPr>
          <w:lang w:val="fr-FR"/>
        </w:rPr>
      </w:pPr>
      <w:r w:rsidRPr="00CC2AAC">
        <w:rPr>
          <w:lang w:val="fr-FR"/>
        </w:rPr>
        <w:lastRenderedPageBreak/>
        <w:t>9. Calendrier</w:t>
      </w:r>
    </w:p>
    <w:p w14:paraId="5D85A589" w14:textId="77777777" w:rsidR="005F40DC" w:rsidRPr="00CC2AAC" w:rsidRDefault="005F40DC" w:rsidP="008E4801">
      <w:pPr>
        <w:spacing w:after="120"/>
        <w:rP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8"/>
        <w:gridCol w:w="4348"/>
      </w:tblGrid>
      <w:tr w:rsidR="0078037C" w:rsidRPr="00CC2AAC" w14:paraId="4D3CFCFB" w14:textId="77777777" w:rsidTr="007F22B4">
        <w:trPr>
          <w:tblHeader/>
        </w:trPr>
        <w:tc>
          <w:tcPr>
            <w:tcW w:w="4678" w:type="dxa"/>
            <w:tcBorders>
              <w:top w:val="none" w:sz="0" w:space="0" w:color="FFFFFF"/>
              <w:left w:val="none" w:sz="0" w:space="0" w:color="FFFFFF"/>
              <w:bottom w:val="none" w:sz="0" w:space="0" w:color="FFFFFF"/>
              <w:right w:val="none" w:sz="0" w:space="0" w:color="FFFFFF"/>
            </w:tcBorders>
            <w:shd w:val="clear" w:color="auto" w:fill="006BB6"/>
            <w:tcMar>
              <w:top w:w="80" w:type="dxa"/>
              <w:left w:w="120" w:type="dxa"/>
              <w:bottom w:w="80" w:type="dxa"/>
              <w:right w:w="120" w:type="dxa"/>
            </w:tcMar>
          </w:tcPr>
          <w:p w14:paraId="6B2C5707" w14:textId="3BB0678C" w:rsidR="005F40DC" w:rsidRPr="00CC2AAC" w:rsidRDefault="00590F36" w:rsidP="008E4801">
            <w:pPr>
              <w:spacing w:after="120"/>
              <w:rPr>
                <w:lang w:val="fr-FR"/>
              </w:rPr>
            </w:pPr>
            <w:r w:rsidRPr="00CC2AAC">
              <w:rPr>
                <w:b/>
                <w:bCs/>
                <w:color w:val="FFFFFF"/>
                <w:lang w:val="fr-FR"/>
              </w:rPr>
              <w:t>Jalon</w:t>
            </w:r>
            <w:r w:rsidR="00235D18">
              <w:rPr>
                <w:b/>
                <w:bCs/>
                <w:color w:val="FFFFFF"/>
                <w:lang w:val="fr-FR"/>
              </w:rPr>
              <w:t>*</w:t>
            </w:r>
          </w:p>
        </w:tc>
        <w:tc>
          <w:tcPr>
            <w:tcW w:w="4348" w:type="dxa"/>
            <w:tcBorders>
              <w:top w:val="none" w:sz="0" w:space="0" w:color="FFFFFF"/>
              <w:left w:val="none" w:sz="0" w:space="0" w:color="FFFFFF"/>
              <w:bottom w:val="none" w:sz="0" w:space="0" w:color="FFFFFF"/>
              <w:right w:val="none" w:sz="0" w:space="0" w:color="FFFFFF"/>
            </w:tcBorders>
            <w:shd w:val="clear" w:color="auto" w:fill="006BB6"/>
            <w:tcMar>
              <w:top w:w="80" w:type="dxa"/>
              <w:left w:w="120" w:type="dxa"/>
              <w:bottom w:w="80" w:type="dxa"/>
              <w:right w:w="120" w:type="dxa"/>
            </w:tcMar>
          </w:tcPr>
          <w:p w14:paraId="1F1394B7" w14:textId="77777777" w:rsidR="005F40DC" w:rsidRPr="00CC2AAC" w:rsidRDefault="00590F36" w:rsidP="008E4801">
            <w:pPr>
              <w:spacing w:after="120"/>
              <w:rPr>
                <w:lang w:val="fr-FR"/>
              </w:rPr>
            </w:pPr>
            <w:r w:rsidRPr="00CC2AAC">
              <w:rPr>
                <w:b/>
                <w:bCs/>
                <w:color w:val="FFFFFF"/>
                <w:lang w:val="fr-FR"/>
              </w:rPr>
              <w:t>Date</w:t>
            </w:r>
          </w:p>
        </w:tc>
      </w:tr>
      <w:tr w:rsidR="0078037C" w:rsidRPr="00CC2AAC" w14:paraId="16F4BB1D"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37C2147B" w14:textId="77777777" w:rsidR="005F40DC" w:rsidRPr="00CC2AAC" w:rsidRDefault="00590F36" w:rsidP="008E4801">
            <w:pPr>
              <w:spacing w:after="120"/>
              <w:rPr>
                <w:lang w:val="fr-FR"/>
              </w:rPr>
            </w:pPr>
            <w:r w:rsidRPr="00CC2AAC">
              <w:rPr>
                <w:color w:val="333333"/>
                <w:lang w:val="fr-FR"/>
              </w:rPr>
              <w:t>Publication de l’appel à propositions</w:t>
            </w:r>
          </w:p>
        </w:tc>
        <w:tc>
          <w:tcPr>
            <w:tcW w:w="434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B9890B8" w14:textId="086D24EB" w:rsidR="005F40DC" w:rsidRPr="00CC2AAC" w:rsidRDefault="00865F23" w:rsidP="008E4801">
            <w:pPr>
              <w:spacing w:after="120"/>
              <w:rPr>
                <w:lang w:val="fr-FR"/>
              </w:rPr>
            </w:pPr>
            <w:r>
              <w:rPr>
                <w:color w:val="333333"/>
                <w:lang w:val="fr-FR"/>
              </w:rPr>
              <w:t>13</w:t>
            </w:r>
            <w:r w:rsidR="00590F36" w:rsidRPr="00CC2AAC">
              <w:rPr>
                <w:color w:val="333333"/>
                <w:lang w:val="fr-FR"/>
              </w:rPr>
              <w:t xml:space="preserve"> </w:t>
            </w:r>
            <w:r w:rsidR="0073514E" w:rsidRPr="00CC2AAC">
              <w:rPr>
                <w:color w:val="333333"/>
                <w:lang w:val="fr-FR"/>
              </w:rPr>
              <w:t>mars</w:t>
            </w:r>
            <w:r w:rsidR="00590F36" w:rsidRPr="00CC2AAC">
              <w:rPr>
                <w:color w:val="333333"/>
                <w:lang w:val="fr-FR"/>
              </w:rPr>
              <w:t xml:space="preserve"> 2026</w:t>
            </w:r>
          </w:p>
        </w:tc>
      </w:tr>
      <w:tr w:rsidR="0078037C" w:rsidRPr="00CC2AAC" w14:paraId="6F580EC2"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45BAF9F6" w14:textId="77777777" w:rsidR="005F40DC" w:rsidRPr="00CC2AAC" w:rsidRDefault="00590F36" w:rsidP="008E4801">
            <w:pPr>
              <w:spacing w:after="120"/>
              <w:rPr>
                <w:lang w:val="fr-FR"/>
              </w:rPr>
            </w:pPr>
            <w:r w:rsidRPr="00CC2AAC">
              <w:rPr>
                <w:color w:val="333333"/>
                <w:lang w:val="fr-FR"/>
              </w:rPr>
              <w:t>Période ouverte pour les questions</w:t>
            </w:r>
          </w:p>
        </w:tc>
        <w:tc>
          <w:tcPr>
            <w:tcW w:w="434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31143593" w14:textId="5296AF4D" w:rsidR="005F40DC" w:rsidRPr="00CC2AAC" w:rsidRDefault="00590F36" w:rsidP="008E4801">
            <w:pPr>
              <w:spacing w:after="120"/>
              <w:rPr>
                <w:lang w:val="fr-FR"/>
              </w:rPr>
            </w:pPr>
            <w:r w:rsidRPr="00CC2AAC">
              <w:rPr>
                <w:color w:val="333333"/>
                <w:lang w:val="fr-FR"/>
              </w:rPr>
              <w:t>1</w:t>
            </w:r>
            <w:r w:rsidR="00865F23">
              <w:rPr>
                <w:color w:val="333333"/>
                <w:lang w:val="fr-FR"/>
              </w:rPr>
              <w:t>4 mars</w:t>
            </w:r>
            <w:r w:rsidRPr="00CC2AAC">
              <w:rPr>
                <w:color w:val="333333"/>
                <w:lang w:val="fr-FR"/>
              </w:rPr>
              <w:t>–</w:t>
            </w:r>
            <w:r w:rsidR="0060261A" w:rsidRPr="002E3670">
              <w:rPr>
                <w:strike/>
                <w:color w:val="333333"/>
                <w:lang w:val="fr-FR"/>
              </w:rPr>
              <w:t>10 avril</w:t>
            </w:r>
            <w:r w:rsidRPr="002E3670">
              <w:rPr>
                <w:strike/>
                <w:color w:val="333333"/>
                <w:lang w:val="fr-FR"/>
              </w:rPr>
              <w:t xml:space="preserve"> 2026</w:t>
            </w:r>
            <w:r w:rsidR="002E3670">
              <w:rPr>
                <w:color w:val="333333"/>
                <w:lang w:val="fr-FR"/>
              </w:rPr>
              <w:t xml:space="preserve"> </w:t>
            </w:r>
            <w:r w:rsidR="002E3670" w:rsidRPr="002E3670">
              <w:rPr>
                <w:color w:val="FF0000"/>
                <w:lang w:val="fr-FR"/>
              </w:rPr>
              <w:t>24 avril 2026</w:t>
            </w:r>
          </w:p>
        </w:tc>
      </w:tr>
      <w:tr w:rsidR="0078037C" w:rsidRPr="00CC2AAC" w14:paraId="253EE218"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03B17D3" w14:textId="77777777" w:rsidR="005F40DC" w:rsidRPr="00CC2AAC" w:rsidRDefault="00590F36" w:rsidP="008E4801">
            <w:pPr>
              <w:spacing w:after="120"/>
              <w:rPr>
                <w:lang w:val="fr-FR"/>
              </w:rPr>
            </w:pPr>
            <w:r w:rsidRPr="00CC2AAC">
              <w:rPr>
                <w:color w:val="333333"/>
                <w:lang w:val="fr-FR"/>
              </w:rPr>
              <w:t>Date limite de soumission</w:t>
            </w:r>
          </w:p>
        </w:tc>
        <w:tc>
          <w:tcPr>
            <w:tcW w:w="434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160DA9FC" w14:textId="33FD2621" w:rsidR="005F40DC" w:rsidRPr="00CC2AAC" w:rsidRDefault="0060261A" w:rsidP="008E4801">
            <w:pPr>
              <w:spacing w:after="120"/>
              <w:rPr>
                <w:lang w:val="fr-FR"/>
              </w:rPr>
            </w:pPr>
            <w:r w:rsidRPr="002E3670">
              <w:rPr>
                <w:strike/>
                <w:color w:val="333333"/>
                <w:lang w:val="fr-FR"/>
              </w:rPr>
              <w:t>12</w:t>
            </w:r>
            <w:r w:rsidR="00590F36" w:rsidRPr="002E3670">
              <w:rPr>
                <w:strike/>
                <w:color w:val="333333"/>
                <w:lang w:val="fr-FR"/>
              </w:rPr>
              <w:t xml:space="preserve"> </w:t>
            </w:r>
            <w:r w:rsidR="0073514E" w:rsidRPr="002E3670">
              <w:rPr>
                <w:strike/>
                <w:color w:val="333333"/>
                <w:lang w:val="fr-FR"/>
              </w:rPr>
              <w:t>avril</w:t>
            </w:r>
            <w:r w:rsidR="00590F36" w:rsidRPr="002E3670">
              <w:rPr>
                <w:strike/>
                <w:color w:val="333333"/>
                <w:lang w:val="fr-FR"/>
              </w:rPr>
              <w:t xml:space="preserve"> 2026</w:t>
            </w:r>
            <w:r w:rsidR="002E3670">
              <w:rPr>
                <w:color w:val="333333"/>
                <w:lang w:val="fr-FR"/>
              </w:rPr>
              <w:t xml:space="preserve"> </w:t>
            </w:r>
            <w:r w:rsidR="002E3670" w:rsidRPr="002E3670">
              <w:rPr>
                <w:color w:val="FF0000"/>
                <w:lang w:val="fr-FR"/>
              </w:rPr>
              <w:t>26 avril 2026</w:t>
            </w:r>
          </w:p>
        </w:tc>
      </w:tr>
      <w:tr w:rsidR="0078037C" w:rsidRPr="00CC2AAC" w14:paraId="58639824"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7874795F" w14:textId="77777777" w:rsidR="005F40DC" w:rsidRPr="00CC2AAC" w:rsidRDefault="00590F36" w:rsidP="008E4801">
            <w:pPr>
              <w:spacing w:after="120"/>
              <w:rPr>
                <w:lang w:val="fr-FR"/>
              </w:rPr>
            </w:pPr>
            <w:r w:rsidRPr="00CC2AAC">
              <w:rPr>
                <w:color w:val="333333"/>
                <w:lang w:val="fr-FR"/>
              </w:rPr>
              <w:t>Évaluation des propositions</w:t>
            </w:r>
          </w:p>
        </w:tc>
        <w:tc>
          <w:tcPr>
            <w:tcW w:w="434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27613CBB" w14:textId="204FF585" w:rsidR="005F40DC" w:rsidRPr="00CC2AAC" w:rsidRDefault="0060261A" w:rsidP="008E4801">
            <w:pPr>
              <w:spacing w:after="120"/>
              <w:rPr>
                <w:lang w:val="fr-FR"/>
              </w:rPr>
            </w:pPr>
            <w:r w:rsidRPr="002E3670">
              <w:rPr>
                <w:strike/>
                <w:color w:val="333333"/>
                <w:lang w:val="fr-FR"/>
              </w:rPr>
              <w:t>13 abril-8 mai</w:t>
            </w:r>
            <w:r w:rsidR="00590F36" w:rsidRPr="002E3670">
              <w:rPr>
                <w:strike/>
                <w:color w:val="333333"/>
                <w:lang w:val="fr-FR"/>
              </w:rPr>
              <w:t xml:space="preserve"> 2026</w:t>
            </w:r>
            <w:r w:rsidR="002E3670">
              <w:rPr>
                <w:color w:val="333333"/>
                <w:lang w:val="fr-FR"/>
              </w:rPr>
              <w:t xml:space="preserve"> </w:t>
            </w:r>
            <w:r w:rsidR="002E3670" w:rsidRPr="002E3670">
              <w:rPr>
                <w:color w:val="FF0000"/>
                <w:lang w:val="fr-FR"/>
              </w:rPr>
              <w:t>27 avril-22 mai</w:t>
            </w:r>
            <w:r w:rsidR="002E3670">
              <w:rPr>
                <w:color w:val="FF0000"/>
                <w:lang w:val="fr-FR"/>
              </w:rPr>
              <w:t xml:space="preserve"> 2026</w:t>
            </w:r>
          </w:p>
        </w:tc>
      </w:tr>
      <w:tr w:rsidR="0078037C" w:rsidRPr="00CC2AAC" w14:paraId="6A6A316A"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7FD07E7B" w14:textId="77777777" w:rsidR="005F40DC" w:rsidRPr="00CC2AAC" w:rsidRDefault="00590F36" w:rsidP="008E4801">
            <w:pPr>
              <w:spacing w:after="120"/>
              <w:rPr>
                <w:lang w:val="fr-FR"/>
              </w:rPr>
            </w:pPr>
            <w:r w:rsidRPr="00CC2AAC">
              <w:rPr>
                <w:color w:val="333333"/>
                <w:lang w:val="fr-FR"/>
              </w:rPr>
              <w:t>Annonce des propositions sélectionnées</w:t>
            </w:r>
          </w:p>
        </w:tc>
        <w:tc>
          <w:tcPr>
            <w:tcW w:w="434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7C9139FA" w14:textId="6985E877" w:rsidR="005F40DC" w:rsidRPr="00CC2AAC" w:rsidRDefault="0060261A" w:rsidP="008E4801">
            <w:pPr>
              <w:spacing w:after="120"/>
              <w:rPr>
                <w:lang w:val="fr-FR"/>
              </w:rPr>
            </w:pPr>
            <w:r w:rsidRPr="002E3670">
              <w:rPr>
                <w:strike/>
                <w:color w:val="333333"/>
                <w:lang w:val="fr-FR"/>
              </w:rPr>
              <w:t>11</w:t>
            </w:r>
            <w:r w:rsidR="00590F36" w:rsidRPr="002E3670">
              <w:rPr>
                <w:strike/>
                <w:color w:val="333333"/>
                <w:lang w:val="fr-FR"/>
              </w:rPr>
              <w:t xml:space="preserve"> </w:t>
            </w:r>
            <w:r w:rsidR="0073514E" w:rsidRPr="002E3670">
              <w:rPr>
                <w:strike/>
                <w:color w:val="333333"/>
                <w:lang w:val="fr-FR"/>
              </w:rPr>
              <w:t>mai</w:t>
            </w:r>
            <w:r w:rsidR="00590F36" w:rsidRPr="002E3670">
              <w:rPr>
                <w:strike/>
                <w:color w:val="333333"/>
                <w:lang w:val="fr-FR"/>
              </w:rPr>
              <w:t xml:space="preserve"> 2026</w:t>
            </w:r>
            <w:r w:rsidR="002E3670">
              <w:rPr>
                <w:color w:val="333333"/>
                <w:lang w:val="fr-FR"/>
              </w:rPr>
              <w:t xml:space="preserve"> </w:t>
            </w:r>
            <w:r w:rsidR="002E3670" w:rsidRPr="002E3670">
              <w:rPr>
                <w:color w:val="FF0000"/>
                <w:lang w:val="fr-FR"/>
              </w:rPr>
              <w:t>25 mai 2026</w:t>
            </w:r>
          </w:p>
        </w:tc>
      </w:tr>
      <w:tr w:rsidR="0078037C" w:rsidRPr="006A08DD" w14:paraId="4953C035"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06F6AA9E" w14:textId="79812EE9" w:rsidR="005F40DC" w:rsidRPr="00CC2AAC" w:rsidRDefault="00590F36" w:rsidP="008E4801">
            <w:pPr>
              <w:spacing w:after="120"/>
              <w:rPr>
                <w:lang w:val="fr-FR"/>
              </w:rPr>
            </w:pPr>
            <w:r w:rsidRPr="00CC2AAC">
              <w:rPr>
                <w:color w:val="333333"/>
                <w:lang w:val="fr-FR"/>
              </w:rPr>
              <w:t>Atelier de développement du protocole</w:t>
            </w:r>
          </w:p>
        </w:tc>
        <w:tc>
          <w:tcPr>
            <w:tcW w:w="434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3FFC3395" w14:textId="6F212452" w:rsidR="005F40DC" w:rsidRPr="00CC2AAC" w:rsidRDefault="0073514E" w:rsidP="008E4801">
            <w:pPr>
              <w:spacing w:after="120"/>
              <w:rPr>
                <w:lang w:val="fr-FR"/>
              </w:rPr>
            </w:pPr>
            <w:r w:rsidRPr="00CC2AAC">
              <w:rPr>
                <w:color w:val="333333"/>
                <w:lang w:val="fr-FR"/>
              </w:rPr>
              <w:t xml:space="preserve">Une semaine </w:t>
            </w:r>
            <w:r w:rsidR="0060261A">
              <w:rPr>
                <w:color w:val="333333"/>
                <w:lang w:val="fr-FR"/>
              </w:rPr>
              <w:t xml:space="preserve">en </w:t>
            </w:r>
            <w:r w:rsidRPr="00CC2AAC">
              <w:rPr>
                <w:color w:val="333333"/>
                <w:lang w:val="fr-FR"/>
              </w:rPr>
              <w:t>juillet</w:t>
            </w:r>
            <w:r w:rsidR="007F22B4" w:rsidRPr="00CC2AAC">
              <w:rPr>
                <w:color w:val="333333"/>
                <w:lang w:val="fr-FR"/>
              </w:rPr>
              <w:t xml:space="preserve"> 2026</w:t>
            </w:r>
          </w:p>
        </w:tc>
      </w:tr>
      <w:tr w:rsidR="0078037C" w:rsidRPr="00CC2AAC" w14:paraId="615082DB"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D018C5E" w14:textId="77777777" w:rsidR="005F40DC" w:rsidRPr="00CC2AAC" w:rsidRDefault="00590F36" w:rsidP="008E4801">
            <w:pPr>
              <w:spacing w:after="120"/>
              <w:rPr>
                <w:lang w:val="fr-FR"/>
              </w:rPr>
            </w:pPr>
            <w:r w:rsidRPr="00CC2AAC">
              <w:rPr>
                <w:color w:val="333333"/>
                <w:lang w:val="fr-FR"/>
              </w:rPr>
              <w:t>Soumission pour examen scientifique HRP/OMS</w:t>
            </w:r>
          </w:p>
        </w:tc>
        <w:tc>
          <w:tcPr>
            <w:tcW w:w="434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F72C732" w14:textId="77777777" w:rsidR="005F40DC" w:rsidRPr="00CC2AAC" w:rsidRDefault="00590F36" w:rsidP="008E4801">
            <w:pPr>
              <w:spacing w:after="120"/>
              <w:rPr>
                <w:lang w:val="fr-FR"/>
              </w:rPr>
            </w:pPr>
            <w:r w:rsidRPr="00CC2AAC">
              <w:rPr>
                <w:color w:val="333333"/>
                <w:lang w:val="fr-FR"/>
              </w:rPr>
              <w:t>Juillet – septembre 2026</w:t>
            </w:r>
          </w:p>
        </w:tc>
      </w:tr>
      <w:tr w:rsidR="0078037C" w:rsidRPr="00CC2AAC" w14:paraId="1B09CBA3"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68B90684" w14:textId="77777777" w:rsidR="005F40DC" w:rsidRPr="00CC2AAC" w:rsidRDefault="00590F36" w:rsidP="008E4801">
            <w:pPr>
              <w:spacing w:after="120"/>
              <w:rPr>
                <w:lang w:val="fr-FR"/>
              </w:rPr>
            </w:pPr>
            <w:r w:rsidRPr="00CC2AAC">
              <w:rPr>
                <w:color w:val="333333"/>
                <w:lang w:val="fr-FR"/>
              </w:rPr>
              <w:t>Examen éthique (OMS et national/local)</w:t>
            </w:r>
          </w:p>
        </w:tc>
        <w:tc>
          <w:tcPr>
            <w:tcW w:w="434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1D3BD291" w14:textId="77777777" w:rsidR="005F40DC" w:rsidRPr="00CC2AAC" w:rsidRDefault="00590F36" w:rsidP="008E4801">
            <w:pPr>
              <w:spacing w:after="120"/>
              <w:rPr>
                <w:lang w:val="fr-FR"/>
              </w:rPr>
            </w:pPr>
            <w:r w:rsidRPr="00CC2AAC">
              <w:rPr>
                <w:color w:val="333333"/>
                <w:lang w:val="fr-FR"/>
              </w:rPr>
              <w:t>Septembre – décembre 2026</w:t>
            </w:r>
          </w:p>
        </w:tc>
      </w:tr>
      <w:tr w:rsidR="0078037C" w:rsidRPr="00CC2AAC" w14:paraId="6AE2C114"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61D5E037" w14:textId="77777777" w:rsidR="005F40DC" w:rsidRPr="00CC2AAC" w:rsidRDefault="00590F36" w:rsidP="008E4801">
            <w:pPr>
              <w:spacing w:after="120"/>
              <w:rPr>
                <w:lang w:val="fr-FR"/>
              </w:rPr>
            </w:pPr>
            <w:r w:rsidRPr="00CC2AAC">
              <w:rPr>
                <w:color w:val="333333"/>
                <w:lang w:val="fr-FR"/>
              </w:rPr>
              <w:t>Début de la collecte de données</w:t>
            </w:r>
          </w:p>
        </w:tc>
        <w:tc>
          <w:tcPr>
            <w:tcW w:w="434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65077A11" w14:textId="148B60ED" w:rsidR="005F40DC" w:rsidRPr="00CC2AAC" w:rsidRDefault="00590F36" w:rsidP="008E4801">
            <w:pPr>
              <w:spacing w:after="120"/>
              <w:rPr>
                <w:lang w:val="fr-FR"/>
              </w:rPr>
            </w:pPr>
            <w:r w:rsidRPr="00CC2AAC">
              <w:rPr>
                <w:color w:val="333333"/>
                <w:lang w:val="fr-FR"/>
              </w:rPr>
              <w:t>D</w:t>
            </w:r>
            <w:r w:rsidR="007F22B4" w:rsidRPr="00CC2AAC">
              <w:rPr>
                <w:color w:val="333333"/>
                <w:lang w:val="fr-FR"/>
              </w:rPr>
              <w:t>é</w:t>
            </w:r>
            <w:r w:rsidRPr="00CC2AAC">
              <w:rPr>
                <w:color w:val="333333"/>
                <w:lang w:val="fr-FR"/>
              </w:rPr>
              <w:t>cemb</w:t>
            </w:r>
            <w:r w:rsidR="007F22B4" w:rsidRPr="00CC2AAC">
              <w:rPr>
                <w:color w:val="333333"/>
                <w:lang w:val="fr-FR"/>
              </w:rPr>
              <w:t>re</w:t>
            </w:r>
            <w:r w:rsidRPr="00CC2AAC">
              <w:rPr>
                <w:color w:val="333333"/>
                <w:lang w:val="fr-FR"/>
              </w:rPr>
              <w:t xml:space="preserve"> 2026</w:t>
            </w:r>
          </w:p>
        </w:tc>
      </w:tr>
      <w:tr w:rsidR="0078037C" w:rsidRPr="00CC2AAC" w14:paraId="76BEBC15"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1816137B" w14:textId="6BF1A4AA" w:rsidR="005F40DC" w:rsidRPr="00CC2AAC" w:rsidRDefault="00590F36" w:rsidP="008E4801">
            <w:pPr>
              <w:spacing w:after="120"/>
              <w:rPr>
                <w:lang w:val="fr-FR"/>
              </w:rPr>
            </w:pPr>
            <w:r w:rsidRPr="00CC2AAC">
              <w:rPr>
                <w:color w:val="333333"/>
                <w:lang w:val="fr-FR"/>
              </w:rPr>
              <w:t>Fin de la collecte de données</w:t>
            </w:r>
          </w:p>
        </w:tc>
        <w:tc>
          <w:tcPr>
            <w:tcW w:w="434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21F608DD" w14:textId="4B3ED2A7" w:rsidR="005F40DC" w:rsidRPr="00CC2AAC" w:rsidRDefault="00F52282" w:rsidP="008E4801">
            <w:pPr>
              <w:spacing w:after="120"/>
              <w:rPr>
                <w:lang w:val="fr-FR"/>
              </w:rPr>
            </w:pPr>
            <w:r w:rsidRPr="00CC2AAC">
              <w:rPr>
                <w:color w:val="333333"/>
                <w:lang w:val="fr-FR"/>
              </w:rPr>
              <w:t>Ma</w:t>
            </w:r>
            <w:r w:rsidR="007F22B4" w:rsidRPr="00CC2AAC">
              <w:rPr>
                <w:color w:val="333333"/>
                <w:lang w:val="fr-FR"/>
              </w:rPr>
              <w:t>i</w:t>
            </w:r>
            <w:r w:rsidRPr="00CC2AAC">
              <w:rPr>
                <w:color w:val="333333"/>
                <w:lang w:val="fr-FR"/>
              </w:rPr>
              <w:t xml:space="preserve"> 2027</w:t>
            </w:r>
          </w:p>
        </w:tc>
      </w:tr>
      <w:tr w:rsidR="0078037C" w:rsidRPr="00CC2AAC" w14:paraId="4F00CA91"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0E425B82" w14:textId="77777777" w:rsidR="005F40DC" w:rsidRPr="00CC2AAC" w:rsidRDefault="00590F36" w:rsidP="008E4801">
            <w:pPr>
              <w:spacing w:after="120"/>
              <w:rPr>
                <w:lang w:val="fr-FR"/>
              </w:rPr>
            </w:pPr>
            <w:r w:rsidRPr="00CC2AAC">
              <w:rPr>
                <w:color w:val="333333"/>
                <w:lang w:val="fr-FR"/>
              </w:rPr>
              <w:t>Nettoyage et analyse des données</w:t>
            </w:r>
          </w:p>
        </w:tc>
        <w:tc>
          <w:tcPr>
            <w:tcW w:w="4348"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2BD30AB" w14:textId="0137253A" w:rsidR="005F40DC" w:rsidRPr="00CC2AAC" w:rsidRDefault="00F52282" w:rsidP="008E4801">
            <w:pPr>
              <w:spacing w:after="120"/>
              <w:rPr>
                <w:lang w:val="fr-FR"/>
              </w:rPr>
            </w:pPr>
            <w:r w:rsidRPr="00CC2AAC">
              <w:rPr>
                <w:color w:val="333333"/>
                <w:lang w:val="fr-FR"/>
              </w:rPr>
              <w:t>Ju</w:t>
            </w:r>
            <w:r w:rsidR="007F22B4" w:rsidRPr="00CC2AAC">
              <w:rPr>
                <w:color w:val="333333"/>
                <w:lang w:val="fr-FR"/>
              </w:rPr>
              <w:t>in</w:t>
            </w:r>
            <w:r w:rsidRPr="00CC2AAC">
              <w:rPr>
                <w:color w:val="333333"/>
                <w:lang w:val="fr-FR"/>
              </w:rPr>
              <w:t xml:space="preserve"> – </w:t>
            </w:r>
            <w:r w:rsidR="007F22B4" w:rsidRPr="00CC2AAC">
              <w:rPr>
                <w:color w:val="333333"/>
                <w:lang w:val="fr-FR"/>
              </w:rPr>
              <w:t>août</w:t>
            </w:r>
            <w:r w:rsidRPr="00CC2AAC">
              <w:rPr>
                <w:color w:val="333333"/>
                <w:lang w:val="fr-FR"/>
              </w:rPr>
              <w:t xml:space="preserve"> 2027</w:t>
            </w:r>
          </w:p>
        </w:tc>
      </w:tr>
      <w:tr w:rsidR="0078037C" w:rsidRPr="00CC2AAC" w14:paraId="0FD4B873" w14:textId="77777777" w:rsidTr="007F22B4">
        <w:tc>
          <w:tcPr>
            <w:tcW w:w="467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6C67EA39" w14:textId="77777777" w:rsidR="005F40DC" w:rsidRPr="00CC2AAC" w:rsidRDefault="00590F36" w:rsidP="008E4801">
            <w:pPr>
              <w:spacing w:after="120"/>
              <w:rPr>
                <w:lang w:val="fr-FR"/>
              </w:rPr>
            </w:pPr>
            <w:r w:rsidRPr="00CC2AAC">
              <w:rPr>
                <w:color w:val="333333"/>
                <w:lang w:val="fr-FR"/>
              </w:rPr>
              <w:t>Activités de diffusion</w:t>
            </w:r>
          </w:p>
        </w:tc>
        <w:tc>
          <w:tcPr>
            <w:tcW w:w="4348"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69918CD5" w14:textId="3F9CDF20" w:rsidR="005F40DC" w:rsidRPr="00CC2AAC" w:rsidRDefault="00F52282" w:rsidP="008E4801">
            <w:pPr>
              <w:spacing w:after="120"/>
              <w:rPr>
                <w:lang w:val="fr-FR"/>
              </w:rPr>
            </w:pPr>
            <w:r w:rsidRPr="00CC2AAC">
              <w:rPr>
                <w:color w:val="333333"/>
                <w:lang w:val="fr-FR"/>
              </w:rPr>
              <w:t>Septembre – décembre 2027</w:t>
            </w:r>
          </w:p>
        </w:tc>
      </w:tr>
    </w:tbl>
    <w:p w14:paraId="6EB4CAEC" w14:textId="7EE82009" w:rsidR="005F40DC" w:rsidRPr="00CC2AAC" w:rsidRDefault="00C033B8" w:rsidP="008E4801">
      <w:pPr>
        <w:spacing w:after="120"/>
        <w:rPr>
          <w:sz w:val="16"/>
          <w:szCs w:val="16"/>
          <w:lang w:val="fr-FR"/>
        </w:rPr>
      </w:pPr>
      <w:r w:rsidRPr="00CC2AAC">
        <w:rPr>
          <w:sz w:val="16"/>
          <w:szCs w:val="16"/>
          <w:lang w:val="fr-FR"/>
        </w:rPr>
        <w:t>*Indicatif, susceptible de modification</w:t>
      </w:r>
    </w:p>
    <w:p w14:paraId="4B2B1CDD" w14:textId="77777777" w:rsidR="003E63FD" w:rsidRPr="00CC2AAC" w:rsidRDefault="003E63FD" w:rsidP="008E4801">
      <w:pPr>
        <w:pStyle w:val="Heading1"/>
        <w:rPr>
          <w:lang w:val="fr-FR"/>
        </w:rPr>
      </w:pPr>
    </w:p>
    <w:p w14:paraId="28D9B3F3" w14:textId="6AFB7101" w:rsidR="005F40DC" w:rsidRPr="00CC2AAC" w:rsidRDefault="00590F36" w:rsidP="008E4801">
      <w:pPr>
        <w:pStyle w:val="Heading1"/>
        <w:rPr>
          <w:lang w:val="fr-FR"/>
        </w:rPr>
      </w:pPr>
      <w:r w:rsidRPr="00CC2AAC">
        <w:rPr>
          <w:lang w:val="fr-FR"/>
        </w:rPr>
        <w:t>10. Soutien fourni aux équipes sélectionnées</w:t>
      </w:r>
    </w:p>
    <w:p w14:paraId="42D940A0" w14:textId="1914DA30" w:rsidR="005F40DC" w:rsidRPr="00CC2AAC" w:rsidRDefault="00590F36" w:rsidP="008E4801">
      <w:pPr>
        <w:spacing w:before="60" w:after="120"/>
        <w:rPr>
          <w:lang w:val="fr-FR"/>
        </w:rPr>
      </w:pPr>
      <w:r w:rsidRPr="00CC2AAC">
        <w:rPr>
          <w:color w:val="333333"/>
          <w:lang w:val="fr-FR"/>
        </w:rPr>
        <w:t>Toutes les équipes sélectionnées auront accès aux soutiens suivants :</w:t>
      </w:r>
    </w:p>
    <w:p w14:paraId="239121AE" w14:textId="7328E817" w:rsidR="005F40DC" w:rsidRPr="00CC2AAC" w:rsidRDefault="00381B7E" w:rsidP="008E4801">
      <w:pPr>
        <w:pStyle w:val="ListParagraph"/>
        <w:numPr>
          <w:ilvl w:val="0"/>
          <w:numId w:val="3"/>
        </w:numPr>
        <w:spacing w:before="40" w:after="120"/>
        <w:rPr>
          <w:lang w:val="fr-FR"/>
        </w:rPr>
      </w:pPr>
      <w:r w:rsidRPr="00CC2AAC">
        <w:rPr>
          <w:color w:val="333333"/>
          <w:lang w:val="fr-FR"/>
        </w:rPr>
        <w:t xml:space="preserve">Soutien au renforcement des capacités de recherche des équipes, pouvant inclure l’accès à des formations spécifiques </w:t>
      </w:r>
    </w:p>
    <w:p w14:paraId="11C5C4BD" w14:textId="47B1AA1E" w:rsidR="005F40DC" w:rsidRPr="00CC2AAC" w:rsidRDefault="00590F36" w:rsidP="008E4801">
      <w:pPr>
        <w:pStyle w:val="ListParagraph"/>
        <w:numPr>
          <w:ilvl w:val="0"/>
          <w:numId w:val="3"/>
        </w:numPr>
        <w:spacing w:before="40" w:after="120"/>
        <w:rPr>
          <w:lang w:val="fr-FR"/>
        </w:rPr>
      </w:pPr>
      <w:r w:rsidRPr="00CC2AAC">
        <w:rPr>
          <w:color w:val="333333"/>
          <w:lang w:val="fr-FR"/>
        </w:rPr>
        <w:t>Accès à des logiciels d’analyse de données sous licence</w:t>
      </w:r>
    </w:p>
    <w:p w14:paraId="6B1946CC"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Lien avec les bureaux de pays de l’OMS pour le soutien lors de la collecte de données, de la navigation dans les processus éthiques et de la diffusion</w:t>
      </w:r>
    </w:p>
    <w:p w14:paraId="6827F0F3" w14:textId="77777777" w:rsidR="005F40DC" w:rsidRPr="00CC2AAC" w:rsidRDefault="00590F36" w:rsidP="008E4801">
      <w:pPr>
        <w:pStyle w:val="ListParagraph"/>
        <w:numPr>
          <w:ilvl w:val="0"/>
          <w:numId w:val="3"/>
        </w:numPr>
        <w:spacing w:before="40" w:after="120"/>
        <w:rPr>
          <w:lang w:val="fr-FR"/>
        </w:rPr>
      </w:pPr>
      <w:r w:rsidRPr="00CC2AAC">
        <w:rPr>
          <w:color w:val="333333"/>
          <w:lang w:val="fr-FR"/>
        </w:rPr>
        <w:t>Soutien technique dans le développement d’outils de recherche destinés aux communautés et des processus de consentement</w:t>
      </w:r>
    </w:p>
    <w:p w14:paraId="08A9C1DB" w14:textId="01F31AAC" w:rsidR="003E63FD" w:rsidRPr="00CC2AAC" w:rsidRDefault="00590F36" w:rsidP="008E4801">
      <w:pPr>
        <w:pStyle w:val="ListParagraph"/>
        <w:numPr>
          <w:ilvl w:val="0"/>
          <w:numId w:val="3"/>
        </w:numPr>
        <w:spacing w:before="40" w:after="120"/>
        <w:rPr>
          <w:lang w:val="fr-FR"/>
        </w:rPr>
      </w:pPr>
      <w:r w:rsidRPr="00CC2AAC">
        <w:rPr>
          <w:color w:val="333333"/>
          <w:lang w:val="fr-FR"/>
        </w:rPr>
        <w:t>Facilitation des échanges transnationaux avec les autres équipes sélectionnées tout au long de la période d’étude</w:t>
      </w:r>
    </w:p>
    <w:p w14:paraId="1B6EB47F" w14:textId="77777777" w:rsidR="00475D04" w:rsidRPr="00CC2AAC" w:rsidRDefault="00475D04" w:rsidP="008E4801">
      <w:pPr>
        <w:pStyle w:val="Heading1"/>
        <w:rPr>
          <w:lang w:val="fr-FR"/>
        </w:rPr>
      </w:pPr>
    </w:p>
    <w:p w14:paraId="3C003E6C" w14:textId="77777777" w:rsidR="00475D04" w:rsidRPr="00CC2AAC" w:rsidRDefault="00475D04" w:rsidP="008E4801">
      <w:pPr>
        <w:pStyle w:val="Heading1"/>
        <w:rPr>
          <w:lang w:val="fr-FR"/>
        </w:rPr>
      </w:pPr>
    </w:p>
    <w:p w14:paraId="4000F6CC" w14:textId="5ABDFD97" w:rsidR="005F40DC" w:rsidRPr="00CC2AAC" w:rsidRDefault="00590F36" w:rsidP="008E4801">
      <w:pPr>
        <w:pStyle w:val="Heading1"/>
        <w:rPr>
          <w:lang w:val="fr-FR"/>
        </w:rPr>
      </w:pPr>
      <w:r w:rsidRPr="00CC2AAC">
        <w:rPr>
          <w:lang w:val="fr-FR"/>
        </w:rPr>
        <w:lastRenderedPageBreak/>
        <w:t>11. Avis juridique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55464" w:rsidRPr="00006B82" w14:paraId="4FDF36BF" w14:textId="77777777">
        <w:tc>
          <w:tcPr>
            <w:tcW w:w="0" w:type="auto"/>
            <w:tcBorders>
              <w:top w:val="single" w:sz="6" w:space="0" w:color="888888"/>
              <w:left w:val="single" w:sz="6" w:space="0" w:color="888888"/>
              <w:bottom w:val="single" w:sz="6" w:space="0" w:color="888888"/>
              <w:right w:val="single" w:sz="6" w:space="0" w:color="888888"/>
            </w:tcBorders>
            <w:shd w:val="clear" w:color="auto" w:fill="F5F5F5"/>
            <w:tcMar>
              <w:top w:w="160" w:type="dxa"/>
              <w:left w:w="200" w:type="dxa"/>
              <w:bottom w:w="160" w:type="dxa"/>
              <w:right w:w="200" w:type="dxa"/>
            </w:tcMar>
          </w:tcPr>
          <w:p w14:paraId="0008D724" w14:textId="77777777" w:rsidR="005F40DC" w:rsidRPr="00CC2AAC" w:rsidRDefault="00590F36" w:rsidP="008E4801">
            <w:pPr>
              <w:spacing w:after="120"/>
              <w:rPr>
                <w:lang w:val="fr-FR"/>
              </w:rPr>
            </w:pPr>
            <w:r w:rsidRPr="00CC2AAC">
              <w:rPr>
                <w:color w:val="555555"/>
                <w:sz w:val="18"/>
                <w:szCs w:val="18"/>
                <w:lang w:val="fr-FR"/>
              </w:rPr>
              <w:t xml:space="preserve">L’OMS/HRP agit de bonne foi en publiant cet appel à propositions. Toutefois, ce document n’oblige pas l’OMS à contractualiser pour l’exécution d’un travail, ni ne l’engage à rembourser les coûts engagés dans la préparation d’une proposition. L’OMS/HRP se réserve le droit d’accepter ou de rejeter toute proposition, d’annuler le processus et de rejeter toutes les propositions à tout moment avant l’attribution d’une subvention, sans engager de ce fait aucune responsabilité envers </w:t>
            </w:r>
            <w:proofErr w:type="gramStart"/>
            <w:r w:rsidRPr="00CC2AAC">
              <w:rPr>
                <w:color w:val="555555"/>
                <w:sz w:val="18"/>
                <w:szCs w:val="18"/>
                <w:lang w:val="fr-FR"/>
              </w:rPr>
              <w:t xml:space="preserve">les </w:t>
            </w:r>
            <w:proofErr w:type="spellStart"/>
            <w:r w:rsidRPr="00CC2AAC">
              <w:rPr>
                <w:color w:val="555555"/>
                <w:sz w:val="18"/>
                <w:szCs w:val="18"/>
                <w:lang w:val="fr-FR"/>
              </w:rPr>
              <w:t>candidat</w:t>
            </w:r>
            <w:proofErr w:type="gramEnd"/>
            <w:r w:rsidRPr="00CC2AAC">
              <w:rPr>
                <w:color w:val="555555"/>
                <w:sz w:val="18"/>
                <w:szCs w:val="18"/>
                <w:lang w:val="fr-FR"/>
              </w:rPr>
              <w:t>·e·s</w:t>
            </w:r>
            <w:proofErr w:type="spellEnd"/>
            <w:r w:rsidRPr="00CC2AAC">
              <w:rPr>
                <w:color w:val="555555"/>
                <w:sz w:val="18"/>
                <w:szCs w:val="18"/>
                <w:lang w:val="fr-FR"/>
              </w:rPr>
              <w:t xml:space="preserve"> </w:t>
            </w:r>
            <w:proofErr w:type="spellStart"/>
            <w:r w:rsidRPr="00CC2AAC">
              <w:rPr>
                <w:color w:val="555555"/>
                <w:sz w:val="18"/>
                <w:szCs w:val="18"/>
                <w:lang w:val="fr-FR"/>
              </w:rPr>
              <w:t>concerné·e·s</w:t>
            </w:r>
            <w:proofErr w:type="spellEnd"/>
            <w:r w:rsidRPr="00CC2AAC">
              <w:rPr>
                <w:color w:val="555555"/>
                <w:sz w:val="18"/>
                <w:szCs w:val="18"/>
                <w:lang w:val="fr-FR"/>
              </w:rPr>
              <w:t>.</w:t>
            </w:r>
          </w:p>
          <w:p w14:paraId="6E322A2F" w14:textId="77777777" w:rsidR="005F40DC" w:rsidRPr="00CC2AAC" w:rsidRDefault="00590F36" w:rsidP="008E4801">
            <w:pPr>
              <w:spacing w:after="120"/>
              <w:rPr>
                <w:lang w:val="fr-FR"/>
              </w:rPr>
            </w:pPr>
            <w:r w:rsidRPr="00CC2AAC">
              <w:rPr>
                <w:color w:val="555555"/>
                <w:sz w:val="18"/>
                <w:szCs w:val="18"/>
                <w:lang w:val="fr-FR"/>
              </w:rPr>
              <w:t>Les informations fournies dans les propositions seront utilisées uniquement aux fins de l’évaluation des candidatures dans le cadre de cet appel. L’OMS traitera toutes les informations relatives aux propositions conformément à sa Politique de divulgation de l’information. Le contenu des propositions peut être partagé, à titre confidentiel, avec des évaluateurs externes chargés d’évaluer la qualité technique.</w:t>
            </w:r>
          </w:p>
          <w:p w14:paraId="1589506E" w14:textId="77777777" w:rsidR="005F40DC" w:rsidRPr="00CC2AAC" w:rsidRDefault="00590F36" w:rsidP="008E4801">
            <w:pPr>
              <w:spacing w:after="120"/>
              <w:rPr>
                <w:lang w:val="fr-FR"/>
              </w:rPr>
            </w:pPr>
            <w:r w:rsidRPr="00CC2AAC">
              <w:rPr>
                <w:color w:val="555555"/>
                <w:sz w:val="18"/>
                <w:szCs w:val="18"/>
                <w:lang w:val="fr-FR"/>
              </w:rPr>
              <w:t>Cet appel ne constitue pas une offre contractuelle ou un engagement de la part de l’OMS. Toute subvention attribuée dans le cadre de cet appel sera régie par les termes d’un accord de subvention formel à conclure entre l’OMS et l’institution sélectionnée.</w:t>
            </w:r>
          </w:p>
        </w:tc>
      </w:tr>
    </w:tbl>
    <w:p w14:paraId="41440C5D" w14:textId="77777777" w:rsidR="005F40DC" w:rsidRPr="00CC2AAC" w:rsidRDefault="005F40DC" w:rsidP="008E4801">
      <w:pPr>
        <w:spacing w:after="120"/>
        <w:rPr>
          <w:lang w:val="fr-FR"/>
        </w:rPr>
      </w:pPr>
    </w:p>
    <w:p w14:paraId="7FAA50B1" w14:textId="3E0B2BF3" w:rsidR="00C049A4" w:rsidRPr="00CC2AAC" w:rsidRDefault="00C049A4" w:rsidP="008E4801">
      <w:pPr>
        <w:pStyle w:val="Heading1"/>
        <w:rPr>
          <w:lang w:val="fr-FR"/>
        </w:rPr>
      </w:pPr>
      <w:r w:rsidRPr="00CC2AAC">
        <w:rPr>
          <w:lang w:val="fr-FR"/>
        </w:rPr>
        <w:t>Références</w:t>
      </w:r>
    </w:p>
    <w:p w14:paraId="5025732B" w14:textId="77777777" w:rsidR="00D544EF" w:rsidRPr="00941F00" w:rsidRDefault="00C049A4" w:rsidP="00D544EF">
      <w:pPr>
        <w:pStyle w:val="Bibliography"/>
      </w:pPr>
      <w:r w:rsidRPr="00CC2AAC">
        <w:rPr>
          <w:lang w:val="fr-FR"/>
        </w:rPr>
        <w:fldChar w:fldCharType="begin"/>
      </w:r>
      <w:r w:rsidR="005B7E20" w:rsidRPr="00CC2AAC">
        <w:rPr>
          <w:lang w:val="fr-FR"/>
        </w:rPr>
        <w:instrText xml:space="preserve"> ADDIN ZOTERO_BIBL {"uncited":[],"omitted":[],"custom":[]} CSL_BIBLIOGRAPHY </w:instrText>
      </w:r>
      <w:r w:rsidRPr="00CC2AAC">
        <w:rPr>
          <w:lang w:val="fr-FR"/>
        </w:rPr>
        <w:fldChar w:fldCharType="separate"/>
      </w:r>
      <w:r w:rsidR="00D544EF" w:rsidRPr="00CC2AAC">
        <w:rPr>
          <w:lang w:val="fr-FR"/>
        </w:rPr>
        <w:t xml:space="preserve">1. Climate change - Fact sheet [Internet]. [cited 2025 Mar 17]. https://www.who.int/news-room/fact-sheets/detail/climate-change-and-health. </w:t>
      </w:r>
      <w:r w:rsidR="00D544EF" w:rsidRPr="00941F00">
        <w:t>Accessed 17 Mar 2025</w:t>
      </w:r>
    </w:p>
    <w:p w14:paraId="47C019F4" w14:textId="77777777" w:rsidR="00D544EF" w:rsidRPr="00941F00" w:rsidRDefault="00D544EF" w:rsidP="00D544EF">
      <w:pPr>
        <w:pStyle w:val="Bibliography"/>
      </w:pPr>
      <w:r w:rsidRPr="00941F00">
        <w:t xml:space="preserve">2. World Health Organization. COP29 special report on climate change and health: Health is the argument for climate action. Geneva: World Health Organization; 2024. </w:t>
      </w:r>
    </w:p>
    <w:p w14:paraId="2FB07D9C" w14:textId="77777777" w:rsidR="00D544EF" w:rsidRPr="00941F00" w:rsidRDefault="00D544EF" w:rsidP="00D544EF">
      <w:pPr>
        <w:pStyle w:val="Bibliography"/>
      </w:pPr>
      <w:r w:rsidRPr="00941F00">
        <w:t>3. Arunda MO, Sorcher R, Canabarro APF, Svallfors S, Endler M, Gemzell-Danielsson K, et al. Climate change and sexual and reproductive health and rights research in low-income and middle-income countries: a scoping review. BMJ Public Health [Internet]. BMJ Publishing Group Ltd; 2024 [cited 2024 Sept 19];2. https://doi.org/10.1136/bmjph-2024-001090</w:t>
      </w:r>
    </w:p>
    <w:p w14:paraId="20CF8697" w14:textId="77777777" w:rsidR="00D544EF" w:rsidRPr="00941F00" w:rsidRDefault="00D544EF" w:rsidP="00D544EF">
      <w:pPr>
        <w:pStyle w:val="Bibliography"/>
      </w:pPr>
      <w:r w:rsidRPr="00941F00">
        <w:t>4. Conway F, Portela A, Filippi V, Chou D, Kovats S. Climate change, air pollution and maternal and newborn health: An overview of reviews of health outcomes. JOGH [Internet]. 2024 [cited 2024 Aug 5];14. https://doi.org/10.7189/jogh.14.04128</w:t>
      </w:r>
    </w:p>
    <w:p w14:paraId="546B1C2E" w14:textId="77777777" w:rsidR="00D544EF" w:rsidRPr="00941F00" w:rsidRDefault="00D544EF" w:rsidP="00D544EF">
      <w:pPr>
        <w:pStyle w:val="Bibliography"/>
      </w:pPr>
      <w:r w:rsidRPr="00941F00">
        <w:t>5. Logie CH, Toccalino D, MacKenzie F, Hasham A, Narasimhan M, Donkers H, et al. Associations between climate change-related factors and sexual health: A scoping review. Glob Public Health. Taylor &amp; Francis; 2024;19:2299718. https://doi.org/10.1080/17441692.2023.2299718</w:t>
      </w:r>
    </w:p>
    <w:p w14:paraId="2C24FBEF" w14:textId="77777777" w:rsidR="00D544EF" w:rsidRPr="00941F00" w:rsidRDefault="00D544EF" w:rsidP="00D544EF">
      <w:pPr>
        <w:pStyle w:val="Bibliography"/>
      </w:pPr>
      <w:r w:rsidRPr="00941F00">
        <w:t>6. World Health Organization, UNICEF, UNFPA, PMNCH. Protecting maternal, newborn and child health from the impacts of climate change: A call for action [Internet]. https://www.who.int/publications/i/item/9789240085350. Accessed 7 Aug 2024</w:t>
      </w:r>
    </w:p>
    <w:p w14:paraId="21E1D6E5" w14:textId="77777777" w:rsidR="00D544EF" w:rsidRPr="00941F00" w:rsidRDefault="00D544EF" w:rsidP="00D544EF">
      <w:pPr>
        <w:pStyle w:val="Bibliography"/>
        <w:rPr>
          <w:lang w:val="pt-BR"/>
        </w:rPr>
      </w:pPr>
      <w:r w:rsidRPr="00941F00">
        <w:t xml:space="preserve">7. Sexual and Reproductive Health and Rights and Climate Change Delphi Consensus Building Group. Research priorities in sexual and reproductive health and rights and climate change: results of a consensus building and prioritisation process. </w:t>
      </w:r>
      <w:r w:rsidRPr="00941F00">
        <w:rPr>
          <w:lang w:val="pt-BR"/>
        </w:rPr>
        <w:t xml:space="preserve">PLOS Clim. </w:t>
      </w:r>
    </w:p>
    <w:p w14:paraId="6FFDC536" w14:textId="77777777" w:rsidR="00D544EF" w:rsidRPr="00941F00" w:rsidRDefault="00D544EF" w:rsidP="00D544EF">
      <w:pPr>
        <w:pStyle w:val="Bibliography"/>
      </w:pPr>
      <w:r w:rsidRPr="00941F00">
        <w:rPr>
          <w:lang w:val="pt-BR"/>
        </w:rPr>
        <w:t xml:space="preserve">8. Sorcher R, Arunda MO, Ajayi AI, Alger J, Ali M, Allen E, et al. </w:t>
      </w:r>
      <w:r w:rsidRPr="00941F00">
        <w:t>Key considerations for research into how climate change affects sexual and reproductive health and rights. Lancet Planet Health. Elsevier; 2024;8:e347–8. https://doi.org/10.1016/S2542-5196(24)00093-7</w:t>
      </w:r>
    </w:p>
    <w:p w14:paraId="7583A765" w14:textId="77777777" w:rsidR="00D544EF" w:rsidRPr="00941F00" w:rsidRDefault="00D544EF" w:rsidP="00D544EF">
      <w:pPr>
        <w:pStyle w:val="Bibliography"/>
      </w:pPr>
      <w:r w:rsidRPr="00941F00">
        <w:t>9. Health at the heart of national adaptation planning: a global review of national adaptation plans and health national adaptation plans [Internet]. Geneva: World Health Organization; 2025. https://www.who.int/publications/i/item/9789240118447. Accessed 26 Feb 2026</w:t>
      </w:r>
    </w:p>
    <w:p w14:paraId="56B9B46B" w14:textId="77777777" w:rsidR="00D544EF" w:rsidRPr="00941F00" w:rsidRDefault="00D544EF" w:rsidP="00D544EF">
      <w:pPr>
        <w:pStyle w:val="Bibliography"/>
      </w:pPr>
      <w:r w:rsidRPr="00941F00">
        <w:t>10. Alagarajah J, Beeman A, Brown M, Aibe S, Fuchs NR, Gibbs T. Sexual and Reproductive Health and Rights in National Adaptation Plan &amp; Health National Adaptation Plans: A Global Review [Internet]. YLabs; 2024. https://climate-srhr.org/s/AGlobalReview-ClimatexSRHR-Ylabs.pdf</w:t>
      </w:r>
    </w:p>
    <w:p w14:paraId="2D4B47E9" w14:textId="77777777" w:rsidR="00D544EF" w:rsidRPr="00941F00" w:rsidRDefault="00D544EF" w:rsidP="00D544EF">
      <w:pPr>
        <w:pStyle w:val="Bibliography"/>
      </w:pPr>
      <w:r w:rsidRPr="00941F00">
        <w:lastRenderedPageBreak/>
        <w:t>11. Israel BA, Schulz AJ, Parker EA, Becker AB. Review of community-based research: assessing partnership approaches to improve public health. Annu Rev Public Health. 1998;19:173–202. https://doi.org/10.1146/annurev.publhealth.19.1.173</w:t>
      </w:r>
    </w:p>
    <w:p w14:paraId="3C1283B8" w14:textId="77777777" w:rsidR="00D544EF" w:rsidRPr="00941F00" w:rsidRDefault="00D544EF" w:rsidP="00D544EF">
      <w:pPr>
        <w:pStyle w:val="Bibliography"/>
      </w:pPr>
      <w:r w:rsidRPr="00941F00">
        <w:t xml:space="preserve">12. Minkler M, Wallerstein N, editors. Community-Based Participatory Research for Health: From Process to Outcomes. 2nd ed. San Francisco: Jossey-Bass; 2008. </w:t>
      </w:r>
    </w:p>
    <w:p w14:paraId="2D540E06" w14:textId="77777777" w:rsidR="00D544EF" w:rsidRPr="00941F00" w:rsidRDefault="00D544EF" w:rsidP="00D544EF">
      <w:pPr>
        <w:pStyle w:val="Bibliography"/>
      </w:pPr>
      <w:r w:rsidRPr="00941F00">
        <w:t>13. Wallerstein N, Duran B. Community-based participatory research contributions to intervention research: the intersection of science and practice to improve health equity. Am J Public Health. 2010;100 Suppl 1:S40-46. https://doi.org/10.2105/AJPH.2009.184036</w:t>
      </w:r>
    </w:p>
    <w:p w14:paraId="0CAAD067" w14:textId="77777777" w:rsidR="00D544EF" w:rsidRPr="00941F00" w:rsidRDefault="00D544EF" w:rsidP="00D544EF">
      <w:pPr>
        <w:pStyle w:val="Bibliography"/>
      </w:pPr>
      <w:r w:rsidRPr="00941F00">
        <w:t>14. Cargo M, Mercer SL. The value and challenges of participatory research: strengthening its practice. Annu Rev Public Health. 2008;29:325–50. https://doi.org/10.1146/annurev.publhealth.29.091307.083824</w:t>
      </w:r>
    </w:p>
    <w:p w14:paraId="1009B931" w14:textId="77777777" w:rsidR="00D544EF" w:rsidRPr="00941F00" w:rsidRDefault="00D544EF" w:rsidP="00D544EF">
      <w:pPr>
        <w:pStyle w:val="Bibliography"/>
      </w:pPr>
      <w:r w:rsidRPr="00941F00">
        <w:t>15. Wang C, Burris MA. Photovoice: concept, methodology, and use for participatory needs assessment. Health Educ Behav. 1997;24:369–87. https://doi.org/10.1177/109019819702400309</w:t>
      </w:r>
    </w:p>
    <w:p w14:paraId="60124200" w14:textId="77777777" w:rsidR="00D544EF" w:rsidRPr="00941F00" w:rsidRDefault="00D544EF" w:rsidP="00D544EF">
      <w:pPr>
        <w:pStyle w:val="Bibliography"/>
      </w:pPr>
      <w:r w:rsidRPr="00941F00">
        <w:t>16. Wang CC, Pies CA. Family, maternal, and child health through photovoice. Matern Child Health J. 2004;8:95–102. https://doi.org/10.1023/b:maci.0000025732.32293.4f</w:t>
      </w:r>
    </w:p>
    <w:p w14:paraId="377AD27E" w14:textId="77777777" w:rsidR="00D544EF" w:rsidRPr="00941F00" w:rsidRDefault="00D544EF" w:rsidP="00D544EF">
      <w:pPr>
        <w:pStyle w:val="Bibliography"/>
      </w:pPr>
      <w:r w:rsidRPr="00941F00">
        <w:t>17. Palmeiro-Silva Y, Nyamwanza A, Vu AN. Participatory research and community engagement in climate and health research. Bulletin of the World Health Organization; 2026;104:206–8. https://doi.org/10.2471/BLT.25.294164</w:t>
      </w:r>
    </w:p>
    <w:p w14:paraId="7DE9F31A" w14:textId="77777777" w:rsidR="00D544EF" w:rsidRPr="00941F00" w:rsidRDefault="00D544EF" w:rsidP="00D544EF">
      <w:pPr>
        <w:pStyle w:val="Bibliography"/>
      </w:pPr>
      <w:r w:rsidRPr="00941F00">
        <w:t>18. Duea SR, Zimmerman EB, Vaughn LM, Dias S, Harris J. A Guide to Selecting Participatory Research Methods Based on Project and Partnership Goals. J Particip Res Methods. 2022;3. https://doi.org/10.35844/001c.32605</w:t>
      </w:r>
    </w:p>
    <w:p w14:paraId="132029A7" w14:textId="77777777" w:rsidR="00D544EF" w:rsidRPr="00941F00" w:rsidRDefault="00D544EF" w:rsidP="00D544EF">
      <w:pPr>
        <w:pStyle w:val="Bibliography"/>
      </w:pPr>
      <w:r w:rsidRPr="00941F00">
        <w:t xml:space="preserve">19. Zampas C, Nihlén Å. The state of international human rights law on sexual and reproductive health: an overview. Health Hum Rights. 2025;27:291–304. </w:t>
      </w:r>
    </w:p>
    <w:p w14:paraId="53EAB339" w14:textId="77777777" w:rsidR="00D544EF" w:rsidRPr="00941F00" w:rsidRDefault="00D544EF" w:rsidP="00D544EF">
      <w:pPr>
        <w:pStyle w:val="Bibliography"/>
      </w:pPr>
      <w:r w:rsidRPr="00941F00">
        <w:t>20. UNFPA. Elevating rights and choices for all: guidance note for applying a human rights-based approach to programming [Internet]. New York: UNFPA; 2020. https://www.unfpa.org/sites/default/files/pub-pdf/2020_HRBA_guidance.pdf</w:t>
      </w:r>
    </w:p>
    <w:p w14:paraId="6DEA7D74" w14:textId="77777777" w:rsidR="00D544EF" w:rsidRPr="00941F00" w:rsidRDefault="00D544EF" w:rsidP="00D544EF">
      <w:pPr>
        <w:pStyle w:val="Bibliography"/>
      </w:pPr>
      <w:r w:rsidRPr="00941F00">
        <w:t>21. Kaijser A, Kronsell A. Climate change through the lens of intersectionality. Environ Polit. Routledge; 2014;23:417–33. https://doi.org/10.1080/09644016.2013.835203</w:t>
      </w:r>
    </w:p>
    <w:p w14:paraId="57DBAC9F" w14:textId="77777777" w:rsidR="00D544EF" w:rsidRPr="00941F00" w:rsidRDefault="00D544EF" w:rsidP="00D544EF">
      <w:pPr>
        <w:pStyle w:val="Bibliography"/>
      </w:pPr>
      <w:r w:rsidRPr="00941F00">
        <w:t>22. Larson E, George A, Morgan R, Poteat T. 10 Best resources on… intersectionality with an emphasis on low- and middle-income countries. Health Policy Plan. 2016;31:964–9. https://doi.org/10.1093/heapol/czw020</w:t>
      </w:r>
    </w:p>
    <w:p w14:paraId="217A35BE" w14:textId="77777777" w:rsidR="00D544EF" w:rsidRPr="00941F00" w:rsidRDefault="00D544EF" w:rsidP="00D544EF">
      <w:pPr>
        <w:pStyle w:val="Bibliography"/>
      </w:pPr>
      <w:r w:rsidRPr="00941F00">
        <w:t>23. Parry L, Radel C, Adamo SB, Clark N, Counterman M, Flores-Yeffal N, et al. The (in)visible health risks of climate change. Soc Sci Med. 2019;241:112448. https://doi.org/10.1016/j.socscimed.2019.112448</w:t>
      </w:r>
    </w:p>
    <w:p w14:paraId="686C75AA" w14:textId="77777777" w:rsidR="00D544EF" w:rsidRPr="00CC2AAC" w:rsidRDefault="00D544EF" w:rsidP="00D544EF">
      <w:pPr>
        <w:pStyle w:val="Bibliography"/>
        <w:rPr>
          <w:lang w:val="fr-FR"/>
        </w:rPr>
      </w:pPr>
      <w:r w:rsidRPr="00941F00">
        <w:t xml:space="preserve">24. Sasser JS. At the intersection of climate justice and reproductive justice. </w:t>
      </w:r>
      <w:r w:rsidRPr="00CC2AAC">
        <w:rPr>
          <w:lang w:val="fr-FR"/>
        </w:rPr>
        <w:t>WIREs Clim Change. 2024;15:e860. https://doi.org/10.1002/wcc.860</w:t>
      </w:r>
    </w:p>
    <w:p w14:paraId="6A9B107E" w14:textId="23EAEB14" w:rsidR="005F40DC" w:rsidRPr="00CC2AAC" w:rsidRDefault="00C049A4" w:rsidP="00D544EF">
      <w:pPr>
        <w:pStyle w:val="Bibliography"/>
        <w:rPr>
          <w:lang w:val="fr-FR"/>
        </w:rPr>
      </w:pPr>
      <w:r w:rsidRPr="00CC2AAC">
        <w:rPr>
          <w:lang w:val="fr-FR"/>
        </w:rPr>
        <w:fldChar w:fldCharType="end"/>
      </w:r>
      <w:r w:rsidRPr="00CC2AAC">
        <w:rPr>
          <w:lang w:val="fr-FR"/>
        </w:rPr>
        <w:br w:type="page"/>
      </w:r>
    </w:p>
    <w:p w14:paraId="382F27F7" w14:textId="77777777" w:rsidR="00C049A4" w:rsidRPr="00CC2AAC" w:rsidRDefault="00C049A4" w:rsidP="008E4801">
      <w:pPr>
        <w:pStyle w:val="Heading1"/>
        <w:rPr>
          <w:lang w:val="fr-FR"/>
        </w:rPr>
      </w:pPr>
      <w:r w:rsidRPr="00CC2AAC">
        <w:rPr>
          <w:lang w:val="fr-FR"/>
        </w:rPr>
        <w:lastRenderedPageBreak/>
        <w:t xml:space="preserve">Annexe 1 : Orientations complémentaires pour </w:t>
      </w:r>
      <w:proofErr w:type="gramStart"/>
      <w:r w:rsidRPr="00CC2AAC">
        <w:rPr>
          <w:lang w:val="fr-FR"/>
        </w:rPr>
        <w:t xml:space="preserve">les </w:t>
      </w:r>
      <w:proofErr w:type="spellStart"/>
      <w:r w:rsidRPr="00CC2AAC">
        <w:rPr>
          <w:lang w:val="fr-FR"/>
        </w:rPr>
        <w:t>candidat</w:t>
      </w:r>
      <w:proofErr w:type="gramEnd"/>
      <w:r w:rsidRPr="00CC2AAC">
        <w:rPr>
          <w:lang w:val="fr-FR"/>
        </w:rPr>
        <w:t>·e·s</w:t>
      </w:r>
      <w:proofErr w:type="spellEnd"/>
    </w:p>
    <w:p w14:paraId="041CEDF9" w14:textId="77777777" w:rsidR="00C049A4" w:rsidRPr="00CC2AAC" w:rsidRDefault="00C049A4" w:rsidP="008E4801">
      <w:pPr>
        <w:spacing w:before="60" w:after="120"/>
        <w:rPr>
          <w:lang w:val="fr-FR"/>
        </w:rPr>
      </w:pPr>
      <w:r w:rsidRPr="00CC2AAC">
        <w:rPr>
          <w:color w:val="333333"/>
          <w:lang w:val="fr-FR"/>
        </w:rPr>
        <w:t>Cette annexe fournit des orientations complémentaires sur les exigences méthodologiques. Elle est conçue comme une ressource et n’ajoute pas d’exigences au-delà de celles énoncées dans la section 3.</w:t>
      </w:r>
    </w:p>
    <w:p w14:paraId="64E2289F" w14:textId="77777777" w:rsidR="00C049A4" w:rsidRPr="00CC2AAC" w:rsidRDefault="00C049A4" w:rsidP="008E4801">
      <w:pPr>
        <w:spacing w:after="120"/>
        <w:rPr>
          <w:lang w:val="fr-FR"/>
        </w:rPr>
      </w:pPr>
    </w:p>
    <w:p w14:paraId="533D3A52" w14:textId="77777777" w:rsidR="00C049A4" w:rsidRPr="00CC2AAC" w:rsidRDefault="00C049A4" w:rsidP="008E4801">
      <w:pPr>
        <w:pStyle w:val="Heading2"/>
        <w:pBdr>
          <w:bottom w:val="single" w:sz="2" w:space="4" w:color="CCCCCC"/>
        </w:pBdr>
        <w:spacing w:after="120"/>
        <w:rPr>
          <w:lang w:val="fr-FR"/>
        </w:rPr>
      </w:pPr>
      <w:r w:rsidRPr="00CC2AAC">
        <w:rPr>
          <w:lang w:val="fr-FR"/>
        </w:rPr>
        <w:t>Recherche participative : cadres de gouvernance</w:t>
      </w:r>
    </w:p>
    <w:p w14:paraId="6EF33E78" w14:textId="306CB712" w:rsidR="00C049A4" w:rsidRPr="00CC2AAC" w:rsidRDefault="00C049A4" w:rsidP="008E4801">
      <w:pPr>
        <w:spacing w:before="60" w:after="120"/>
        <w:rPr>
          <w:lang w:val="fr-FR"/>
        </w:rPr>
      </w:pPr>
      <w:r w:rsidRPr="00CC2AAC">
        <w:rPr>
          <w:color w:val="333333"/>
          <w:lang w:val="fr-FR"/>
        </w:rPr>
        <w:t>Les propositions de recherche participative décrivent comment les partenaires communautaires sont impliqués dans la prise de décision tout au long du cycle de recherche. Une structure de gouvernance solide aborde : le rôle et l’autorité des membres de la communauté au sein de l’équipe de recherche ; les mécanismes de résolution des désaccords entre les partenaires de recherche et les partenaires communautaires ; la protection du programme de recherche contre toute captation commerciale ou institutionnelle ; et la négociation de la propriété intellectuelle et de la titularité des données avec les partenaires communautaires. Vous trouverez des ressources utiles dans la section des références.</w:t>
      </w:r>
    </w:p>
    <w:p w14:paraId="04B063E7" w14:textId="77777777" w:rsidR="00C049A4" w:rsidRPr="00CC2AAC" w:rsidRDefault="00C049A4" w:rsidP="008E4801">
      <w:pPr>
        <w:spacing w:after="120"/>
        <w:rPr>
          <w:lang w:val="fr-FR"/>
        </w:rPr>
      </w:pPr>
    </w:p>
    <w:p w14:paraId="30B8A3E8" w14:textId="77777777" w:rsidR="00C049A4" w:rsidRPr="00CC2AAC" w:rsidRDefault="00C049A4" w:rsidP="008E4801">
      <w:pPr>
        <w:pStyle w:val="Heading2"/>
        <w:pBdr>
          <w:bottom w:val="single" w:sz="2" w:space="4" w:color="CCCCCC"/>
        </w:pBdr>
        <w:spacing w:after="120"/>
        <w:rPr>
          <w:lang w:val="fr-FR"/>
        </w:rPr>
      </w:pPr>
      <w:r w:rsidRPr="00CC2AAC">
        <w:rPr>
          <w:lang w:val="fr-FR"/>
        </w:rPr>
        <w:t>Options d’intégration des méthodes mixtes</w:t>
      </w:r>
    </w:p>
    <w:p w14:paraId="3674CBE8" w14:textId="575EEABC" w:rsidR="00C049A4" w:rsidRPr="00CC2AAC" w:rsidRDefault="00FB10D6" w:rsidP="008E4801">
      <w:pPr>
        <w:spacing w:before="60" w:after="120"/>
        <w:rPr>
          <w:lang w:val="fr-FR"/>
        </w:rPr>
      </w:pPr>
      <w:r w:rsidRPr="00CC2AAC">
        <w:rPr>
          <w:color w:val="333333"/>
          <w:lang w:val="fr-FR"/>
        </w:rPr>
        <w:t>Les propositions de méthodes mixtes doivent indiquer quel type de conception en méthodes mixtes elles envisagent d’utiliser. Voici quelques-uns des plus fréquemment utilisés dans les études de conception en méthodes mixtes :</w:t>
      </w:r>
    </w:p>
    <w:p w14:paraId="39BF47D7" w14:textId="77777777" w:rsidR="00C049A4" w:rsidRPr="00CC2AAC" w:rsidRDefault="00C049A4" w:rsidP="008E4801">
      <w:pPr>
        <w:pStyle w:val="ListParagraph"/>
        <w:numPr>
          <w:ilvl w:val="0"/>
          <w:numId w:val="3"/>
        </w:numPr>
        <w:spacing w:before="40" w:after="120"/>
        <w:rPr>
          <w:lang w:val="fr-FR"/>
        </w:rPr>
      </w:pPr>
      <w:r w:rsidRPr="00CC2AAC">
        <w:rPr>
          <w:color w:val="333333"/>
          <w:lang w:val="fr-FR"/>
        </w:rPr>
        <w:t>Conception convergente : données qualitatives et quantitatives collectées en parallèle, puis fusionnées au stade de l’interprétation</w:t>
      </w:r>
    </w:p>
    <w:p w14:paraId="7A33E4A9" w14:textId="77777777" w:rsidR="00C049A4" w:rsidRPr="00CC2AAC" w:rsidRDefault="00C049A4" w:rsidP="008E4801">
      <w:pPr>
        <w:pStyle w:val="ListParagraph"/>
        <w:numPr>
          <w:ilvl w:val="0"/>
          <w:numId w:val="3"/>
        </w:numPr>
        <w:spacing w:before="40" w:after="120"/>
        <w:rPr>
          <w:lang w:val="fr-FR"/>
        </w:rPr>
      </w:pPr>
      <w:r w:rsidRPr="00CC2AAC">
        <w:rPr>
          <w:color w:val="333333"/>
          <w:lang w:val="fr-FR"/>
        </w:rPr>
        <w:t>Conception séquentielle explicative : données quantitatives collectées en premier ; données qualitatives ensuite utilisées pour expliquer ou élaborer les résultats</w:t>
      </w:r>
    </w:p>
    <w:p w14:paraId="33D81444" w14:textId="77777777" w:rsidR="00C049A4" w:rsidRPr="00CC2AAC" w:rsidRDefault="00C049A4" w:rsidP="008E4801">
      <w:pPr>
        <w:pStyle w:val="ListParagraph"/>
        <w:numPr>
          <w:ilvl w:val="0"/>
          <w:numId w:val="3"/>
        </w:numPr>
        <w:spacing w:before="40" w:after="120"/>
        <w:rPr>
          <w:lang w:val="fr-FR"/>
        </w:rPr>
      </w:pPr>
      <w:r w:rsidRPr="00CC2AAC">
        <w:rPr>
          <w:color w:val="333333"/>
          <w:lang w:val="fr-FR"/>
        </w:rPr>
        <w:t>Conception séquentielle exploratoire : données qualitatives collectées en premier pour éclairer la conception des instruments quantitatifs</w:t>
      </w:r>
    </w:p>
    <w:p w14:paraId="3DBFABAE" w14:textId="77777777" w:rsidR="001F0D22" w:rsidRPr="00CC2AAC" w:rsidRDefault="001F0D22" w:rsidP="001F0D22">
      <w:pPr>
        <w:spacing w:before="40" w:after="120"/>
        <w:rPr>
          <w:lang w:val="fr-FR"/>
        </w:rPr>
      </w:pPr>
    </w:p>
    <w:p w14:paraId="1F6BA11E" w14:textId="77777777" w:rsidR="001F0D22" w:rsidRPr="00CC2AAC" w:rsidRDefault="001F0D22" w:rsidP="001F0D22">
      <w:pPr>
        <w:pStyle w:val="Heading2"/>
        <w:pBdr>
          <w:bottom w:val="single" w:sz="2" w:space="4" w:color="CCCCCC"/>
        </w:pBdr>
        <w:spacing w:after="120"/>
        <w:rPr>
          <w:lang w:val="fr-FR"/>
        </w:rPr>
      </w:pPr>
      <w:r w:rsidRPr="00CC2AAC">
        <w:rPr>
          <w:lang w:val="fr-FR"/>
        </w:rPr>
        <w:t>Sources de données quantitatives</w:t>
      </w:r>
    </w:p>
    <w:p w14:paraId="7F10AC26" w14:textId="77777777" w:rsidR="001F0D22" w:rsidRPr="00CC2AAC" w:rsidRDefault="001F0D22" w:rsidP="001F0D22">
      <w:pPr>
        <w:spacing w:before="60" w:after="120"/>
        <w:rPr>
          <w:lang w:val="fr-FR"/>
        </w:rPr>
      </w:pPr>
      <w:r w:rsidRPr="00CC2AAC">
        <w:rPr>
          <w:color w:val="333333"/>
          <w:lang w:val="fr-FR"/>
        </w:rPr>
        <w:t>Le volet quantitatif de l’étude peut s’appuyer sur l’un quelconque des éléments suivants, selon leur disponibilité et leur pertinence dans le contexte de l’étude :</w:t>
      </w:r>
    </w:p>
    <w:p w14:paraId="3DA92D1C" w14:textId="77777777" w:rsidR="001F0D22" w:rsidRPr="00CC2AAC" w:rsidRDefault="001F0D22" w:rsidP="001F0D22">
      <w:pPr>
        <w:pStyle w:val="ListParagraph"/>
        <w:numPr>
          <w:ilvl w:val="0"/>
          <w:numId w:val="3"/>
        </w:numPr>
        <w:spacing w:before="40" w:after="120"/>
        <w:rPr>
          <w:lang w:val="fr-FR"/>
        </w:rPr>
      </w:pPr>
      <w:r w:rsidRPr="00CC2AAC">
        <w:rPr>
          <w:color w:val="333333"/>
          <w:lang w:val="fr-FR"/>
        </w:rPr>
        <w:t>Statistiques d’état civil et données d’enregistrement civil nationales</w:t>
      </w:r>
    </w:p>
    <w:p w14:paraId="1E345607" w14:textId="77777777" w:rsidR="001F0D22" w:rsidRPr="00CC2AAC" w:rsidRDefault="001F0D22" w:rsidP="001F0D22">
      <w:pPr>
        <w:pStyle w:val="ListParagraph"/>
        <w:numPr>
          <w:ilvl w:val="0"/>
          <w:numId w:val="3"/>
        </w:numPr>
        <w:spacing w:before="40" w:after="120"/>
        <w:rPr>
          <w:lang w:val="fr-FR"/>
        </w:rPr>
      </w:pPr>
      <w:r w:rsidRPr="00CC2AAC">
        <w:rPr>
          <w:color w:val="333333"/>
          <w:lang w:val="fr-FR"/>
        </w:rPr>
        <w:t>Évaluations harmonisées des établissements de santé</w:t>
      </w:r>
    </w:p>
    <w:p w14:paraId="58D50FA0" w14:textId="77777777" w:rsidR="001F0D22" w:rsidRPr="00CC2AAC" w:rsidRDefault="001F0D22" w:rsidP="001F0D22">
      <w:pPr>
        <w:pStyle w:val="ListParagraph"/>
        <w:numPr>
          <w:ilvl w:val="0"/>
          <w:numId w:val="3"/>
        </w:numPr>
        <w:spacing w:before="40" w:after="120"/>
        <w:rPr>
          <w:lang w:val="fr-FR"/>
        </w:rPr>
      </w:pPr>
      <w:r w:rsidRPr="00CC2AAC">
        <w:rPr>
          <w:color w:val="333333"/>
          <w:lang w:val="fr-FR"/>
        </w:rPr>
        <w:t>Dossiers médicaux des établissements de santé</w:t>
      </w:r>
    </w:p>
    <w:p w14:paraId="00C5591A" w14:textId="77777777" w:rsidR="001F0D22" w:rsidRPr="00CC2AAC" w:rsidRDefault="001F0D22" w:rsidP="001F0D22">
      <w:pPr>
        <w:pStyle w:val="ListParagraph"/>
        <w:numPr>
          <w:ilvl w:val="0"/>
          <w:numId w:val="3"/>
        </w:numPr>
        <w:spacing w:before="40" w:after="120"/>
        <w:rPr>
          <w:lang w:val="fr-FR"/>
        </w:rPr>
      </w:pPr>
      <w:r w:rsidRPr="00CC2AAC">
        <w:rPr>
          <w:color w:val="333333"/>
          <w:lang w:val="fr-FR"/>
        </w:rPr>
        <w:t>Enquêtes nationales existantes auprès des ménages ou enquêtes démographiques incluant des résultats en matière de SDSR</w:t>
      </w:r>
    </w:p>
    <w:p w14:paraId="2DF7E41B" w14:textId="77777777" w:rsidR="001F0D22" w:rsidRPr="00CC2AAC" w:rsidRDefault="001F0D22" w:rsidP="001F0D22">
      <w:pPr>
        <w:pStyle w:val="ListParagraph"/>
        <w:numPr>
          <w:ilvl w:val="0"/>
          <w:numId w:val="3"/>
        </w:numPr>
        <w:spacing w:before="40" w:after="120"/>
        <w:rPr>
          <w:lang w:val="fr-FR"/>
        </w:rPr>
      </w:pPr>
      <w:r w:rsidRPr="00CC2AAC">
        <w:rPr>
          <w:color w:val="333333"/>
          <w:lang w:val="fr-FR"/>
        </w:rPr>
        <w:t>Enquêtes au niveau communautaire conçues et administrées en partenariat avec l’équipe de recherche</w:t>
      </w:r>
    </w:p>
    <w:p w14:paraId="0C226DB6" w14:textId="77777777" w:rsidR="00645F5F" w:rsidRPr="00CC2AAC" w:rsidRDefault="00645F5F" w:rsidP="008E4801">
      <w:pPr>
        <w:spacing w:after="120"/>
        <w:rPr>
          <w:b/>
          <w:bCs/>
          <w:color w:val="006BB6"/>
          <w:sz w:val="28"/>
          <w:szCs w:val="28"/>
          <w:lang w:val="fr-FR"/>
        </w:rPr>
      </w:pPr>
      <w:r w:rsidRPr="00CC2AAC">
        <w:rPr>
          <w:lang w:val="fr-FR"/>
        </w:rPr>
        <w:br w:type="page"/>
      </w:r>
    </w:p>
    <w:p w14:paraId="59D4A144" w14:textId="1B552359" w:rsidR="005F40DC" w:rsidRPr="00CC2AAC" w:rsidRDefault="00590F36" w:rsidP="008E4801">
      <w:pPr>
        <w:pStyle w:val="Heading1"/>
        <w:rPr>
          <w:lang w:val="fr-FR"/>
        </w:rPr>
      </w:pPr>
      <w:r w:rsidRPr="00CC2AAC">
        <w:rPr>
          <w:lang w:val="fr-FR"/>
        </w:rPr>
        <w:lastRenderedPageBreak/>
        <w:t>Annexe 2 : Pays prioritaires</w:t>
      </w:r>
    </w:p>
    <w:p w14:paraId="4D3B9255" w14:textId="50F64936" w:rsidR="005F40DC" w:rsidRPr="00CC2AAC" w:rsidRDefault="00590F36" w:rsidP="008E4801">
      <w:pPr>
        <w:spacing w:before="60" w:after="120"/>
        <w:rPr>
          <w:lang w:val="fr-FR"/>
        </w:rPr>
      </w:pPr>
      <w:r w:rsidRPr="00CC2AAC">
        <w:rPr>
          <w:color w:val="333333"/>
          <w:lang w:val="fr-FR"/>
        </w:rPr>
        <w:t>Les pays suivants ont été identifiés comme ayant intégré des aspects des SDSR dans leurs Plans nationaux d’adaptation (PNA) ou Plans nationaux d’adaptation pour la santé (PNAS) à partir de 2024.</w:t>
      </w:r>
    </w:p>
    <w:p w14:paraId="01699E8D" w14:textId="77777777" w:rsidR="005F40DC" w:rsidRPr="00CC2AAC" w:rsidRDefault="005F40DC" w:rsidP="008E4801">
      <w:pPr>
        <w:spacing w:after="120"/>
        <w:rP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9"/>
        <w:gridCol w:w="3009"/>
      </w:tblGrid>
      <w:tr w:rsidR="0078037C" w:rsidRPr="00CC2AAC" w14:paraId="3BB9F36E"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4BF42844" w14:textId="77777777" w:rsidR="005F40DC" w:rsidRPr="00CC2AAC" w:rsidRDefault="00590F36" w:rsidP="008E4801">
            <w:pPr>
              <w:spacing w:after="120"/>
              <w:rPr>
                <w:lang w:val="fr-FR"/>
              </w:rPr>
            </w:pPr>
            <w:r w:rsidRPr="00CC2AAC">
              <w:rPr>
                <w:color w:val="333333"/>
                <w:lang w:val="fr-FR"/>
              </w:rPr>
              <w:t>Bangladesh</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0B99683" w14:textId="6DB1792E" w:rsidR="005F40DC" w:rsidRPr="00CC2AAC" w:rsidRDefault="00590F36" w:rsidP="008E4801">
            <w:pPr>
              <w:spacing w:after="120"/>
              <w:rPr>
                <w:lang w:val="fr-FR"/>
              </w:rPr>
            </w:pPr>
            <w:r w:rsidRPr="00CC2AAC">
              <w:rPr>
                <w:color w:val="333333"/>
                <w:lang w:val="fr-FR"/>
              </w:rPr>
              <w:t>Grenad</w:t>
            </w:r>
            <w:r w:rsidR="00F94ED9">
              <w:rPr>
                <w:color w:val="333333"/>
                <w:lang w:val="fr-FR"/>
              </w:rPr>
              <w:t>e</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1AD014C8" w14:textId="30116575" w:rsidR="005F40DC" w:rsidRPr="00CC2AAC" w:rsidRDefault="00590F36" w:rsidP="008E4801">
            <w:pPr>
              <w:spacing w:after="120"/>
              <w:rPr>
                <w:lang w:val="fr-FR"/>
              </w:rPr>
            </w:pPr>
            <w:r w:rsidRPr="00CC2AAC">
              <w:rPr>
                <w:color w:val="333333"/>
                <w:lang w:val="fr-FR"/>
              </w:rPr>
              <w:t>P</w:t>
            </w:r>
            <w:r w:rsidR="00F221C3">
              <w:rPr>
                <w:color w:val="333333"/>
                <w:lang w:val="fr-FR"/>
              </w:rPr>
              <w:t>érou</w:t>
            </w:r>
          </w:p>
        </w:tc>
      </w:tr>
      <w:tr w:rsidR="0078037C" w:rsidRPr="00CC2AAC" w14:paraId="1BA40CB2"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7BC9455" w14:textId="73BD1DCB" w:rsidR="005F40DC" w:rsidRPr="00CC2AAC" w:rsidRDefault="00590F36" w:rsidP="008E4801">
            <w:pPr>
              <w:spacing w:after="120"/>
              <w:rPr>
                <w:lang w:val="fr-FR"/>
              </w:rPr>
            </w:pPr>
            <w:r w:rsidRPr="00CC2AAC">
              <w:rPr>
                <w:color w:val="333333"/>
                <w:lang w:val="fr-FR"/>
              </w:rPr>
              <w:t>B</w:t>
            </w:r>
            <w:r w:rsidR="0095387A">
              <w:rPr>
                <w:color w:val="333333"/>
                <w:lang w:val="fr-FR"/>
              </w:rPr>
              <w:t>é</w:t>
            </w:r>
            <w:r w:rsidRPr="00CC2AAC">
              <w:rPr>
                <w:color w:val="333333"/>
                <w:lang w:val="fr-FR"/>
              </w:rPr>
              <w:t>nin</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489364C2" w14:textId="77777777" w:rsidR="005F40DC" w:rsidRPr="00CC2AAC" w:rsidRDefault="00590F36" w:rsidP="008E4801">
            <w:pPr>
              <w:spacing w:after="120"/>
              <w:rPr>
                <w:lang w:val="fr-FR"/>
              </w:rPr>
            </w:pPr>
            <w:r w:rsidRPr="00CC2AAC">
              <w:rPr>
                <w:color w:val="333333"/>
                <w:lang w:val="fr-FR"/>
              </w:rPr>
              <w:t>Guatemala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598D452F" w14:textId="6342DE2E" w:rsidR="005F40DC" w:rsidRPr="00CC2AAC" w:rsidRDefault="00F221C3" w:rsidP="008E4801">
            <w:pPr>
              <w:spacing w:after="120"/>
              <w:rPr>
                <w:lang w:val="fr-FR"/>
              </w:rPr>
            </w:pPr>
            <w:r w:rsidRPr="00CC2AAC">
              <w:rPr>
                <w:color w:val="333333"/>
                <w:lang w:val="fr-FR"/>
              </w:rPr>
              <w:t>Serbie</w:t>
            </w:r>
          </w:p>
        </w:tc>
      </w:tr>
      <w:tr w:rsidR="0078037C" w:rsidRPr="00CC2AAC" w14:paraId="2A63D8C9"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F87BC5C" w14:textId="1FC20751" w:rsidR="005F40DC" w:rsidRPr="00CC2AAC" w:rsidRDefault="00590F36" w:rsidP="008E4801">
            <w:pPr>
              <w:spacing w:after="120"/>
              <w:rPr>
                <w:lang w:val="fr-FR"/>
              </w:rPr>
            </w:pPr>
            <w:r w:rsidRPr="00CC2AAC">
              <w:rPr>
                <w:color w:val="333333"/>
                <w:lang w:val="fr-FR"/>
              </w:rPr>
              <w:t>Bosni</w:t>
            </w:r>
            <w:r w:rsidR="0095387A">
              <w:rPr>
                <w:color w:val="333333"/>
                <w:lang w:val="fr-FR"/>
              </w:rPr>
              <w:t>e</w:t>
            </w:r>
            <w:r w:rsidR="00331492">
              <w:rPr>
                <w:color w:val="333333"/>
                <w:lang w:val="fr-FR"/>
              </w:rPr>
              <w:t>-</w:t>
            </w:r>
            <w:r w:rsidRPr="00CC2AAC">
              <w:rPr>
                <w:color w:val="333333"/>
                <w:lang w:val="fr-FR"/>
              </w:rPr>
              <w:t>Herz</w:t>
            </w:r>
            <w:r w:rsidR="00331492">
              <w:rPr>
                <w:color w:val="333333"/>
                <w:lang w:val="fr-FR"/>
              </w:rPr>
              <w:t>é</w:t>
            </w:r>
            <w:r w:rsidRPr="00CC2AAC">
              <w:rPr>
                <w:color w:val="333333"/>
                <w:lang w:val="fr-FR"/>
              </w:rPr>
              <w:t>govin</w:t>
            </w:r>
            <w:r w:rsidR="00331492">
              <w:rPr>
                <w:color w:val="333333"/>
                <w:lang w:val="fr-FR"/>
              </w:rPr>
              <w:t>e</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1552225D" w14:textId="77777777" w:rsidR="005F40DC" w:rsidRPr="00CC2AAC" w:rsidRDefault="00590F36" w:rsidP="008E4801">
            <w:pPr>
              <w:spacing w:after="120"/>
              <w:rPr>
                <w:lang w:val="fr-FR"/>
              </w:rPr>
            </w:pPr>
            <w:r w:rsidRPr="00CC2AAC">
              <w:rPr>
                <w:color w:val="333333"/>
                <w:lang w:val="fr-FR"/>
              </w:rPr>
              <w:t>Kenya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AFD16E4" w14:textId="77777777" w:rsidR="005F40DC" w:rsidRPr="00CC2AAC" w:rsidRDefault="00590F36" w:rsidP="008E4801">
            <w:pPr>
              <w:spacing w:after="120"/>
              <w:rPr>
                <w:lang w:val="fr-FR"/>
              </w:rPr>
            </w:pPr>
            <w:r w:rsidRPr="00CC2AAC">
              <w:rPr>
                <w:color w:val="333333"/>
                <w:lang w:val="fr-FR"/>
              </w:rPr>
              <w:t>Sierra Leone</w:t>
            </w:r>
          </w:p>
        </w:tc>
      </w:tr>
      <w:tr w:rsidR="0078037C" w:rsidRPr="00CC2AAC" w14:paraId="32B7021C"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53805416" w14:textId="430E8F9E" w:rsidR="005F40DC" w:rsidRPr="00CC2AAC" w:rsidRDefault="00590F36" w:rsidP="008E4801">
            <w:pPr>
              <w:spacing w:after="120"/>
              <w:rPr>
                <w:lang w:val="fr-FR"/>
              </w:rPr>
            </w:pPr>
            <w:r w:rsidRPr="00CC2AAC">
              <w:rPr>
                <w:color w:val="333333"/>
                <w:lang w:val="fr-FR"/>
              </w:rPr>
              <w:t>Br</w:t>
            </w:r>
            <w:r w:rsidR="00331492">
              <w:rPr>
                <w:color w:val="333333"/>
                <w:lang w:val="fr-FR"/>
              </w:rPr>
              <w:t>és</w:t>
            </w:r>
            <w:r w:rsidRPr="00CC2AAC">
              <w:rPr>
                <w:color w:val="333333"/>
                <w:lang w:val="fr-FR"/>
              </w:rPr>
              <w:t>il</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7D26AB40" w14:textId="77777777" w:rsidR="005F40DC" w:rsidRPr="00CC2AAC" w:rsidRDefault="00590F36" w:rsidP="008E4801">
            <w:pPr>
              <w:spacing w:after="120"/>
              <w:rPr>
                <w:lang w:val="fr-FR"/>
              </w:rPr>
            </w:pPr>
            <w:r w:rsidRPr="00CC2AAC">
              <w:rPr>
                <w:color w:val="333333"/>
                <w:lang w:val="fr-FR"/>
              </w:rPr>
              <w:t>Kiribati</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4F84BF98" w14:textId="2C3E96BA" w:rsidR="005F40DC" w:rsidRPr="00CC2AAC" w:rsidRDefault="00F221C3" w:rsidP="008E4801">
            <w:pPr>
              <w:spacing w:after="120"/>
              <w:rPr>
                <w:lang w:val="fr-FR"/>
              </w:rPr>
            </w:pPr>
            <w:r>
              <w:rPr>
                <w:color w:val="333333"/>
                <w:lang w:val="fr-FR"/>
              </w:rPr>
              <w:t>Afrique du Sud</w:t>
            </w:r>
          </w:p>
        </w:tc>
      </w:tr>
      <w:tr w:rsidR="0078037C" w:rsidRPr="00CC2AAC" w14:paraId="6F6AC859"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31D8C87C" w14:textId="77777777" w:rsidR="005F40DC" w:rsidRPr="00CC2AAC" w:rsidRDefault="00590F36" w:rsidP="008E4801">
            <w:pPr>
              <w:spacing w:after="120"/>
              <w:rPr>
                <w:lang w:val="fr-FR"/>
              </w:rPr>
            </w:pPr>
            <w:r w:rsidRPr="00CC2AAC">
              <w:rPr>
                <w:color w:val="333333"/>
                <w:lang w:val="fr-FR"/>
              </w:rPr>
              <w:t>Burkina Faso</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64900E7E" w14:textId="52FFF6FA" w:rsidR="005F40DC" w:rsidRPr="00CC2AAC" w:rsidRDefault="00590F36" w:rsidP="008E4801">
            <w:pPr>
              <w:spacing w:after="120"/>
              <w:rPr>
                <w:lang w:val="fr-FR"/>
              </w:rPr>
            </w:pPr>
            <w:r w:rsidRPr="00CC2AAC">
              <w:rPr>
                <w:color w:val="333333"/>
                <w:lang w:val="fr-FR"/>
              </w:rPr>
              <w:t>Lib</w:t>
            </w:r>
            <w:r w:rsidR="00F94ED9">
              <w:rPr>
                <w:color w:val="333333"/>
                <w:lang w:val="fr-FR"/>
              </w:rPr>
              <w:t>é</w:t>
            </w:r>
            <w:r w:rsidRPr="00CC2AAC">
              <w:rPr>
                <w:color w:val="333333"/>
                <w:lang w:val="fr-FR"/>
              </w:rPr>
              <w:t>ria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588E2A0" w14:textId="7690C7BF" w:rsidR="005F40DC" w:rsidRPr="00CC2AAC" w:rsidRDefault="00F221C3" w:rsidP="008E4801">
            <w:pPr>
              <w:spacing w:after="120"/>
              <w:rPr>
                <w:lang w:val="fr-FR"/>
              </w:rPr>
            </w:pPr>
            <w:r w:rsidRPr="00CC2AAC">
              <w:rPr>
                <w:color w:val="333333"/>
                <w:lang w:val="fr-FR"/>
              </w:rPr>
              <w:t>Soudan</w:t>
            </w:r>
          </w:p>
        </w:tc>
      </w:tr>
      <w:tr w:rsidR="0078037C" w:rsidRPr="00CC2AAC" w14:paraId="7F5B82FB"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E94EF52" w14:textId="4B5103E9" w:rsidR="005F40DC" w:rsidRPr="00CC2AAC" w:rsidRDefault="00590F36" w:rsidP="008E4801">
            <w:pPr>
              <w:spacing w:after="120"/>
              <w:rPr>
                <w:lang w:val="fr-FR"/>
              </w:rPr>
            </w:pPr>
            <w:r w:rsidRPr="00CC2AAC">
              <w:rPr>
                <w:color w:val="333333"/>
                <w:lang w:val="fr-FR"/>
              </w:rPr>
              <w:t>Camb</w:t>
            </w:r>
            <w:r w:rsidR="00331492">
              <w:rPr>
                <w:color w:val="333333"/>
                <w:lang w:val="fr-FR"/>
              </w:rPr>
              <w:t>odge</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2AE19B1" w14:textId="77777777" w:rsidR="005F40DC" w:rsidRPr="00CC2AAC" w:rsidRDefault="00590F36" w:rsidP="008E4801">
            <w:pPr>
              <w:spacing w:after="120"/>
              <w:rPr>
                <w:lang w:val="fr-FR"/>
              </w:rPr>
            </w:pPr>
            <w:r w:rsidRPr="00CC2AAC">
              <w:rPr>
                <w:color w:val="333333"/>
                <w:lang w:val="fr-FR"/>
              </w:rPr>
              <w:t>Moldova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4C1C93B6" w14:textId="77777777" w:rsidR="005F40DC" w:rsidRPr="00CC2AAC" w:rsidRDefault="00590F36" w:rsidP="008E4801">
            <w:pPr>
              <w:spacing w:after="120"/>
              <w:rPr>
                <w:lang w:val="fr-FR"/>
              </w:rPr>
            </w:pPr>
            <w:r w:rsidRPr="00CC2AAC">
              <w:rPr>
                <w:color w:val="333333"/>
                <w:lang w:val="fr-FR"/>
              </w:rPr>
              <w:t>Suriname</w:t>
            </w:r>
          </w:p>
        </w:tc>
      </w:tr>
      <w:tr w:rsidR="0078037C" w:rsidRPr="00CC2AAC" w14:paraId="4D76C2EC"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4BCDD87" w14:textId="6CE287C6" w:rsidR="005F40DC" w:rsidRPr="00CC2AAC" w:rsidRDefault="00331492" w:rsidP="008E4801">
            <w:pPr>
              <w:spacing w:after="120"/>
              <w:rPr>
                <w:lang w:val="fr-FR"/>
              </w:rPr>
            </w:pPr>
            <w:r w:rsidRPr="00331492">
              <w:rPr>
                <w:color w:val="333333"/>
                <w:lang w:val="fr-FR"/>
              </w:rPr>
              <w:t>République centrafricaine</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C8B781C" w14:textId="77777777" w:rsidR="005F40DC" w:rsidRPr="00CC2AAC" w:rsidRDefault="00590F36" w:rsidP="008E4801">
            <w:pPr>
              <w:spacing w:after="120"/>
              <w:rPr>
                <w:lang w:val="fr-FR"/>
              </w:rPr>
            </w:pPr>
            <w:r w:rsidRPr="00CC2AAC">
              <w:rPr>
                <w:color w:val="333333"/>
                <w:lang w:val="fr-FR"/>
              </w:rPr>
              <w:t>Mozambique</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5D8B8B95" w14:textId="73DD9902" w:rsidR="005F40DC" w:rsidRPr="00CC2AAC" w:rsidRDefault="00F221C3" w:rsidP="008E4801">
            <w:pPr>
              <w:spacing w:after="120"/>
              <w:rPr>
                <w:lang w:val="fr-FR"/>
              </w:rPr>
            </w:pPr>
            <w:r w:rsidRPr="00CC2AAC">
              <w:rPr>
                <w:color w:val="333333"/>
                <w:lang w:val="fr-FR"/>
              </w:rPr>
              <w:t>Thaïlande</w:t>
            </w:r>
          </w:p>
        </w:tc>
      </w:tr>
      <w:tr w:rsidR="0078037C" w:rsidRPr="00CC2AAC" w14:paraId="0EE5CC49"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020B1DF" w14:textId="2D742046" w:rsidR="005F40DC" w:rsidRPr="00CC2AAC" w:rsidRDefault="00331492" w:rsidP="008E4801">
            <w:pPr>
              <w:spacing w:after="120"/>
              <w:rPr>
                <w:lang w:val="fr-FR"/>
              </w:rPr>
            </w:pPr>
            <w:r>
              <w:rPr>
                <w:color w:val="333333"/>
                <w:lang w:val="fr-FR"/>
              </w:rPr>
              <w:t>Tc</w:t>
            </w:r>
            <w:r w:rsidR="00590F36" w:rsidRPr="00CC2AAC">
              <w:rPr>
                <w:color w:val="333333"/>
                <w:lang w:val="fr-FR"/>
              </w:rPr>
              <w:t>had</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154A58E" w14:textId="24E89848" w:rsidR="005F40DC" w:rsidRPr="00CC2AAC" w:rsidRDefault="00F94ED9" w:rsidP="008E4801">
            <w:pPr>
              <w:spacing w:after="120"/>
              <w:rPr>
                <w:lang w:val="fr-FR"/>
              </w:rPr>
            </w:pPr>
            <w:r w:rsidRPr="00CC2AAC">
              <w:rPr>
                <w:color w:val="333333"/>
                <w:lang w:val="fr-FR"/>
              </w:rPr>
              <w:t>Népal</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076027DC" w14:textId="77777777" w:rsidR="005F40DC" w:rsidRPr="00CC2AAC" w:rsidRDefault="00590F36" w:rsidP="008E4801">
            <w:pPr>
              <w:spacing w:after="120"/>
              <w:rPr>
                <w:lang w:val="fr-FR"/>
              </w:rPr>
            </w:pPr>
            <w:r w:rsidRPr="00CC2AAC">
              <w:rPr>
                <w:color w:val="333333"/>
                <w:lang w:val="fr-FR"/>
              </w:rPr>
              <w:t>Timor-Leste</w:t>
            </w:r>
          </w:p>
        </w:tc>
      </w:tr>
      <w:tr w:rsidR="0078037C" w:rsidRPr="00CC2AAC" w14:paraId="5429CF28"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20DACA30" w14:textId="77777777" w:rsidR="005F40DC" w:rsidRPr="00CC2AAC" w:rsidRDefault="00590F36" w:rsidP="008E4801">
            <w:pPr>
              <w:spacing w:after="120"/>
              <w:rPr>
                <w:lang w:val="fr-FR"/>
              </w:rPr>
            </w:pPr>
            <w:r w:rsidRPr="00CC2AAC">
              <w:rPr>
                <w:color w:val="333333"/>
                <w:lang w:val="fr-FR"/>
              </w:rPr>
              <w:t>Costa Rica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48B59B9" w14:textId="77777777" w:rsidR="005F40DC" w:rsidRPr="00CC2AAC" w:rsidRDefault="00590F36" w:rsidP="008E4801">
            <w:pPr>
              <w:spacing w:after="120"/>
              <w:rPr>
                <w:lang w:val="fr-FR"/>
              </w:rPr>
            </w:pPr>
            <w:r w:rsidRPr="00CC2AAC">
              <w:rPr>
                <w:color w:val="333333"/>
                <w:lang w:val="fr-FR"/>
              </w:rPr>
              <w:t>Niger</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0FDD037" w14:textId="57DCC180" w:rsidR="005F40DC" w:rsidRPr="00CC2AAC" w:rsidRDefault="00590F36" w:rsidP="008E4801">
            <w:pPr>
              <w:spacing w:after="120"/>
              <w:rPr>
                <w:lang w:val="fr-FR"/>
              </w:rPr>
            </w:pPr>
            <w:r w:rsidRPr="00CC2AAC">
              <w:rPr>
                <w:color w:val="333333"/>
                <w:lang w:val="fr-FR"/>
              </w:rPr>
              <w:t>Trini</w:t>
            </w:r>
            <w:r w:rsidR="00F221C3">
              <w:rPr>
                <w:color w:val="333333"/>
                <w:lang w:val="fr-FR"/>
              </w:rPr>
              <w:t>té-et-</w:t>
            </w:r>
            <w:r w:rsidRPr="00CC2AAC">
              <w:rPr>
                <w:color w:val="333333"/>
                <w:lang w:val="fr-FR"/>
              </w:rPr>
              <w:t>Tobago</w:t>
            </w:r>
          </w:p>
        </w:tc>
      </w:tr>
      <w:tr w:rsidR="0078037C" w:rsidRPr="00CC2AAC" w14:paraId="43F57BDE"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2FD1110" w14:textId="7E04C650" w:rsidR="005F40DC" w:rsidRPr="00CC2AAC" w:rsidRDefault="00F94ED9" w:rsidP="008E4801">
            <w:pPr>
              <w:spacing w:after="120"/>
              <w:rPr>
                <w:lang w:val="fr-FR"/>
              </w:rPr>
            </w:pPr>
            <w:r w:rsidRPr="00F94ED9">
              <w:rPr>
                <w:color w:val="333333"/>
                <w:lang w:val="fr-FR"/>
              </w:rPr>
              <w:t>République démocratique du Congo</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2184835B" w14:textId="0A99F373" w:rsidR="005F40DC" w:rsidRPr="00CC2AAC" w:rsidRDefault="00590F36" w:rsidP="008E4801">
            <w:pPr>
              <w:spacing w:after="120"/>
              <w:rPr>
                <w:lang w:val="fr-FR"/>
              </w:rPr>
            </w:pPr>
            <w:r w:rsidRPr="00CC2AAC">
              <w:rPr>
                <w:color w:val="333333"/>
                <w:lang w:val="fr-FR"/>
              </w:rPr>
              <w:t>Nig</w:t>
            </w:r>
            <w:r w:rsidR="00F94ED9">
              <w:rPr>
                <w:color w:val="333333"/>
                <w:lang w:val="fr-FR"/>
              </w:rPr>
              <w:t>é</w:t>
            </w:r>
            <w:r w:rsidRPr="00CC2AAC">
              <w:rPr>
                <w:color w:val="333333"/>
                <w:lang w:val="fr-FR"/>
              </w:rPr>
              <w:t>ria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73B00D27" w14:textId="6C4EF215" w:rsidR="005F40DC" w:rsidRPr="00CC2AAC" w:rsidRDefault="00E372CC" w:rsidP="008E4801">
            <w:pPr>
              <w:spacing w:after="120"/>
              <w:rPr>
                <w:lang w:val="fr-FR"/>
              </w:rPr>
            </w:pPr>
            <w:r w:rsidRPr="00E372CC">
              <w:rPr>
                <w:color w:val="333333"/>
                <w:lang w:val="fr-FR"/>
              </w:rPr>
              <w:t>République-Unie de Tanzanie</w:t>
            </w:r>
          </w:p>
        </w:tc>
      </w:tr>
      <w:tr w:rsidR="0078037C" w:rsidRPr="00CC2AAC" w14:paraId="3E5BC35B"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3B9DC04D" w14:textId="33672F00" w:rsidR="005F40DC" w:rsidRPr="00CC2AAC" w:rsidRDefault="00F94ED9" w:rsidP="008E4801">
            <w:pPr>
              <w:spacing w:after="120"/>
              <w:rPr>
                <w:lang w:val="fr-FR"/>
              </w:rPr>
            </w:pPr>
            <w:r w:rsidRPr="00F94ED9">
              <w:rPr>
                <w:color w:val="333333"/>
                <w:lang w:val="fr-FR"/>
              </w:rPr>
              <w:t>Éthiopie</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2DE71CD8" w14:textId="46A68F1C" w:rsidR="005F40DC" w:rsidRPr="00F221C3" w:rsidRDefault="00F221C3" w:rsidP="008E4801">
            <w:pPr>
              <w:spacing w:after="120"/>
              <w:rPr>
                <w:lang w:val="fr-FR"/>
              </w:rPr>
            </w:pPr>
            <w:proofErr w:type="gramStart"/>
            <w:r>
              <w:rPr>
                <w:color w:val="333333"/>
                <w:lang w:val="fr-FR"/>
              </w:rPr>
              <w:t>t</w:t>
            </w:r>
            <w:r w:rsidRPr="00F221C3">
              <w:rPr>
                <w:color w:val="333333"/>
                <w:lang w:val="fr-FR"/>
              </w:rPr>
              <w:t>erritoire</w:t>
            </w:r>
            <w:proofErr w:type="gramEnd"/>
            <w:r w:rsidRPr="00F221C3">
              <w:rPr>
                <w:color w:val="333333"/>
                <w:lang w:val="fr-FR"/>
              </w:rPr>
              <w:t xml:space="preserve"> </w:t>
            </w:r>
            <w:r>
              <w:rPr>
                <w:color w:val="333333"/>
                <w:lang w:val="fr-FR"/>
              </w:rPr>
              <w:t>P</w:t>
            </w:r>
            <w:r w:rsidRPr="00F221C3">
              <w:rPr>
                <w:color w:val="333333"/>
                <w:lang w:val="fr-FR"/>
              </w:rPr>
              <w:t>alestinien occupé et Jérusalem-Est</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164A6044" w14:textId="77777777" w:rsidR="005F40DC" w:rsidRPr="00CC2AAC" w:rsidRDefault="00590F36" w:rsidP="008E4801">
            <w:pPr>
              <w:spacing w:after="120"/>
              <w:rPr>
                <w:lang w:val="fr-FR"/>
              </w:rPr>
            </w:pPr>
            <w:r w:rsidRPr="00CC2AAC">
              <w:rPr>
                <w:color w:val="333333"/>
                <w:lang w:val="fr-FR"/>
              </w:rPr>
              <w:t>Uruguay</w:t>
            </w:r>
          </w:p>
        </w:tc>
      </w:tr>
      <w:tr w:rsidR="0078037C" w:rsidRPr="00CC2AAC" w14:paraId="1904B932"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1624BCE" w14:textId="1882EF3D" w:rsidR="005F40DC" w:rsidRPr="00CC2AAC" w:rsidRDefault="00590F36" w:rsidP="008E4801">
            <w:pPr>
              <w:spacing w:after="120"/>
              <w:rPr>
                <w:lang w:val="fr-FR"/>
              </w:rPr>
            </w:pPr>
            <w:r w:rsidRPr="00CC2AAC">
              <w:rPr>
                <w:color w:val="333333"/>
                <w:lang w:val="fr-FR"/>
              </w:rPr>
              <w:t>Fi</w:t>
            </w:r>
            <w:r w:rsidR="00F94ED9">
              <w:rPr>
                <w:color w:val="333333"/>
                <w:lang w:val="fr-FR"/>
              </w:rPr>
              <w:t>d</w:t>
            </w:r>
            <w:r w:rsidRPr="00CC2AAC">
              <w:rPr>
                <w:color w:val="333333"/>
                <w:lang w:val="fr-FR"/>
              </w:rPr>
              <w:t>ji</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1302FE32" w14:textId="77777777" w:rsidR="005F40DC" w:rsidRPr="00CC2AAC" w:rsidRDefault="00590F36" w:rsidP="008E4801">
            <w:pPr>
              <w:spacing w:after="120"/>
              <w:rPr>
                <w:lang w:val="fr-FR"/>
              </w:rPr>
            </w:pPr>
            <w:r w:rsidRPr="00CC2AAC">
              <w:rPr>
                <w:color w:val="333333"/>
                <w:lang w:val="fr-FR"/>
              </w:rPr>
              <w:t>Pakistan</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74DE8E44" w14:textId="32C45771" w:rsidR="005F40DC" w:rsidRPr="00CC2AAC" w:rsidRDefault="00E372CC" w:rsidP="008E4801">
            <w:pPr>
              <w:spacing w:after="120"/>
              <w:rPr>
                <w:lang w:val="fr-FR"/>
              </w:rPr>
            </w:pPr>
            <w:r w:rsidRPr="00CC2AAC">
              <w:rPr>
                <w:color w:val="333333"/>
                <w:lang w:val="fr-FR"/>
              </w:rPr>
              <w:t>Zambie</w:t>
            </w:r>
          </w:p>
        </w:tc>
      </w:tr>
    </w:tbl>
    <w:p w14:paraId="65417B9E" w14:textId="77777777" w:rsidR="005F40DC" w:rsidRPr="00CC2AAC" w:rsidRDefault="005F40DC" w:rsidP="008E4801">
      <w:pPr>
        <w:spacing w:after="120"/>
        <w:rPr>
          <w:lang w:val="fr-FR"/>
        </w:rPr>
      </w:pPr>
    </w:p>
    <w:p w14:paraId="1C304F0B" w14:textId="77777777" w:rsidR="005F40DC" w:rsidRPr="00CC2AAC" w:rsidRDefault="00590F36" w:rsidP="008E4801">
      <w:pPr>
        <w:spacing w:before="60" w:after="120"/>
        <w:rPr>
          <w:sz w:val="18"/>
          <w:szCs w:val="18"/>
          <w:lang w:val="fr-FR"/>
        </w:rPr>
      </w:pPr>
      <w:proofErr w:type="gramStart"/>
      <w:r w:rsidRPr="00941F00">
        <w:rPr>
          <w:i/>
          <w:iCs/>
          <w:color w:val="333333"/>
          <w:sz w:val="18"/>
          <w:szCs w:val="18"/>
        </w:rPr>
        <w:t>Source :</w:t>
      </w:r>
      <w:proofErr w:type="gramEnd"/>
      <w:r w:rsidRPr="00941F00">
        <w:rPr>
          <w:i/>
          <w:iCs/>
          <w:color w:val="333333"/>
          <w:sz w:val="18"/>
          <w:szCs w:val="18"/>
        </w:rPr>
        <w:t xml:space="preserve"> </w:t>
      </w:r>
      <w:proofErr w:type="spellStart"/>
      <w:r w:rsidRPr="00941F00">
        <w:rPr>
          <w:i/>
          <w:iCs/>
          <w:color w:val="333333"/>
          <w:sz w:val="18"/>
          <w:szCs w:val="18"/>
        </w:rPr>
        <w:t>Alagarajah</w:t>
      </w:r>
      <w:proofErr w:type="spellEnd"/>
      <w:r w:rsidRPr="00941F00">
        <w:rPr>
          <w:i/>
          <w:iCs/>
          <w:color w:val="333333"/>
          <w:sz w:val="18"/>
          <w:szCs w:val="18"/>
        </w:rPr>
        <w:t xml:space="preserve"> J, Beeman A, Brown M, </w:t>
      </w:r>
      <w:proofErr w:type="spellStart"/>
      <w:r w:rsidRPr="00941F00">
        <w:rPr>
          <w:i/>
          <w:iCs/>
          <w:color w:val="333333"/>
          <w:sz w:val="18"/>
          <w:szCs w:val="18"/>
        </w:rPr>
        <w:t>Aibe</w:t>
      </w:r>
      <w:proofErr w:type="spellEnd"/>
      <w:r w:rsidRPr="00941F00">
        <w:rPr>
          <w:i/>
          <w:iCs/>
          <w:color w:val="333333"/>
          <w:sz w:val="18"/>
          <w:szCs w:val="18"/>
        </w:rPr>
        <w:t xml:space="preserve"> S, Fuchs NR, Gibbs T. Sexual and Reproductive Health and Rights in National Adaptation Plans and Health National Adaptation Plans: A Global Review. </w:t>
      </w:r>
      <w:r w:rsidRPr="00CC2AAC">
        <w:rPr>
          <w:i/>
          <w:iCs/>
          <w:color w:val="333333"/>
          <w:sz w:val="18"/>
          <w:szCs w:val="18"/>
          <w:lang w:val="fr-FR"/>
        </w:rPr>
        <w:t xml:space="preserve">2024 : </w:t>
      </w:r>
      <w:proofErr w:type="spellStart"/>
      <w:r w:rsidRPr="00CC2AAC">
        <w:rPr>
          <w:i/>
          <w:iCs/>
          <w:color w:val="333333"/>
          <w:sz w:val="18"/>
          <w:szCs w:val="18"/>
          <w:lang w:val="fr-FR"/>
        </w:rPr>
        <w:t>YLabs</w:t>
      </w:r>
      <w:proofErr w:type="spellEnd"/>
      <w:r w:rsidRPr="00CC2AAC">
        <w:rPr>
          <w:i/>
          <w:iCs/>
          <w:color w:val="333333"/>
          <w:sz w:val="18"/>
          <w:szCs w:val="18"/>
          <w:lang w:val="fr-FR"/>
        </w:rPr>
        <w:t>.</w:t>
      </w:r>
    </w:p>
    <w:p w14:paraId="04550907" w14:textId="77777777" w:rsidR="005F40DC" w:rsidRPr="00CC2AAC" w:rsidRDefault="005F40DC" w:rsidP="008E4801">
      <w:pPr>
        <w:spacing w:after="120"/>
        <w:rPr>
          <w:lang w:val="fr-FR"/>
        </w:rPr>
      </w:pPr>
    </w:p>
    <w:p w14:paraId="399998A3" w14:textId="0A5F28BB" w:rsidR="005F40DC" w:rsidRPr="00CC2AAC" w:rsidRDefault="005F40DC" w:rsidP="008E4801">
      <w:pPr>
        <w:spacing w:after="120"/>
        <w:rPr>
          <w:lang w:val="fr-FR"/>
        </w:rPr>
      </w:pPr>
    </w:p>
    <w:p w14:paraId="4E5F58E5" w14:textId="2612CD91" w:rsidR="005F40DC" w:rsidRPr="00CC2AAC" w:rsidRDefault="005F40DC" w:rsidP="008E4801">
      <w:pPr>
        <w:spacing w:after="120"/>
        <w:rPr>
          <w:lang w:val="fr-FR"/>
        </w:rPr>
      </w:pPr>
    </w:p>
    <w:sectPr w:rsidR="005F40DC" w:rsidRPr="00CC2AAC">
      <w:headerReference w:type="default" r:id="rId14"/>
      <w:footerReference w:type="default" r:id="rId15"/>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DFC0" w14:textId="77777777" w:rsidR="00506042" w:rsidRDefault="00506042">
      <w:r>
        <w:separator/>
      </w:r>
    </w:p>
  </w:endnote>
  <w:endnote w:type="continuationSeparator" w:id="0">
    <w:p w14:paraId="556ABD86" w14:textId="77777777" w:rsidR="00506042" w:rsidRDefault="00506042">
      <w:r>
        <w:continuationSeparator/>
      </w:r>
    </w:p>
  </w:endnote>
  <w:endnote w:type="continuationNotice" w:id="1">
    <w:p w14:paraId="3DCAB812" w14:textId="77777777" w:rsidR="00506042" w:rsidRDefault="00506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026"/>
    </w:tblGrid>
    <w:tr w:rsidR="009774C0" w14:paraId="57AA5606" w14:textId="77777777">
      <w:tc>
        <w:tcPr>
          <w:tcW w:w="6000" w:type="dxa"/>
          <w:tcBorders>
            <w:top w:val="single" w:sz="2" w:space="0" w:color="CCCCCC"/>
            <w:left w:val="none" w:sz="0" w:space="0" w:color="FFFFFF"/>
            <w:bottom w:val="none" w:sz="0" w:space="0" w:color="FFFFFF"/>
            <w:right w:val="none" w:sz="0" w:space="0" w:color="FFFFFF"/>
          </w:tcBorders>
          <w:tcMar>
            <w:top w:w="60" w:type="dxa"/>
            <w:left w:w="0" w:type="dxa"/>
            <w:bottom w:w="0" w:type="dxa"/>
            <w:right w:w="0" w:type="dxa"/>
          </w:tcMar>
        </w:tcPr>
        <w:p w14:paraId="3D0F1086" w14:textId="77777777" w:rsidR="005F40DC" w:rsidRDefault="00590F36">
          <w:r>
            <w:rPr>
              <w:color w:val="666666"/>
              <w:sz w:val="14"/>
              <w:szCs w:val="14"/>
            </w:rPr>
            <w:t xml:space="preserve">UNDP/UNFPA/UNICEF/WHO/World Bank Special </w:t>
          </w:r>
          <w:proofErr w:type="spellStart"/>
          <w:r>
            <w:rPr>
              <w:color w:val="666666"/>
              <w:sz w:val="14"/>
              <w:szCs w:val="14"/>
            </w:rPr>
            <w:t>Programme</w:t>
          </w:r>
          <w:proofErr w:type="spellEnd"/>
          <w:r>
            <w:rPr>
              <w:color w:val="666666"/>
              <w:sz w:val="14"/>
              <w:szCs w:val="14"/>
            </w:rPr>
            <w:t xml:space="preserve"> of Research (HRP)</w:t>
          </w:r>
        </w:p>
      </w:tc>
      <w:tc>
        <w:tcPr>
          <w:tcW w:w="3026" w:type="dxa"/>
          <w:tcBorders>
            <w:top w:val="single" w:sz="2" w:space="0" w:color="CCCCCC"/>
            <w:left w:val="none" w:sz="0" w:space="0" w:color="FFFFFF"/>
            <w:bottom w:val="none" w:sz="0" w:space="0" w:color="FFFFFF"/>
            <w:right w:val="none" w:sz="0" w:space="0" w:color="FFFFFF"/>
          </w:tcBorders>
          <w:tcMar>
            <w:top w:w="60" w:type="dxa"/>
            <w:left w:w="0" w:type="dxa"/>
            <w:bottom w:w="0" w:type="dxa"/>
            <w:right w:w="0" w:type="dxa"/>
          </w:tcMar>
        </w:tcPr>
        <w:p w14:paraId="05F9B53B" w14:textId="31EFCE25" w:rsidR="005F40DC" w:rsidRDefault="0083106E">
          <w:pPr>
            <w:jc w:val="right"/>
          </w:pPr>
          <w:r>
            <w:rPr>
              <w:color w:val="666666"/>
              <w:sz w:val="14"/>
              <w:szCs w:val="14"/>
            </w:rPr>
            <w:t>Call for proposals climate-SRHR 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6C14" w14:textId="77777777" w:rsidR="00506042" w:rsidRDefault="00506042">
      <w:r>
        <w:separator/>
      </w:r>
    </w:p>
  </w:footnote>
  <w:footnote w:type="continuationSeparator" w:id="0">
    <w:p w14:paraId="4304B12D" w14:textId="77777777" w:rsidR="00506042" w:rsidRDefault="00506042">
      <w:r>
        <w:continuationSeparator/>
      </w:r>
    </w:p>
  </w:footnote>
  <w:footnote w:type="continuationNotice" w:id="1">
    <w:p w14:paraId="7EADEDA4" w14:textId="77777777" w:rsidR="00506042" w:rsidRDefault="00506042"/>
  </w:footnote>
  <w:footnote w:id="2">
    <w:p w14:paraId="2918DDE5" w14:textId="458865F9" w:rsidR="007F70D0" w:rsidRPr="009905C0" w:rsidRDefault="007F70D0">
      <w:pPr>
        <w:pStyle w:val="FootnoteText"/>
        <w:rPr>
          <w:sz w:val="16"/>
          <w:szCs w:val="16"/>
        </w:rPr>
      </w:pPr>
      <w:r w:rsidRPr="009905C0">
        <w:rPr>
          <w:rStyle w:val="FootnoteReference"/>
          <w:sz w:val="16"/>
          <w:szCs w:val="16"/>
        </w:rPr>
        <w:footnoteRef/>
      </w:r>
      <w:r w:rsidRPr="009905C0">
        <w:rPr>
          <w:sz w:val="16"/>
          <w:szCs w:val="16"/>
        </w:rPr>
        <w:t xml:space="preserve"> </w:t>
      </w:r>
      <w:hyperlink r:id="rId1" w:history="1">
        <w:r w:rsidR="00D7273B" w:rsidRPr="009905C0">
          <w:rPr>
            <w:rStyle w:val="Hyperlink"/>
            <w:sz w:val="16"/>
            <w:szCs w:val="16"/>
          </w:rPr>
          <w:t>https://blogs.worldbank.org/en/opendata/world-bank-country-classifications-by-income-level-for-2024-2025</w:t>
        </w:r>
      </w:hyperlink>
    </w:p>
  </w:footnote>
  <w:footnote w:id="3">
    <w:p w14:paraId="6C9154A1" w14:textId="1030E1CD" w:rsidR="00D7273B" w:rsidRPr="00E46D64" w:rsidRDefault="00D7273B">
      <w:pPr>
        <w:pStyle w:val="FootnoteText"/>
        <w:rPr>
          <w:sz w:val="16"/>
          <w:szCs w:val="16"/>
        </w:rPr>
      </w:pPr>
      <w:r w:rsidRPr="00E46D64">
        <w:rPr>
          <w:rStyle w:val="FootnoteReference"/>
          <w:sz w:val="16"/>
          <w:szCs w:val="16"/>
        </w:rPr>
        <w:footnoteRef/>
      </w:r>
      <w:r w:rsidRPr="00E46D64">
        <w:rPr>
          <w:sz w:val="16"/>
          <w:szCs w:val="16"/>
        </w:rPr>
        <w:t xml:space="preserve"> </w:t>
      </w:r>
      <w:hyperlink r:id="rId2" w:history="1">
        <w:r w:rsidR="0035282B" w:rsidRPr="00E46D64">
          <w:rPr>
            <w:rStyle w:val="Hyperlink"/>
            <w:sz w:val="16"/>
            <w:szCs w:val="16"/>
          </w:rPr>
          <w:t>https://www.who.int/about/who-we-are/regional-offices</w:t>
        </w:r>
      </w:hyperlink>
      <w:r w:rsidR="0035282B" w:rsidRPr="00E46D64">
        <w:rPr>
          <w:sz w:val="16"/>
          <w:szCs w:val="16"/>
        </w:rPr>
        <w:t xml:space="preserve"> </w:t>
      </w:r>
    </w:p>
  </w:footnote>
  <w:footnote w:id="4">
    <w:p w14:paraId="1A9B3E51" w14:textId="4CB89051" w:rsidR="0035282B" w:rsidRDefault="0035282B">
      <w:pPr>
        <w:pStyle w:val="FootnoteText"/>
      </w:pPr>
      <w:r>
        <w:rPr>
          <w:rStyle w:val="FootnoteReference"/>
        </w:rPr>
        <w:footnoteRef/>
      </w:r>
      <w:r>
        <w:t xml:space="preserve"> </w:t>
      </w:r>
      <w:hyperlink r:id="rId3" w:history="1">
        <w:r w:rsidR="004D525F" w:rsidRPr="00954885">
          <w:rPr>
            <w:rStyle w:val="Hyperlink"/>
            <w:sz w:val="16"/>
            <w:szCs w:val="16"/>
          </w:rPr>
          <w:t>https://blogs.worldbank.org/en/opendata/world-bank-country-classifications-by-income-level-for-2024-2025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51C3" w14:textId="48C9A167" w:rsidR="006015F8" w:rsidRDefault="006015F8" w:rsidP="006015F8">
    <w:pPr>
      <w:pStyle w:val="Header"/>
      <w:rPr>
        <w:rFonts w:ascii="Cambria" w:hAnsi="Cambria"/>
        <w:noProof/>
        <w:lang w:val="en-GB"/>
      </w:rPr>
    </w:pPr>
    <w:r w:rsidRPr="00F258D7">
      <w:rPr>
        <w:rFonts w:ascii="Cambria" w:hAnsi="Cambria"/>
        <w:noProof/>
        <w:lang w:val="en-GB"/>
      </w:rPr>
      <w:drawing>
        <wp:anchor distT="0" distB="0" distL="114300" distR="114300" simplePos="0" relativeHeight="251658240" behindDoc="1" locked="0" layoutInCell="1" allowOverlap="1" wp14:anchorId="2D50F958" wp14:editId="15E08AA8">
          <wp:simplePos x="0" y="0"/>
          <wp:positionH relativeFrom="column">
            <wp:posOffset>4695825</wp:posOffset>
          </wp:positionH>
          <wp:positionV relativeFrom="paragraph">
            <wp:posOffset>-147320</wp:posOffset>
          </wp:positionV>
          <wp:extent cx="1325880" cy="590550"/>
          <wp:effectExtent l="0" t="0" r="7620" b="0"/>
          <wp:wrapTight wrapText="bothSides">
            <wp:wrapPolygon edited="0">
              <wp:start x="0" y="0"/>
              <wp:lineTo x="0" y="20903"/>
              <wp:lineTo x="21414" y="20903"/>
              <wp:lineTo x="21414" y="0"/>
              <wp:lineTo x="0" y="0"/>
            </wp:wrapPolygon>
          </wp:wrapTight>
          <wp:docPr id="3" name="Picture 3" descr="A white background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ue and blac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590550"/>
                  </a:xfrm>
                  <a:prstGeom prst="rect">
                    <a:avLst/>
                  </a:prstGeom>
                </pic:spPr>
              </pic:pic>
            </a:graphicData>
          </a:graphic>
        </wp:anchor>
      </w:drawing>
    </w:r>
    <w:r w:rsidRPr="00F258D7">
      <w:rPr>
        <w:rFonts w:ascii="Cambria" w:hAnsi="Cambria"/>
        <w:noProof/>
        <w:lang w:val="en-GB"/>
      </w:rPr>
      <w:drawing>
        <wp:inline distT="0" distB="0" distL="0" distR="0" wp14:anchorId="71743E7E" wp14:editId="4B482227">
          <wp:extent cx="1516380" cy="464796"/>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6909" cy="464958"/>
                  </a:xfrm>
                  <a:prstGeom prst="rect">
                    <a:avLst/>
                  </a:prstGeom>
                </pic:spPr>
              </pic:pic>
            </a:graphicData>
          </a:graphic>
        </wp:inline>
      </w:drawing>
    </w:r>
    <w:r w:rsidRPr="00B803D2">
      <w:rPr>
        <w:rFonts w:ascii="Cambria" w:hAnsi="Cambria"/>
        <w:noProof/>
        <w:lang w:val="en-GB"/>
      </w:rPr>
      <w:t xml:space="preserve"> </w:t>
    </w:r>
  </w:p>
  <w:p w14:paraId="596CA578" w14:textId="6D502C59" w:rsidR="00054D6D" w:rsidRDefault="00054D6D">
    <w:pPr>
      <w:pStyle w:val="Header"/>
      <w:rPr>
        <w:color w:val="A5C9EB" w:themeColor="text2" w:themeTint="40"/>
      </w:rPr>
    </w:pPr>
    <w:r w:rsidRPr="00054D6D">
      <w:rPr>
        <w:color w:val="A5C9EB" w:themeColor="text2" w:themeTint="40"/>
      </w:rPr>
      <w:t>______________________________________________________________________________________</w:t>
    </w:r>
  </w:p>
  <w:p w14:paraId="11F41AD6" w14:textId="77777777" w:rsidR="00F32438" w:rsidRDefault="00F32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033EC"/>
    <w:multiLevelType w:val="hybridMultilevel"/>
    <w:tmpl w:val="3F90DD88"/>
    <w:lvl w:ilvl="0" w:tplc="5F4C54C0">
      <w:start w:val="1"/>
      <w:numFmt w:val="bullet"/>
      <w:lvlText w:val="●"/>
      <w:lvlJc w:val="left"/>
      <w:pPr>
        <w:ind w:left="720" w:hanging="360"/>
      </w:pPr>
    </w:lvl>
    <w:lvl w:ilvl="1" w:tplc="B398482C">
      <w:start w:val="1"/>
      <w:numFmt w:val="bullet"/>
      <w:lvlText w:val="○"/>
      <w:lvlJc w:val="left"/>
      <w:pPr>
        <w:ind w:left="1440" w:hanging="360"/>
      </w:pPr>
    </w:lvl>
    <w:lvl w:ilvl="2" w:tplc="18303894">
      <w:start w:val="1"/>
      <w:numFmt w:val="bullet"/>
      <w:lvlText w:val="■"/>
      <w:lvlJc w:val="left"/>
      <w:pPr>
        <w:ind w:left="2160" w:hanging="360"/>
      </w:pPr>
    </w:lvl>
    <w:lvl w:ilvl="3" w:tplc="DEC4AF5A">
      <w:start w:val="1"/>
      <w:numFmt w:val="bullet"/>
      <w:lvlText w:val="●"/>
      <w:lvlJc w:val="left"/>
      <w:pPr>
        <w:ind w:left="2880" w:hanging="360"/>
      </w:pPr>
    </w:lvl>
    <w:lvl w:ilvl="4" w:tplc="9AA8A35C">
      <w:start w:val="1"/>
      <w:numFmt w:val="bullet"/>
      <w:lvlText w:val="○"/>
      <w:lvlJc w:val="left"/>
      <w:pPr>
        <w:ind w:left="3600" w:hanging="360"/>
      </w:pPr>
    </w:lvl>
    <w:lvl w:ilvl="5" w:tplc="771CFB04">
      <w:start w:val="1"/>
      <w:numFmt w:val="bullet"/>
      <w:lvlText w:val="■"/>
      <w:lvlJc w:val="left"/>
      <w:pPr>
        <w:ind w:left="4320" w:hanging="360"/>
      </w:pPr>
    </w:lvl>
    <w:lvl w:ilvl="6" w:tplc="65060912">
      <w:start w:val="1"/>
      <w:numFmt w:val="bullet"/>
      <w:lvlText w:val="●"/>
      <w:lvlJc w:val="left"/>
      <w:pPr>
        <w:ind w:left="5040" w:hanging="360"/>
      </w:pPr>
    </w:lvl>
    <w:lvl w:ilvl="7" w:tplc="498851B0">
      <w:start w:val="1"/>
      <w:numFmt w:val="bullet"/>
      <w:lvlText w:val="●"/>
      <w:lvlJc w:val="left"/>
      <w:pPr>
        <w:ind w:left="5760" w:hanging="360"/>
      </w:pPr>
    </w:lvl>
    <w:lvl w:ilvl="8" w:tplc="4EDA620C">
      <w:start w:val="1"/>
      <w:numFmt w:val="bullet"/>
      <w:lvlText w:val="●"/>
      <w:lvlJc w:val="left"/>
      <w:pPr>
        <w:ind w:left="6480" w:hanging="360"/>
      </w:pPr>
    </w:lvl>
  </w:abstractNum>
  <w:abstractNum w:abstractNumId="1" w15:restartNumberingAfterBreak="0">
    <w:nsid w:val="52610825"/>
    <w:multiLevelType w:val="hybridMultilevel"/>
    <w:tmpl w:val="32844F98"/>
    <w:lvl w:ilvl="0" w:tplc="109EE7FE">
      <w:start w:val="1"/>
      <w:numFmt w:val="bullet"/>
      <w:lvlText w:val="•"/>
      <w:lvlJc w:val="left"/>
      <w:pPr>
        <w:ind w:left="720" w:hanging="360"/>
      </w:pPr>
    </w:lvl>
    <w:lvl w:ilvl="1" w:tplc="79623CEE">
      <w:numFmt w:val="decimal"/>
      <w:lvlText w:val=""/>
      <w:lvlJc w:val="left"/>
    </w:lvl>
    <w:lvl w:ilvl="2" w:tplc="E8581404">
      <w:numFmt w:val="decimal"/>
      <w:lvlText w:val=""/>
      <w:lvlJc w:val="left"/>
    </w:lvl>
    <w:lvl w:ilvl="3" w:tplc="43C2DA54">
      <w:numFmt w:val="decimal"/>
      <w:lvlText w:val=""/>
      <w:lvlJc w:val="left"/>
    </w:lvl>
    <w:lvl w:ilvl="4" w:tplc="56D820B2">
      <w:numFmt w:val="decimal"/>
      <w:lvlText w:val=""/>
      <w:lvlJc w:val="left"/>
    </w:lvl>
    <w:lvl w:ilvl="5" w:tplc="9162D270">
      <w:numFmt w:val="decimal"/>
      <w:lvlText w:val=""/>
      <w:lvlJc w:val="left"/>
    </w:lvl>
    <w:lvl w:ilvl="6" w:tplc="92F445B4">
      <w:numFmt w:val="decimal"/>
      <w:lvlText w:val=""/>
      <w:lvlJc w:val="left"/>
    </w:lvl>
    <w:lvl w:ilvl="7" w:tplc="8BEA15EA">
      <w:numFmt w:val="decimal"/>
      <w:lvlText w:val=""/>
      <w:lvlJc w:val="left"/>
    </w:lvl>
    <w:lvl w:ilvl="8" w:tplc="1C924DEC">
      <w:numFmt w:val="decimal"/>
      <w:lvlText w:val=""/>
      <w:lvlJc w:val="left"/>
    </w:lvl>
  </w:abstractNum>
  <w:abstractNum w:abstractNumId="2" w15:restartNumberingAfterBreak="0">
    <w:nsid w:val="728079A0"/>
    <w:multiLevelType w:val="hybridMultilevel"/>
    <w:tmpl w:val="887ECC38"/>
    <w:lvl w:ilvl="0" w:tplc="031CB5E4">
      <w:start w:val="1"/>
      <w:numFmt w:val="decimal"/>
      <w:lvlText w:val="%1."/>
      <w:lvlJc w:val="left"/>
      <w:pPr>
        <w:ind w:left="720" w:hanging="360"/>
      </w:pPr>
    </w:lvl>
    <w:lvl w:ilvl="1" w:tplc="73CAA922">
      <w:numFmt w:val="decimal"/>
      <w:lvlText w:val=""/>
      <w:lvlJc w:val="left"/>
    </w:lvl>
    <w:lvl w:ilvl="2" w:tplc="FFBED22C">
      <w:numFmt w:val="decimal"/>
      <w:lvlText w:val=""/>
      <w:lvlJc w:val="left"/>
    </w:lvl>
    <w:lvl w:ilvl="3" w:tplc="6F64CF1E">
      <w:numFmt w:val="decimal"/>
      <w:lvlText w:val=""/>
      <w:lvlJc w:val="left"/>
    </w:lvl>
    <w:lvl w:ilvl="4" w:tplc="57D02D5C">
      <w:numFmt w:val="decimal"/>
      <w:lvlText w:val=""/>
      <w:lvlJc w:val="left"/>
    </w:lvl>
    <w:lvl w:ilvl="5" w:tplc="714264A6">
      <w:numFmt w:val="decimal"/>
      <w:lvlText w:val=""/>
      <w:lvlJc w:val="left"/>
    </w:lvl>
    <w:lvl w:ilvl="6" w:tplc="A224E1B8">
      <w:numFmt w:val="decimal"/>
      <w:lvlText w:val=""/>
      <w:lvlJc w:val="left"/>
    </w:lvl>
    <w:lvl w:ilvl="7" w:tplc="061A8AE6">
      <w:numFmt w:val="decimal"/>
      <w:lvlText w:val=""/>
      <w:lvlJc w:val="left"/>
    </w:lvl>
    <w:lvl w:ilvl="8" w:tplc="3C44904C">
      <w:numFmt w:val="decimal"/>
      <w:lvlText w:val=""/>
      <w:lvlJc w:val="left"/>
    </w:lvl>
  </w:abstractNum>
  <w:abstractNum w:abstractNumId="3" w15:restartNumberingAfterBreak="0">
    <w:nsid w:val="743027C5"/>
    <w:multiLevelType w:val="hybridMultilevel"/>
    <w:tmpl w:val="B600D18C"/>
    <w:lvl w:ilvl="0" w:tplc="83526F2E">
      <w:start w:val="1"/>
      <w:numFmt w:val="bullet"/>
      <w:lvlText w:val="–"/>
      <w:lvlJc w:val="left"/>
      <w:pPr>
        <w:ind w:left="1080" w:hanging="360"/>
      </w:pPr>
    </w:lvl>
    <w:lvl w:ilvl="1" w:tplc="AC364550">
      <w:numFmt w:val="decimal"/>
      <w:lvlText w:val=""/>
      <w:lvlJc w:val="left"/>
    </w:lvl>
    <w:lvl w:ilvl="2" w:tplc="5BCAADCE">
      <w:numFmt w:val="decimal"/>
      <w:lvlText w:val=""/>
      <w:lvlJc w:val="left"/>
    </w:lvl>
    <w:lvl w:ilvl="3" w:tplc="46CEBD88">
      <w:numFmt w:val="decimal"/>
      <w:lvlText w:val=""/>
      <w:lvlJc w:val="left"/>
    </w:lvl>
    <w:lvl w:ilvl="4" w:tplc="BB180BB6">
      <w:numFmt w:val="decimal"/>
      <w:lvlText w:val=""/>
      <w:lvlJc w:val="left"/>
    </w:lvl>
    <w:lvl w:ilvl="5" w:tplc="A2F65A70">
      <w:numFmt w:val="decimal"/>
      <w:lvlText w:val=""/>
      <w:lvlJc w:val="left"/>
    </w:lvl>
    <w:lvl w:ilvl="6" w:tplc="FF4A52E4">
      <w:numFmt w:val="decimal"/>
      <w:lvlText w:val=""/>
      <w:lvlJc w:val="left"/>
    </w:lvl>
    <w:lvl w:ilvl="7" w:tplc="44C8FA32">
      <w:numFmt w:val="decimal"/>
      <w:lvlText w:val=""/>
      <w:lvlJc w:val="left"/>
    </w:lvl>
    <w:lvl w:ilvl="8" w:tplc="E776480E">
      <w:numFmt w:val="decimal"/>
      <w:lvlText w:val=""/>
      <w:lvlJc w:val="left"/>
    </w:lvl>
  </w:abstractNum>
  <w:num w:numId="1" w16cid:durableId="2045446194">
    <w:abstractNumId w:val="0"/>
    <w:lvlOverride w:ilvl="0">
      <w:startOverride w:val="1"/>
    </w:lvlOverride>
  </w:num>
  <w:num w:numId="2" w16cid:durableId="2142528343">
    <w:abstractNumId w:val="2"/>
    <w:lvlOverride w:ilvl="0">
      <w:startOverride w:val="1"/>
    </w:lvlOverride>
  </w:num>
  <w:num w:numId="3" w16cid:durableId="11461659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DC"/>
    <w:rsid w:val="00005C64"/>
    <w:rsid w:val="00006B82"/>
    <w:rsid w:val="000072A6"/>
    <w:rsid w:val="00015A66"/>
    <w:rsid w:val="00020B40"/>
    <w:rsid w:val="0002695F"/>
    <w:rsid w:val="000320BE"/>
    <w:rsid w:val="0003663F"/>
    <w:rsid w:val="00040B21"/>
    <w:rsid w:val="00040E4F"/>
    <w:rsid w:val="00042576"/>
    <w:rsid w:val="00052B55"/>
    <w:rsid w:val="00054D6D"/>
    <w:rsid w:val="00054F6D"/>
    <w:rsid w:val="00075404"/>
    <w:rsid w:val="00080DAF"/>
    <w:rsid w:val="00087FB3"/>
    <w:rsid w:val="00094B7F"/>
    <w:rsid w:val="000B0E2C"/>
    <w:rsid w:val="000C2735"/>
    <w:rsid w:val="000C58EE"/>
    <w:rsid w:val="000D5004"/>
    <w:rsid w:val="000D5ACE"/>
    <w:rsid w:val="000E10E8"/>
    <w:rsid w:val="000E3666"/>
    <w:rsid w:val="000E6DB5"/>
    <w:rsid w:val="000F7A52"/>
    <w:rsid w:val="00100FC7"/>
    <w:rsid w:val="00136795"/>
    <w:rsid w:val="0015455F"/>
    <w:rsid w:val="00155464"/>
    <w:rsid w:val="00155739"/>
    <w:rsid w:val="00166E7F"/>
    <w:rsid w:val="00175B4C"/>
    <w:rsid w:val="001773FA"/>
    <w:rsid w:val="001901FA"/>
    <w:rsid w:val="00195AE7"/>
    <w:rsid w:val="001A4524"/>
    <w:rsid w:val="001B36FC"/>
    <w:rsid w:val="001C1433"/>
    <w:rsid w:val="001C7425"/>
    <w:rsid w:val="001F0D22"/>
    <w:rsid w:val="00235D18"/>
    <w:rsid w:val="00244F2D"/>
    <w:rsid w:val="0025119C"/>
    <w:rsid w:val="00256DFA"/>
    <w:rsid w:val="00265C70"/>
    <w:rsid w:val="00266314"/>
    <w:rsid w:val="00282EB7"/>
    <w:rsid w:val="002837E0"/>
    <w:rsid w:val="002875C4"/>
    <w:rsid w:val="002940F4"/>
    <w:rsid w:val="00295547"/>
    <w:rsid w:val="002A380A"/>
    <w:rsid w:val="002A76C9"/>
    <w:rsid w:val="002C3514"/>
    <w:rsid w:val="002D2FEA"/>
    <w:rsid w:val="002D7CA5"/>
    <w:rsid w:val="002E3670"/>
    <w:rsid w:val="002F621D"/>
    <w:rsid w:val="002F7E57"/>
    <w:rsid w:val="00324CD9"/>
    <w:rsid w:val="0032741E"/>
    <w:rsid w:val="00330E3D"/>
    <w:rsid w:val="00331492"/>
    <w:rsid w:val="0034636C"/>
    <w:rsid w:val="0035282B"/>
    <w:rsid w:val="00356CEF"/>
    <w:rsid w:val="0035714F"/>
    <w:rsid w:val="00381B7E"/>
    <w:rsid w:val="003844E1"/>
    <w:rsid w:val="00387515"/>
    <w:rsid w:val="003965DF"/>
    <w:rsid w:val="003A6F38"/>
    <w:rsid w:val="003B5914"/>
    <w:rsid w:val="003D0ED9"/>
    <w:rsid w:val="003D2B8B"/>
    <w:rsid w:val="003E63FD"/>
    <w:rsid w:val="003F2411"/>
    <w:rsid w:val="004055D7"/>
    <w:rsid w:val="00407374"/>
    <w:rsid w:val="00411311"/>
    <w:rsid w:val="00415FAE"/>
    <w:rsid w:val="00423447"/>
    <w:rsid w:val="004309B3"/>
    <w:rsid w:val="0043754A"/>
    <w:rsid w:val="004378E7"/>
    <w:rsid w:val="00440585"/>
    <w:rsid w:val="00455BFB"/>
    <w:rsid w:val="00475298"/>
    <w:rsid w:val="00475D04"/>
    <w:rsid w:val="004B2E61"/>
    <w:rsid w:val="004C25B2"/>
    <w:rsid w:val="004D1898"/>
    <w:rsid w:val="004D525F"/>
    <w:rsid w:val="004F115C"/>
    <w:rsid w:val="004F60CF"/>
    <w:rsid w:val="0050417B"/>
    <w:rsid w:val="00506042"/>
    <w:rsid w:val="0051775C"/>
    <w:rsid w:val="0053614F"/>
    <w:rsid w:val="00540B30"/>
    <w:rsid w:val="00554DB7"/>
    <w:rsid w:val="0055677B"/>
    <w:rsid w:val="00590F36"/>
    <w:rsid w:val="00591527"/>
    <w:rsid w:val="005975F6"/>
    <w:rsid w:val="005A04E8"/>
    <w:rsid w:val="005B5142"/>
    <w:rsid w:val="005B7E20"/>
    <w:rsid w:val="005E3480"/>
    <w:rsid w:val="005F40DC"/>
    <w:rsid w:val="006015F8"/>
    <w:rsid w:val="00602372"/>
    <w:rsid w:val="0060261A"/>
    <w:rsid w:val="00606494"/>
    <w:rsid w:val="006130D3"/>
    <w:rsid w:val="006139BA"/>
    <w:rsid w:val="006168A0"/>
    <w:rsid w:val="0063661B"/>
    <w:rsid w:val="006418E3"/>
    <w:rsid w:val="00645F5F"/>
    <w:rsid w:val="006757D8"/>
    <w:rsid w:val="0068104D"/>
    <w:rsid w:val="00685486"/>
    <w:rsid w:val="00687FFA"/>
    <w:rsid w:val="006A08DD"/>
    <w:rsid w:val="006B346A"/>
    <w:rsid w:val="006E24D0"/>
    <w:rsid w:val="006F2CD2"/>
    <w:rsid w:val="00701AF4"/>
    <w:rsid w:val="00702535"/>
    <w:rsid w:val="007068A9"/>
    <w:rsid w:val="00707434"/>
    <w:rsid w:val="0073514E"/>
    <w:rsid w:val="00736697"/>
    <w:rsid w:val="007374A4"/>
    <w:rsid w:val="00740C5C"/>
    <w:rsid w:val="00742551"/>
    <w:rsid w:val="00742FEE"/>
    <w:rsid w:val="00757645"/>
    <w:rsid w:val="00757DE8"/>
    <w:rsid w:val="00766AD0"/>
    <w:rsid w:val="00771EAB"/>
    <w:rsid w:val="0078037C"/>
    <w:rsid w:val="00784DAB"/>
    <w:rsid w:val="00791A28"/>
    <w:rsid w:val="007A37FC"/>
    <w:rsid w:val="007B1697"/>
    <w:rsid w:val="007F22B4"/>
    <w:rsid w:val="007F70D0"/>
    <w:rsid w:val="00812AFC"/>
    <w:rsid w:val="008144D0"/>
    <w:rsid w:val="0083106E"/>
    <w:rsid w:val="00834B35"/>
    <w:rsid w:val="00845733"/>
    <w:rsid w:val="0085258C"/>
    <w:rsid w:val="008556D7"/>
    <w:rsid w:val="00865F23"/>
    <w:rsid w:val="00891D38"/>
    <w:rsid w:val="008950D7"/>
    <w:rsid w:val="0089688E"/>
    <w:rsid w:val="0089776B"/>
    <w:rsid w:val="008B7CAF"/>
    <w:rsid w:val="008C698E"/>
    <w:rsid w:val="008D5886"/>
    <w:rsid w:val="008E0044"/>
    <w:rsid w:val="008E0935"/>
    <w:rsid w:val="008E4801"/>
    <w:rsid w:val="008E48AA"/>
    <w:rsid w:val="00905682"/>
    <w:rsid w:val="009169E8"/>
    <w:rsid w:val="00917305"/>
    <w:rsid w:val="0092175B"/>
    <w:rsid w:val="00925EAE"/>
    <w:rsid w:val="00930859"/>
    <w:rsid w:val="00932B50"/>
    <w:rsid w:val="00941F00"/>
    <w:rsid w:val="00951508"/>
    <w:rsid w:val="0095387A"/>
    <w:rsid w:val="00954518"/>
    <w:rsid w:val="00954885"/>
    <w:rsid w:val="00956405"/>
    <w:rsid w:val="00962AB3"/>
    <w:rsid w:val="0097199B"/>
    <w:rsid w:val="00971B50"/>
    <w:rsid w:val="009774C0"/>
    <w:rsid w:val="009905C0"/>
    <w:rsid w:val="009B2D1D"/>
    <w:rsid w:val="009C275F"/>
    <w:rsid w:val="009C6DA9"/>
    <w:rsid w:val="009D20AD"/>
    <w:rsid w:val="009E571A"/>
    <w:rsid w:val="009F70D1"/>
    <w:rsid w:val="009F7910"/>
    <w:rsid w:val="00A008B6"/>
    <w:rsid w:val="00A00EAA"/>
    <w:rsid w:val="00A021A4"/>
    <w:rsid w:val="00A14688"/>
    <w:rsid w:val="00A373F1"/>
    <w:rsid w:val="00A409DA"/>
    <w:rsid w:val="00A50ED7"/>
    <w:rsid w:val="00A57576"/>
    <w:rsid w:val="00A60114"/>
    <w:rsid w:val="00A75E13"/>
    <w:rsid w:val="00A91B6C"/>
    <w:rsid w:val="00A96E63"/>
    <w:rsid w:val="00AC0F7F"/>
    <w:rsid w:val="00AC25D2"/>
    <w:rsid w:val="00AE0024"/>
    <w:rsid w:val="00AE5BB5"/>
    <w:rsid w:val="00AE647B"/>
    <w:rsid w:val="00AF17FA"/>
    <w:rsid w:val="00AF6BA2"/>
    <w:rsid w:val="00B54574"/>
    <w:rsid w:val="00B549FE"/>
    <w:rsid w:val="00B74B9D"/>
    <w:rsid w:val="00B75846"/>
    <w:rsid w:val="00B96790"/>
    <w:rsid w:val="00BA125E"/>
    <w:rsid w:val="00BA7239"/>
    <w:rsid w:val="00BB64DB"/>
    <w:rsid w:val="00BC1979"/>
    <w:rsid w:val="00BD6EE2"/>
    <w:rsid w:val="00C033B8"/>
    <w:rsid w:val="00C03FA0"/>
    <w:rsid w:val="00C049A4"/>
    <w:rsid w:val="00C26708"/>
    <w:rsid w:val="00C451E1"/>
    <w:rsid w:val="00C555FF"/>
    <w:rsid w:val="00C573C3"/>
    <w:rsid w:val="00C62263"/>
    <w:rsid w:val="00C640D9"/>
    <w:rsid w:val="00C67BE6"/>
    <w:rsid w:val="00C738FB"/>
    <w:rsid w:val="00C964EF"/>
    <w:rsid w:val="00CA2453"/>
    <w:rsid w:val="00CB6342"/>
    <w:rsid w:val="00CC1E14"/>
    <w:rsid w:val="00CC2AAC"/>
    <w:rsid w:val="00CD13D0"/>
    <w:rsid w:val="00CE01B0"/>
    <w:rsid w:val="00CF1805"/>
    <w:rsid w:val="00CF4E07"/>
    <w:rsid w:val="00D21F4B"/>
    <w:rsid w:val="00D22ABC"/>
    <w:rsid w:val="00D24D05"/>
    <w:rsid w:val="00D3163F"/>
    <w:rsid w:val="00D36C1E"/>
    <w:rsid w:val="00D4107F"/>
    <w:rsid w:val="00D544EF"/>
    <w:rsid w:val="00D60C0C"/>
    <w:rsid w:val="00D7273B"/>
    <w:rsid w:val="00D77D9B"/>
    <w:rsid w:val="00D84226"/>
    <w:rsid w:val="00D86C80"/>
    <w:rsid w:val="00D9685F"/>
    <w:rsid w:val="00DA1B18"/>
    <w:rsid w:val="00DC434A"/>
    <w:rsid w:val="00DD26B0"/>
    <w:rsid w:val="00DD2BCA"/>
    <w:rsid w:val="00DE4D8E"/>
    <w:rsid w:val="00DF6BFC"/>
    <w:rsid w:val="00E044E9"/>
    <w:rsid w:val="00E04A0A"/>
    <w:rsid w:val="00E131C6"/>
    <w:rsid w:val="00E1514F"/>
    <w:rsid w:val="00E372CC"/>
    <w:rsid w:val="00E46B70"/>
    <w:rsid w:val="00E46D64"/>
    <w:rsid w:val="00E64D36"/>
    <w:rsid w:val="00E74792"/>
    <w:rsid w:val="00E8227F"/>
    <w:rsid w:val="00E8715C"/>
    <w:rsid w:val="00E911C2"/>
    <w:rsid w:val="00E932B9"/>
    <w:rsid w:val="00E9551D"/>
    <w:rsid w:val="00E958EC"/>
    <w:rsid w:val="00E96FB5"/>
    <w:rsid w:val="00E971EC"/>
    <w:rsid w:val="00EA3AB2"/>
    <w:rsid w:val="00EB1C02"/>
    <w:rsid w:val="00EB73B2"/>
    <w:rsid w:val="00ED69C1"/>
    <w:rsid w:val="00EF2941"/>
    <w:rsid w:val="00F21E51"/>
    <w:rsid w:val="00F221C3"/>
    <w:rsid w:val="00F32438"/>
    <w:rsid w:val="00F3797D"/>
    <w:rsid w:val="00F40B1E"/>
    <w:rsid w:val="00F4405F"/>
    <w:rsid w:val="00F5090A"/>
    <w:rsid w:val="00F51E1B"/>
    <w:rsid w:val="00F52282"/>
    <w:rsid w:val="00F62E08"/>
    <w:rsid w:val="00F67FDC"/>
    <w:rsid w:val="00F80E02"/>
    <w:rsid w:val="00F94ED9"/>
    <w:rsid w:val="00F95829"/>
    <w:rsid w:val="00FB10D6"/>
    <w:rsid w:val="00FC4E33"/>
    <w:rsid w:val="00FC714C"/>
    <w:rsid w:val="00FD6347"/>
    <w:rsid w:val="00FE519C"/>
    <w:rsid w:val="00FE707D"/>
    <w:rsid w:val="7D66A2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899BB"/>
  <w15:docId w15:val="{59B2910F-4B97-4A30-BA28-39EA6D23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06BB6"/>
      <w:sz w:val="28"/>
      <w:szCs w:val="28"/>
    </w:rPr>
  </w:style>
  <w:style w:type="paragraph" w:styleId="Heading2">
    <w:name w:val="heading 2"/>
    <w:uiPriority w:val="9"/>
    <w:unhideWhenUsed/>
    <w:qFormat/>
    <w:pPr>
      <w:spacing w:before="240" w:after="80"/>
      <w:outlineLvl w:val="1"/>
    </w:pPr>
    <w:rPr>
      <w:b/>
      <w:bCs/>
      <w:color w:val="005A8E"/>
      <w:sz w:val="24"/>
      <w:szCs w:val="24"/>
    </w:rPr>
  </w:style>
  <w:style w:type="paragraph" w:styleId="Heading3">
    <w:name w:val="heading 3"/>
    <w:uiPriority w:val="9"/>
    <w:unhideWhenUsed/>
    <w:qFormat/>
    <w:pPr>
      <w:spacing w:before="200" w:after="60"/>
      <w:outlineLvl w:val="2"/>
    </w:pPr>
    <w:rPr>
      <w:b/>
      <w:bCs/>
      <w:color w:val="333333"/>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837E0"/>
    <w:rPr>
      <w:color w:val="605E5C"/>
      <w:shd w:val="clear" w:color="auto" w:fill="E1DFDD"/>
    </w:rPr>
  </w:style>
  <w:style w:type="paragraph" w:styleId="Bibliography">
    <w:name w:val="Bibliography"/>
    <w:basedOn w:val="Normal"/>
    <w:next w:val="Normal"/>
    <w:uiPriority w:val="37"/>
    <w:unhideWhenUsed/>
    <w:rsid w:val="000B0E2C"/>
    <w:pPr>
      <w:spacing w:after="240"/>
    </w:pPr>
  </w:style>
  <w:style w:type="paragraph" w:styleId="Header">
    <w:name w:val="header"/>
    <w:basedOn w:val="Normal"/>
    <w:link w:val="HeaderChar"/>
    <w:uiPriority w:val="99"/>
    <w:unhideWhenUsed/>
    <w:rsid w:val="008950D7"/>
    <w:pPr>
      <w:tabs>
        <w:tab w:val="center" w:pos="4680"/>
        <w:tab w:val="right" w:pos="9360"/>
      </w:tabs>
    </w:pPr>
  </w:style>
  <w:style w:type="character" w:customStyle="1" w:styleId="HeaderChar">
    <w:name w:val="Header Char"/>
    <w:basedOn w:val="DefaultParagraphFont"/>
    <w:link w:val="Header"/>
    <w:uiPriority w:val="99"/>
    <w:rsid w:val="008950D7"/>
  </w:style>
  <w:style w:type="paragraph" w:styleId="Footer">
    <w:name w:val="footer"/>
    <w:basedOn w:val="Normal"/>
    <w:link w:val="FooterChar"/>
    <w:uiPriority w:val="99"/>
    <w:unhideWhenUsed/>
    <w:rsid w:val="008950D7"/>
    <w:pPr>
      <w:tabs>
        <w:tab w:val="center" w:pos="4680"/>
        <w:tab w:val="right" w:pos="9360"/>
      </w:tabs>
    </w:pPr>
  </w:style>
  <w:style w:type="character" w:customStyle="1" w:styleId="FooterChar">
    <w:name w:val="Footer Char"/>
    <w:basedOn w:val="DefaultParagraphFont"/>
    <w:link w:val="Footer"/>
    <w:uiPriority w:val="99"/>
    <w:rsid w:val="008950D7"/>
  </w:style>
  <w:style w:type="character" w:styleId="Strong">
    <w:name w:val="Strong"/>
    <w:basedOn w:val="DefaultParagraphFont"/>
    <w:uiPriority w:val="22"/>
    <w:qFormat/>
    <w:rsid w:val="00437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2325">
      <w:bodyDiv w:val="1"/>
      <w:marLeft w:val="0"/>
      <w:marRight w:val="0"/>
      <w:marTop w:val="0"/>
      <w:marBottom w:val="0"/>
      <w:divBdr>
        <w:top w:val="none" w:sz="0" w:space="0" w:color="auto"/>
        <w:left w:val="none" w:sz="0" w:space="0" w:color="auto"/>
        <w:bottom w:val="none" w:sz="0" w:space="0" w:color="auto"/>
        <w:right w:val="none" w:sz="0" w:space="0" w:color="auto"/>
      </w:divBdr>
    </w:div>
    <w:div w:id="361327887">
      <w:bodyDiv w:val="1"/>
      <w:marLeft w:val="0"/>
      <w:marRight w:val="0"/>
      <w:marTop w:val="0"/>
      <w:marBottom w:val="0"/>
      <w:divBdr>
        <w:top w:val="none" w:sz="0" w:space="0" w:color="auto"/>
        <w:left w:val="none" w:sz="0" w:space="0" w:color="auto"/>
        <w:bottom w:val="none" w:sz="0" w:space="0" w:color="auto"/>
        <w:right w:val="none" w:sz="0" w:space="0" w:color="auto"/>
      </w:divBdr>
    </w:div>
    <w:div w:id="1528912221">
      <w:bodyDiv w:val="1"/>
      <w:marLeft w:val="0"/>
      <w:marRight w:val="0"/>
      <w:marTop w:val="0"/>
      <w:marBottom w:val="0"/>
      <w:divBdr>
        <w:top w:val="none" w:sz="0" w:space="0" w:color="auto"/>
        <w:left w:val="none" w:sz="0" w:space="0" w:color="auto"/>
        <w:bottom w:val="none" w:sz="0" w:space="0" w:color="auto"/>
        <w:right w:val="none" w:sz="0" w:space="0" w:color="auto"/>
      </w:divBdr>
    </w:div>
    <w:div w:id="1563834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rhmph@who.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who.int/dataformv6/index.php/653465?lang=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who.int/dataformv6/index.php/653465?lang=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logs.worldbank.org/en/opendata/world-bank-country-classifications-by-income-level-for-2024-2025" TargetMode="External"/><Relationship Id="rId2" Type="http://schemas.openxmlformats.org/officeDocument/2006/relationships/hyperlink" Target="https://www.who.int/about/who-we-are/regional-offices" TargetMode="External"/><Relationship Id="rId1" Type="http://schemas.openxmlformats.org/officeDocument/2006/relationships/hyperlink" Target="https://blogs.worldbank.org/en/opendata/world-bank-country-classifications-by-income-level-for-2024-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4a4400-f2ee-4775-9675-acbd89acb2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9FD318D196264CAAFC950941FDB879" ma:contentTypeVersion="11" ma:contentTypeDescription="Create a new document." ma:contentTypeScope="" ma:versionID="6794fcebe5ab1505a2349ee0d1ce4e6f">
  <xsd:schema xmlns:xsd="http://www.w3.org/2001/XMLSchema" xmlns:xs="http://www.w3.org/2001/XMLSchema" xmlns:p="http://schemas.microsoft.com/office/2006/metadata/properties" xmlns:ns2="174a4400-f2ee-4775-9675-acbd89acb25a" targetNamespace="http://schemas.microsoft.com/office/2006/metadata/properties" ma:root="true" ma:fieldsID="b0759e7e7797b254fe68be10b5721172" ns2:_="">
    <xsd:import namespace="174a4400-f2ee-4775-9675-acbd89acb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4400-f2ee-4775-9675-acbd89ac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43198-6D43-40DF-812B-0F3C25FF1663}">
  <ds:schemaRefs>
    <ds:schemaRef ds:uri="http://schemas.openxmlformats.org/officeDocument/2006/bibliography"/>
  </ds:schemaRefs>
</ds:datastoreItem>
</file>

<file path=customXml/itemProps2.xml><?xml version="1.0" encoding="utf-8"?>
<ds:datastoreItem xmlns:ds="http://schemas.openxmlformats.org/officeDocument/2006/customXml" ds:itemID="{2C580E66-EF94-4384-A5B0-C87DDEE51DCC}">
  <ds:schemaRefs>
    <ds:schemaRef ds:uri="http://schemas.microsoft.com/sharepoint/v3/contenttype/forms"/>
  </ds:schemaRefs>
</ds:datastoreItem>
</file>

<file path=customXml/itemProps3.xml><?xml version="1.0" encoding="utf-8"?>
<ds:datastoreItem xmlns:ds="http://schemas.openxmlformats.org/officeDocument/2006/customXml" ds:itemID="{CC07BB38-7427-40CC-B2C4-788401FAFDED}">
  <ds:schemaRefs>
    <ds:schemaRef ds:uri="http://schemas.microsoft.com/office/2006/metadata/properties"/>
    <ds:schemaRef ds:uri="http://schemas.microsoft.com/office/infopath/2007/PartnerControls"/>
    <ds:schemaRef ds:uri="174a4400-f2ee-4775-9675-acbd89acb25a"/>
  </ds:schemaRefs>
</ds:datastoreItem>
</file>

<file path=customXml/itemProps4.xml><?xml version="1.0" encoding="utf-8"?>
<ds:datastoreItem xmlns:ds="http://schemas.openxmlformats.org/officeDocument/2006/customXml" ds:itemID="{9CAC2CB7-88E2-4F6B-B03B-7BECE084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4400-f2ee-4775-9675-acbd89acb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5332</Words>
  <Characters>30397</Characters>
  <Application>Microsoft Office Word</Application>
  <DocSecurity>0</DocSecurity>
  <Lines>253</Lines>
  <Paragraphs>71</Paragraphs>
  <ScaleCrop>false</ScaleCrop>
  <Company/>
  <LinksUpToDate>false</LinksUpToDate>
  <CharactersWithSpaces>35658</CharactersWithSpaces>
  <SharedDoc>false</SharedDoc>
  <HLinks>
    <vt:vector size="36" baseType="variant">
      <vt:variant>
        <vt:i4>6357068</vt:i4>
      </vt:variant>
      <vt:variant>
        <vt:i4>42</vt:i4>
      </vt:variant>
      <vt:variant>
        <vt:i4>0</vt:i4>
      </vt:variant>
      <vt:variant>
        <vt:i4>5</vt:i4>
      </vt:variant>
      <vt:variant>
        <vt:lpwstr>mailto:srhmph@who.int</vt:lpwstr>
      </vt:variant>
      <vt:variant>
        <vt:lpwstr/>
      </vt:variant>
      <vt:variant>
        <vt:i4>1638492</vt:i4>
      </vt:variant>
      <vt:variant>
        <vt:i4>39</vt:i4>
      </vt:variant>
      <vt:variant>
        <vt:i4>0</vt:i4>
      </vt:variant>
      <vt:variant>
        <vt:i4>5</vt:i4>
      </vt:variant>
      <vt:variant>
        <vt:lpwstr>mailto:application form in this link</vt:lpwstr>
      </vt:variant>
      <vt:variant>
        <vt:lpwstr/>
      </vt:variant>
      <vt:variant>
        <vt:i4>5505096</vt:i4>
      </vt:variant>
      <vt:variant>
        <vt:i4>0</vt:i4>
      </vt:variant>
      <vt:variant>
        <vt:i4>0</vt:i4>
      </vt:variant>
      <vt:variant>
        <vt:i4>5</vt:i4>
      </vt:variant>
      <vt:variant>
        <vt:lpwstr>https://forms.office.com/e/E7xNvKNvMh</vt:lpwstr>
      </vt:variant>
      <vt:variant>
        <vt:lpwstr/>
      </vt:variant>
      <vt:variant>
        <vt:i4>5308443</vt:i4>
      </vt:variant>
      <vt:variant>
        <vt:i4>6</vt:i4>
      </vt:variant>
      <vt:variant>
        <vt:i4>0</vt:i4>
      </vt:variant>
      <vt:variant>
        <vt:i4>5</vt:i4>
      </vt:variant>
      <vt:variant>
        <vt:lpwstr>https://blogs.worldbank.org/en/opendata/world-bank-country-classifications-by-income-level-for-2024-2025</vt:lpwstr>
      </vt:variant>
      <vt:variant>
        <vt:lpwstr/>
      </vt:variant>
      <vt:variant>
        <vt:i4>983108</vt:i4>
      </vt:variant>
      <vt:variant>
        <vt:i4>3</vt:i4>
      </vt:variant>
      <vt:variant>
        <vt:i4>0</vt:i4>
      </vt:variant>
      <vt:variant>
        <vt:i4>5</vt:i4>
      </vt:variant>
      <vt:variant>
        <vt:lpwstr>https://www.who.int/about/who-we-are/regional-offices</vt:lpwstr>
      </vt:variant>
      <vt:variant>
        <vt:lpwstr/>
      </vt:variant>
      <vt:variant>
        <vt:i4>5308443</vt:i4>
      </vt:variant>
      <vt:variant>
        <vt:i4>0</vt:i4>
      </vt:variant>
      <vt:variant>
        <vt:i4>0</vt:i4>
      </vt:variant>
      <vt:variant>
        <vt:i4>5</vt:i4>
      </vt:variant>
      <vt:variant>
        <vt:lpwstr>https://blogs.worldbank.org/en/opendata/world-bank-country-classifications-by-income-level-for-2024-2025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BRIZUELA, Vanessa</cp:lastModifiedBy>
  <cp:revision>8</cp:revision>
  <dcterms:created xsi:type="dcterms:W3CDTF">2026-04-07T13:36:00Z</dcterms:created>
  <dcterms:modified xsi:type="dcterms:W3CDTF">2026-04-07T13:42:00Z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id="EVtjqdBD"/&gt;&lt;style id="http://www.zotero.org/styles/springer-vancouver-brackets" locale="en-US" hasBibliography="1" bibliographyStyleHasBeenSet="1"/&gt;&lt;prefs&gt;&lt;pref name="fieldType" value="Field"/&gt;&lt;p</vt:lpwstr>
  </property>
  <property fmtid="{D5CDD505-2E9C-101B-9397-08002B2CF9AE}" pid="3" name="ZOTERO_PREF_2">
    <vt:lpwstr>ref name="automaticJournalAbbreviations" value="true"/&gt;&lt;/prefs&gt;&lt;/data&gt;</vt:lpwstr>
  </property>
  <property fmtid="{D5CDD505-2E9C-101B-9397-08002B2CF9AE}" pid="4" name="ContentTypeId">
    <vt:lpwstr>0x0101005F9FD318D196264CAAFC950941FDB879</vt:lpwstr>
  </property>
  <property fmtid="{D5CDD505-2E9C-101B-9397-08002B2CF9AE}" pid="5" name="MediaServiceImageTags">
    <vt:lpwstr/>
  </property>
  <property fmtid="{D5CDD505-2E9C-101B-9397-08002B2CF9AE}" pid="6" name="docLang">
    <vt:lpwstr>en</vt:lpwstr>
  </property>
</Properties>
</file>