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E1C1" w14:textId="77777777" w:rsidR="005F40DC" w:rsidRPr="00365080" w:rsidRDefault="00590F36" w:rsidP="008E4801">
      <w:pPr>
        <w:spacing w:before="480" w:after="120"/>
        <w:rPr>
          <w:lang w:val="es-AR"/>
        </w:rPr>
      </w:pPr>
      <w:r w:rsidRPr="00365080">
        <w:rPr>
          <w:b/>
          <w:bCs/>
          <w:color w:val="666666"/>
          <w:lang w:val="es-AR"/>
        </w:rPr>
        <w:t>¿QUÉ FUNCIONA Y CÓMO?</w:t>
      </w:r>
    </w:p>
    <w:p w14:paraId="4EBF8799" w14:textId="77777777" w:rsidR="005F40DC" w:rsidRPr="00365080" w:rsidRDefault="00590F36" w:rsidP="008E4801">
      <w:pPr>
        <w:spacing w:after="120"/>
        <w:rPr>
          <w:lang w:val="es-AR"/>
        </w:rPr>
      </w:pPr>
      <w:r w:rsidRPr="00365080">
        <w:rPr>
          <w:b/>
          <w:bCs/>
          <w:color w:val="006BB6"/>
          <w:sz w:val="36"/>
          <w:szCs w:val="36"/>
          <w:lang w:val="es-AR"/>
        </w:rPr>
        <w:t>Experiencias comunitarias de adaptación al cambio climático para la salud y los derechos sexuales y reproductivos</w:t>
      </w:r>
    </w:p>
    <w:p w14:paraId="24C1D44C" w14:textId="77777777" w:rsidR="005F40DC" w:rsidRPr="00365080" w:rsidRDefault="00590F36" w:rsidP="008E4801">
      <w:pPr>
        <w:pBdr>
          <w:bottom w:val="single" w:sz="8" w:space="4" w:color="006BB6"/>
        </w:pBdr>
        <w:spacing w:before="80" w:after="120"/>
        <w:rPr>
          <w:lang w:val="es-AR"/>
        </w:rPr>
      </w:pPr>
      <w:r w:rsidRPr="00365080">
        <w:rPr>
          <w:b/>
          <w:bCs/>
          <w:color w:val="005A8E"/>
          <w:sz w:val="28"/>
          <w:szCs w:val="28"/>
          <w:lang w:val="es-AR"/>
        </w:rPr>
        <w:t>Convocatoria de propuestas de investigación</w:t>
      </w:r>
    </w:p>
    <w:p w14:paraId="3AFA27AC" w14:textId="77777777" w:rsidR="005F40DC" w:rsidRPr="00365080" w:rsidRDefault="00590F36" w:rsidP="008E4801">
      <w:pPr>
        <w:spacing w:before="120" w:after="120"/>
        <w:rPr>
          <w:lang w:val="es-AR"/>
        </w:rPr>
      </w:pPr>
      <w:r w:rsidRPr="00365080">
        <w:rPr>
          <w:b/>
          <w:bCs/>
          <w:color w:val="333333"/>
          <w:lang w:val="es-AR"/>
        </w:rPr>
        <w:t xml:space="preserve">Publicado por: </w:t>
      </w:r>
      <w:r w:rsidRPr="00365080">
        <w:rPr>
          <w:color w:val="333333"/>
          <w:lang w:val="es-AR"/>
        </w:rPr>
        <w:t>Programa Especial PNUD/UNFPA/UNICEF/OMS/Banco Mundial de Investigación, Desarrollo y Formación en Investigación sobre Reproducción Humana (HRP), Departamento de Salud Sexual, Reproductiva, Materna, Infantil, del Adolescente y del Envejecimiento, Organización Mundial de la Salud</w:t>
      </w:r>
    </w:p>
    <w:p w14:paraId="29D0D6F0" w14:textId="7ABFAEA2" w:rsidR="005F40DC" w:rsidRPr="00365080" w:rsidRDefault="00590F36" w:rsidP="008E4801">
      <w:pPr>
        <w:spacing w:before="60" w:after="120"/>
        <w:rPr>
          <w:lang w:val="es-AR"/>
        </w:rPr>
      </w:pPr>
      <w:r w:rsidRPr="00365080">
        <w:rPr>
          <w:b/>
          <w:bCs/>
          <w:color w:val="333333"/>
          <w:lang w:val="es-AR"/>
        </w:rPr>
        <w:t xml:space="preserve">Fecha límite de presentación: </w:t>
      </w:r>
      <w:r w:rsidR="00622364" w:rsidRPr="00065267">
        <w:rPr>
          <w:strike/>
          <w:color w:val="333333"/>
          <w:lang w:val="es-AR"/>
        </w:rPr>
        <w:t>12</w:t>
      </w:r>
      <w:r w:rsidRPr="00065267">
        <w:rPr>
          <w:strike/>
          <w:color w:val="333333"/>
          <w:lang w:val="es-AR"/>
        </w:rPr>
        <w:t xml:space="preserve"> de abril de 2026, 23:59 GMT+1</w:t>
      </w:r>
      <w:r w:rsidR="00065267">
        <w:rPr>
          <w:color w:val="333333"/>
          <w:lang w:val="es-AR"/>
        </w:rPr>
        <w:t xml:space="preserve"> </w:t>
      </w:r>
      <w:r w:rsidR="00065267" w:rsidRPr="00065267">
        <w:rPr>
          <w:b/>
          <w:bCs/>
          <w:color w:val="FF0000"/>
          <w:lang w:val="es-AR"/>
        </w:rPr>
        <w:t>NUEVA FECHA 26 de abril de 2026, 23:59 GMT+1</w:t>
      </w:r>
    </w:p>
    <w:p w14:paraId="6CA967C8" w14:textId="13F51154" w:rsidR="008273BA" w:rsidRPr="00365080" w:rsidRDefault="00590F36" w:rsidP="008E4801">
      <w:pPr>
        <w:spacing w:before="60" w:after="120"/>
        <w:rPr>
          <w:b/>
          <w:bCs/>
          <w:color w:val="333333"/>
          <w:lang w:val="es-AR"/>
        </w:rPr>
      </w:pPr>
      <w:r w:rsidRPr="00365080">
        <w:rPr>
          <w:b/>
          <w:bCs/>
          <w:color w:val="333333"/>
          <w:lang w:val="es-AR"/>
        </w:rPr>
        <w:t xml:space="preserve">Plataforma de presentación: </w:t>
      </w:r>
      <w:hyperlink r:id="rId11" w:history="1">
        <w:r w:rsidRPr="00365080">
          <w:rPr>
            <w:rStyle w:val="Hyperlink"/>
            <w:b/>
            <w:bCs/>
            <w:lang w:val="es-AR"/>
          </w:rPr>
          <w:t>Experiencias comunitarias de adaptación al cambio climático para la salud y los derechos sexuales y reproductivos – FORMULARIO DE SOLICITUD</w:t>
        </w:r>
      </w:hyperlink>
    </w:p>
    <w:p w14:paraId="676F9518" w14:textId="090FBA03" w:rsidR="005F40DC" w:rsidRPr="00365080" w:rsidRDefault="00590F36" w:rsidP="008E4801">
      <w:pPr>
        <w:spacing w:before="60" w:after="120"/>
        <w:rPr>
          <w:lang w:val="es-AR"/>
        </w:rPr>
      </w:pPr>
      <w:r w:rsidRPr="00365080">
        <w:rPr>
          <w:b/>
          <w:bCs/>
          <w:color w:val="333333"/>
          <w:lang w:val="es-AR"/>
        </w:rPr>
        <w:t xml:space="preserve">Idiomas aceptados: </w:t>
      </w:r>
      <w:r w:rsidRPr="00365080">
        <w:rPr>
          <w:color w:val="333333"/>
          <w:lang w:val="es-AR"/>
        </w:rPr>
        <w:t>inglés, francés o español</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70681B" w:rsidRPr="00065267" w14:paraId="2E0193EA" w14:textId="77777777" w:rsidTr="001D57EA">
        <w:tc>
          <w:tcPr>
            <w:tcW w:w="9026" w:type="dxa"/>
            <w:tcBorders>
              <w:top w:val="single" w:sz="4" w:space="0" w:color="006BB6"/>
              <w:left w:val="single" w:sz="12" w:space="0" w:color="006BB6"/>
              <w:bottom w:val="none" w:sz="0" w:space="0" w:color="FFFFFF"/>
              <w:right w:val="none" w:sz="0" w:space="0" w:color="FFFFFF"/>
            </w:tcBorders>
            <w:shd w:val="clear" w:color="auto" w:fill="EBF4FB"/>
            <w:tcMar>
              <w:top w:w="120" w:type="dxa"/>
              <w:left w:w="160" w:type="dxa"/>
              <w:bottom w:w="120" w:type="dxa"/>
              <w:right w:w="160" w:type="dxa"/>
            </w:tcMar>
          </w:tcPr>
          <w:p w14:paraId="1FD80CDA" w14:textId="11C9DDCB" w:rsidR="0070681B" w:rsidRPr="00365080" w:rsidRDefault="0070681B" w:rsidP="001D57EA">
            <w:pPr>
              <w:spacing w:after="120"/>
              <w:rPr>
                <w:lang w:val="es-AR"/>
              </w:rPr>
            </w:pPr>
            <w:r w:rsidRPr="00365080">
              <w:rPr>
                <w:b/>
                <w:bCs/>
                <w:color w:val="006BB6"/>
                <w:lang w:val="es-AR"/>
              </w:rPr>
              <w:t>Aviso</w:t>
            </w:r>
          </w:p>
          <w:p w14:paraId="3E71C78F" w14:textId="3F228612" w:rsidR="0070681B" w:rsidRPr="00365080" w:rsidRDefault="0070681B" w:rsidP="001D57EA">
            <w:pPr>
              <w:spacing w:before="40" w:after="120"/>
              <w:rPr>
                <w:lang w:val="es-AR"/>
              </w:rPr>
            </w:pPr>
            <w:r w:rsidRPr="00365080">
              <w:rPr>
                <w:color w:val="333333"/>
                <w:lang w:val="es-AR"/>
              </w:rPr>
              <w:t xml:space="preserve">La traducción al español </w:t>
            </w:r>
            <w:r w:rsidR="00B140CC">
              <w:rPr>
                <w:color w:val="333333"/>
                <w:lang w:val="es-AR"/>
              </w:rPr>
              <w:t>a partir de</w:t>
            </w:r>
            <w:r w:rsidR="00DF5CE1" w:rsidRPr="00365080">
              <w:rPr>
                <w:color w:val="333333"/>
                <w:lang w:val="es-AR"/>
              </w:rPr>
              <w:t xml:space="preserve">l original en inglés </w:t>
            </w:r>
            <w:r w:rsidRPr="00365080">
              <w:rPr>
                <w:color w:val="333333"/>
                <w:lang w:val="es-AR"/>
              </w:rPr>
              <w:t>se realizó con IA; cualquier error potencial es involuntario.</w:t>
            </w:r>
          </w:p>
        </w:tc>
      </w:tr>
    </w:tbl>
    <w:p w14:paraId="0D943F1E" w14:textId="77777777" w:rsidR="0070681B" w:rsidRPr="00365080" w:rsidRDefault="0070681B" w:rsidP="0070681B">
      <w:pPr>
        <w:spacing w:after="120"/>
        <w:rPr>
          <w:lang w:val="es-AR"/>
        </w:rPr>
      </w:pPr>
    </w:p>
    <w:p w14:paraId="3EB79BA7" w14:textId="77777777" w:rsidR="005F40DC" w:rsidRPr="00365080" w:rsidRDefault="005F40DC" w:rsidP="008E4801">
      <w:pPr>
        <w:spacing w:after="120"/>
        <w:rPr>
          <w:lang w:val="es-AR"/>
        </w:rPr>
      </w:pPr>
    </w:p>
    <w:p w14:paraId="24DB18A8" w14:textId="3B1D2A21" w:rsidR="005F40DC" w:rsidRPr="00365080" w:rsidRDefault="00590F36" w:rsidP="008E4801">
      <w:pPr>
        <w:pStyle w:val="Heading1"/>
        <w:rPr>
          <w:lang w:val="es-AR"/>
        </w:rPr>
      </w:pPr>
      <w:r w:rsidRPr="00365080">
        <w:rPr>
          <w:lang w:val="es-AR"/>
        </w:rPr>
        <w:t>1. Antecedentes y justificación</w:t>
      </w:r>
    </w:p>
    <w:p w14:paraId="044DA759" w14:textId="6E8AF738" w:rsidR="005F40DC" w:rsidRPr="00365080" w:rsidRDefault="00590F36" w:rsidP="008E4801">
      <w:pPr>
        <w:spacing w:before="60" w:after="120"/>
        <w:rPr>
          <w:lang w:val="es-AR"/>
        </w:rPr>
      </w:pPr>
      <w:r w:rsidRPr="00365080">
        <w:rPr>
          <w:color w:val="333333"/>
          <w:lang w:val="es-AR"/>
        </w:rPr>
        <w:t>El cambio climático es una de las amenazas más graves para la salud mundial en el siglo XXI [1]. Sus efectos sobre la salud y los derechos sexuales y reproductivos (SDSR) son amplios: desde resultados maternos y perinatales adversos vinculados a las temperaturas extremas y las inundaciones, hasta el aumento de la incidencia de la violencia de género en las secuelas de las crisis climáticas, pasando por el acceso interrumpido a la anticoncepción y la atención para el aborto cuando los sistemas de salud se ven desbordados [2–6]. Una revisión de alcance realizada por la OMS/HRP confirmó la amplitud de estas asociaciones y documentó brechas críticas en la evidencia, en particular para la atención para el aborto, la anticoncepción y las cuestiones más amplias de salud sexual [3]. La evidencia es especialmente escasa en estudios que aplican un enfoque interseccional que tenga en cuenta cómo el género, la edad, la discapacidad, la pobreza y el estatus migratorio interactúan con la exposición climática para determinar los resultados en materia de SDSR.</w:t>
      </w:r>
    </w:p>
    <w:p w14:paraId="56F7D597" w14:textId="30AB6463" w:rsidR="0034636C" w:rsidRPr="00365080" w:rsidRDefault="00590F36" w:rsidP="008E4801">
      <w:pPr>
        <w:spacing w:before="60" w:after="120"/>
        <w:rPr>
          <w:color w:val="333333"/>
          <w:lang w:val="es-AR"/>
        </w:rPr>
      </w:pPr>
      <w:r w:rsidRPr="00365080">
        <w:rPr>
          <w:color w:val="333333"/>
          <w:lang w:val="es-AR"/>
        </w:rPr>
        <w:t xml:space="preserve">Un ejercicio de priorización liderado por la OMS/HRP en 2024 con expertos/as en SDSR, clima y medio ambiente produjo una lista de diez preguntas de investigación prioritarias en la intersección de los eventos relacionados con el clima y los SDSR [7], e identificó los enfoques participativos y de métodos mixtos como los más adecuados para generar la evidencia necesaria [8]. La evidencia también ha demostrado que, si bien algunos Planes Nacionales de Adaptación (PNA) y Planes Nacionales de Adaptación para la Salud (PNAS) incluyen componentes de SDSR, ninguno aborda los SDSR de manera integral [9,10]. </w:t>
      </w:r>
    </w:p>
    <w:p w14:paraId="1DCD2B4C" w14:textId="2558AFCD" w:rsidR="005F40DC" w:rsidRPr="00365080" w:rsidRDefault="00590F36" w:rsidP="008E4801">
      <w:pPr>
        <w:spacing w:before="60" w:after="120"/>
        <w:rPr>
          <w:lang w:val="es-AR"/>
        </w:rPr>
      </w:pPr>
      <w:r w:rsidRPr="00365080">
        <w:rPr>
          <w:color w:val="333333"/>
          <w:lang w:val="es-AR"/>
        </w:rPr>
        <w:t>Esta convocatoria responde directamente a ambos hallazgos. Se centra en cuatro áreas de resultados prioritarios — salud materna, violencia de género, anticoncepción y atención para el aborto — y se basa en el principio de que las comunidades más afectadas por el cambio climático están en mejor posición para definir, estudiar y contribuir a resolver los problemas que enfrentan.</w:t>
      </w:r>
    </w:p>
    <w:p w14:paraId="495939B2" w14:textId="77777777" w:rsidR="00BB64DB" w:rsidRPr="00365080" w:rsidRDefault="00BB64DB" w:rsidP="008E4801">
      <w:pPr>
        <w:pStyle w:val="Heading1"/>
        <w:rPr>
          <w:lang w:val="es-AR"/>
        </w:rPr>
      </w:pPr>
    </w:p>
    <w:p w14:paraId="6302CE49" w14:textId="41D95330" w:rsidR="005F40DC" w:rsidRPr="00365080" w:rsidRDefault="00590F36" w:rsidP="008E4801">
      <w:pPr>
        <w:pStyle w:val="Heading1"/>
        <w:rPr>
          <w:lang w:val="es-AR"/>
        </w:rPr>
      </w:pPr>
      <w:r w:rsidRPr="00365080">
        <w:rPr>
          <w:lang w:val="es-AR"/>
        </w:rPr>
        <w:lastRenderedPageBreak/>
        <w:t>2. Preguntas de investigación y objetivos</w:t>
      </w:r>
    </w:p>
    <w:p w14:paraId="7DB0B1E3" w14:textId="609375AF" w:rsidR="005F40DC" w:rsidRPr="00365080" w:rsidRDefault="00590F36" w:rsidP="008E4801">
      <w:pPr>
        <w:pStyle w:val="Heading2"/>
        <w:pBdr>
          <w:bottom w:val="single" w:sz="2" w:space="4" w:color="CCCCCC"/>
        </w:pBdr>
        <w:spacing w:after="120"/>
        <w:rPr>
          <w:lang w:val="es-AR"/>
        </w:rPr>
      </w:pPr>
      <w:r w:rsidRPr="00365080">
        <w:rPr>
          <w:lang w:val="es-AR"/>
        </w:rPr>
        <w:t>2.1 Preguntas de investigación prioritarias</w:t>
      </w:r>
    </w:p>
    <w:p w14:paraId="7EA55CD4" w14:textId="4EC7899E" w:rsidR="005F40DC" w:rsidRPr="00365080" w:rsidRDefault="00590F36" w:rsidP="008E4801">
      <w:pPr>
        <w:spacing w:before="60" w:after="120"/>
        <w:rPr>
          <w:lang w:val="es-AR"/>
        </w:rPr>
      </w:pPr>
      <w:r w:rsidRPr="00365080">
        <w:rPr>
          <w:color w:val="333333"/>
          <w:lang w:val="es-AR"/>
        </w:rPr>
        <w:t xml:space="preserve">Esta convocatoria se enfoca en cuatro áreas de resultados de SDSR donde la brecha de evidencia es más aguda y donde la investigación participativa centrada en la comunidad es más necesaria, basándose en el proceso de construcción de consenso de la OMS/HRP de 2024 [7]. Cada propuesta debe abordar </w:t>
      </w:r>
      <w:r w:rsidR="005623D1" w:rsidRPr="00365080">
        <w:rPr>
          <w:b/>
          <w:bCs/>
          <w:color w:val="333333"/>
          <w:u w:val="single"/>
          <w:lang w:val="es-AR"/>
        </w:rPr>
        <w:t xml:space="preserve">solo </w:t>
      </w:r>
      <w:r w:rsidRPr="00365080">
        <w:rPr>
          <w:b/>
          <w:bCs/>
          <w:color w:val="333333"/>
          <w:u w:val="single"/>
          <w:lang w:val="es-AR"/>
        </w:rPr>
        <w:t>una</w:t>
      </w:r>
      <w:r w:rsidRPr="00365080">
        <w:rPr>
          <w:color w:val="333333"/>
          <w:lang w:val="es-AR"/>
        </w:rPr>
        <w:t xml:space="preserve"> de las cuatro preguntas prioritarias siguientes y proporcionar una justificación concisa de esa elección basada en el contexto local, las brechas de evidencia existentes y la experiencia del equipo.</w:t>
      </w:r>
    </w:p>
    <w:p w14:paraId="28E72B86" w14:textId="77777777" w:rsidR="005F40DC" w:rsidRPr="00365080" w:rsidRDefault="005F40DC" w:rsidP="008E4801">
      <w:pPr>
        <w:spacing w:after="120"/>
        <w:rPr>
          <w:lang w:val="es-A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381B7E" w:rsidRPr="00065267" w14:paraId="65EB8C2C" w14:textId="77777777">
        <w:tc>
          <w:tcPr>
            <w:tcW w:w="9026" w:type="dxa"/>
            <w:tcBorders>
              <w:top w:val="single" w:sz="4" w:space="0" w:color="006BB6"/>
              <w:left w:val="single" w:sz="12" w:space="0" w:color="006BB6"/>
              <w:bottom w:val="none" w:sz="0" w:space="0" w:color="FFFFFF"/>
              <w:right w:val="none" w:sz="0" w:space="0" w:color="FFFFFF"/>
            </w:tcBorders>
            <w:shd w:val="clear" w:color="auto" w:fill="EBF4FB"/>
            <w:tcMar>
              <w:top w:w="120" w:type="dxa"/>
              <w:left w:w="160" w:type="dxa"/>
              <w:bottom w:w="120" w:type="dxa"/>
              <w:right w:w="160" w:type="dxa"/>
            </w:tcMar>
          </w:tcPr>
          <w:p w14:paraId="477D8CEB" w14:textId="232B189B" w:rsidR="005F40DC" w:rsidRPr="00365080" w:rsidRDefault="00590F36" w:rsidP="008E4801">
            <w:pPr>
              <w:spacing w:after="120"/>
              <w:rPr>
                <w:lang w:val="es-AR"/>
              </w:rPr>
            </w:pPr>
            <w:r w:rsidRPr="00365080">
              <w:rPr>
                <w:b/>
                <w:bCs/>
                <w:color w:val="006BB6"/>
                <w:lang w:val="es-AR"/>
              </w:rPr>
              <w:t>Pregunta prioritaria 1 – Salud materna</w:t>
            </w:r>
          </w:p>
          <w:p w14:paraId="3693FA06" w14:textId="77777777" w:rsidR="005F40DC" w:rsidRPr="00365080" w:rsidRDefault="00590F36" w:rsidP="008E4801">
            <w:pPr>
              <w:spacing w:before="40" w:after="120"/>
              <w:rPr>
                <w:lang w:val="es-AR"/>
              </w:rPr>
            </w:pPr>
            <w:r w:rsidRPr="00365080">
              <w:rPr>
                <w:color w:val="333333"/>
                <w:lang w:val="es-AR"/>
              </w:rPr>
              <w:t>¿Cómo afectan los eventos relacionados con el clima — incluidas las temperaturas extremas, las inundaciones y la sequía — a los resultados de salud materna y perinatal, y qué revelan las experiencias vividas de las comunidades sobre los obstáculos y los factores que facilitan una atención de maternidad de calidad durante y después de estos eventos?</w:t>
            </w:r>
          </w:p>
        </w:tc>
      </w:tr>
    </w:tbl>
    <w:p w14:paraId="186D6594" w14:textId="77777777" w:rsidR="005F40DC" w:rsidRPr="00365080" w:rsidRDefault="005F40DC" w:rsidP="008E4801">
      <w:pPr>
        <w:spacing w:after="120"/>
        <w:rPr>
          <w:lang w:val="es-A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381B7E" w:rsidRPr="00065267" w14:paraId="5384E8FF" w14:textId="77777777">
        <w:tc>
          <w:tcPr>
            <w:tcW w:w="9026" w:type="dxa"/>
            <w:tcBorders>
              <w:top w:val="single" w:sz="4" w:space="0" w:color="006BB6"/>
              <w:left w:val="single" w:sz="12" w:space="0" w:color="006BB6"/>
              <w:bottom w:val="none" w:sz="0" w:space="0" w:color="FFFFFF"/>
              <w:right w:val="none" w:sz="0" w:space="0" w:color="FFFFFF"/>
            </w:tcBorders>
            <w:shd w:val="clear" w:color="auto" w:fill="EBF4FB"/>
            <w:tcMar>
              <w:top w:w="120" w:type="dxa"/>
              <w:left w:w="160" w:type="dxa"/>
              <w:bottom w:w="120" w:type="dxa"/>
              <w:right w:w="160" w:type="dxa"/>
            </w:tcMar>
          </w:tcPr>
          <w:p w14:paraId="37DEA054" w14:textId="142B17CA" w:rsidR="005F40DC" w:rsidRPr="00365080" w:rsidRDefault="00590F36" w:rsidP="008E4801">
            <w:pPr>
              <w:spacing w:after="120"/>
              <w:rPr>
                <w:lang w:val="es-AR"/>
              </w:rPr>
            </w:pPr>
            <w:r w:rsidRPr="00365080">
              <w:rPr>
                <w:b/>
                <w:bCs/>
                <w:color w:val="006BB6"/>
                <w:lang w:val="es-AR"/>
              </w:rPr>
              <w:t xml:space="preserve">Pregunta prioritaria 2 – Violencia de género </w:t>
            </w:r>
          </w:p>
          <w:p w14:paraId="72B98DE1" w14:textId="70B68090" w:rsidR="005F40DC" w:rsidRPr="00365080" w:rsidRDefault="00590F36" w:rsidP="008E4801">
            <w:pPr>
              <w:spacing w:before="40" w:after="120"/>
              <w:rPr>
                <w:lang w:val="es-AR"/>
              </w:rPr>
            </w:pPr>
            <w:r w:rsidRPr="00365080">
              <w:rPr>
                <w:color w:val="333333"/>
                <w:lang w:val="es-AR"/>
              </w:rPr>
              <w:t>¿Cómo afectan los eventos relacionados con el clima — incluidas la sequía, las inundaciones y las temperaturas extremas — a la incidencia, las manifestaciones y la respuesta del sistema de salud a la violencia de género, y qué intervenciones comunitarias pueden prevenir y reducir eficazmente esta violencia?</w:t>
            </w:r>
          </w:p>
        </w:tc>
      </w:tr>
    </w:tbl>
    <w:p w14:paraId="2CEB6D02" w14:textId="77777777" w:rsidR="005F40DC" w:rsidRPr="00365080" w:rsidRDefault="005F40DC" w:rsidP="008E4801">
      <w:pPr>
        <w:spacing w:after="120"/>
        <w:rPr>
          <w:lang w:val="es-A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381B7E" w:rsidRPr="00065267" w14:paraId="40211D8B" w14:textId="77777777">
        <w:tc>
          <w:tcPr>
            <w:tcW w:w="9026" w:type="dxa"/>
            <w:tcBorders>
              <w:top w:val="single" w:sz="4" w:space="0" w:color="006BB6"/>
              <w:left w:val="single" w:sz="12" w:space="0" w:color="006BB6"/>
              <w:bottom w:val="none" w:sz="0" w:space="0" w:color="FFFFFF"/>
              <w:right w:val="none" w:sz="0" w:space="0" w:color="FFFFFF"/>
            </w:tcBorders>
            <w:shd w:val="clear" w:color="auto" w:fill="EBF4FB"/>
            <w:tcMar>
              <w:top w:w="120" w:type="dxa"/>
              <w:left w:w="160" w:type="dxa"/>
              <w:bottom w:w="120" w:type="dxa"/>
              <w:right w:w="160" w:type="dxa"/>
            </w:tcMar>
          </w:tcPr>
          <w:p w14:paraId="5EC1AE8E" w14:textId="2CA2EB7B" w:rsidR="005F40DC" w:rsidRPr="00365080" w:rsidRDefault="00590F36" w:rsidP="008E4801">
            <w:pPr>
              <w:spacing w:after="120"/>
              <w:rPr>
                <w:lang w:val="es-AR"/>
              </w:rPr>
            </w:pPr>
            <w:r w:rsidRPr="00365080">
              <w:rPr>
                <w:b/>
                <w:bCs/>
                <w:color w:val="006BB6"/>
                <w:lang w:val="es-AR"/>
              </w:rPr>
              <w:t xml:space="preserve">Pregunta prioritaria 3 – Anticoncepción </w:t>
            </w:r>
          </w:p>
          <w:p w14:paraId="47526CB4" w14:textId="63C3C387" w:rsidR="005F40DC" w:rsidRPr="00365080" w:rsidRDefault="00590F36" w:rsidP="008E4801">
            <w:pPr>
              <w:spacing w:before="40" w:after="120"/>
              <w:rPr>
                <w:lang w:val="es-AR"/>
              </w:rPr>
            </w:pPr>
            <w:r w:rsidRPr="00365080">
              <w:rPr>
                <w:color w:val="333333"/>
                <w:lang w:val="es-AR"/>
              </w:rPr>
              <w:t>¿Cómo afectan los eventos relacionados con el clima al acceso y la continuidad de los servicios y productos anticonceptivos, y qué medidas pueden implementarse para mantener una atención anticonceptiva de calidad durante y después de las crisis climáticas?</w:t>
            </w:r>
          </w:p>
        </w:tc>
      </w:tr>
    </w:tbl>
    <w:p w14:paraId="51772367" w14:textId="77777777" w:rsidR="005F40DC" w:rsidRPr="00365080" w:rsidRDefault="005F40DC" w:rsidP="008E4801">
      <w:pPr>
        <w:spacing w:after="120"/>
        <w:rPr>
          <w:lang w:val="es-A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381B7E" w:rsidRPr="00065267" w14:paraId="47532A58" w14:textId="77777777">
        <w:tc>
          <w:tcPr>
            <w:tcW w:w="9026" w:type="dxa"/>
            <w:tcBorders>
              <w:top w:val="single" w:sz="4" w:space="0" w:color="006BB6"/>
              <w:left w:val="single" w:sz="12" w:space="0" w:color="006BB6"/>
              <w:bottom w:val="none" w:sz="0" w:space="0" w:color="FFFFFF"/>
              <w:right w:val="none" w:sz="0" w:space="0" w:color="FFFFFF"/>
            </w:tcBorders>
            <w:shd w:val="clear" w:color="auto" w:fill="EBF4FB"/>
            <w:tcMar>
              <w:top w:w="120" w:type="dxa"/>
              <w:left w:w="160" w:type="dxa"/>
              <w:bottom w:w="120" w:type="dxa"/>
              <w:right w:w="160" w:type="dxa"/>
            </w:tcMar>
          </w:tcPr>
          <w:p w14:paraId="62961250" w14:textId="196C18A8" w:rsidR="005F40DC" w:rsidRPr="00365080" w:rsidRDefault="00590F36" w:rsidP="008E4801">
            <w:pPr>
              <w:spacing w:after="120"/>
              <w:rPr>
                <w:lang w:val="es-AR"/>
              </w:rPr>
            </w:pPr>
            <w:r w:rsidRPr="00365080">
              <w:rPr>
                <w:b/>
                <w:bCs/>
                <w:color w:val="006BB6"/>
                <w:lang w:val="es-AR"/>
              </w:rPr>
              <w:t xml:space="preserve">Pregunta prioritaria 4 – Atención para el aborto </w:t>
            </w:r>
          </w:p>
          <w:p w14:paraId="3249767B" w14:textId="75CD3BF1" w:rsidR="005F40DC" w:rsidRPr="00365080" w:rsidRDefault="00590F36" w:rsidP="008E4801">
            <w:pPr>
              <w:spacing w:before="40" w:after="120"/>
              <w:rPr>
                <w:lang w:val="es-AR"/>
              </w:rPr>
            </w:pPr>
            <w:r w:rsidRPr="00365080">
              <w:rPr>
                <w:color w:val="333333"/>
                <w:lang w:val="es-AR"/>
              </w:rPr>
              <w:t>¿Cómo afectan los eventos relacionados con el clima al acceso a la atención integral para el aborto, y cómo pueden las experiencias de las comunidades y las respuestas de los sistemas de salud orientar estrategias para garantizar la continuidad de la atención durante y después de las crisis climáticas?</w:t>
            </w:r>
          </w:p>
        </w:tc>
      </w:tr>
    </w:tbl>
    <w:p w14:paraId="5C8C4DC1" w14:textId="77777777" w:rsidR="005F40DC" w:rsidRPr="00365080" w:rsidRDefault="005F40DC" w:rsidP="008E4801">
      <w:pPr>
        <w:spacing w:after="120"/>
        <w:rPr>
          <w:lang w:val="es-AR"/>
        </w:rPr>
      </w:pPr>
    </w:p>
    <w:p w14:paraId="458193EA" w14:textId="1C4C4EF0" w:rsidR="005F40DC" w:rsidRPr="00365080" w:rsidRDefault="00590F36" w:rsidP="008E4801">
      <w:pPr>
        <w:pStyle w:val="Heading2"/>
        <w:pBdr>
          <w:bottom w:val="single" w:sz="2" w:space="4" w:color="CCCCCC"/>
        </w:pBdr>
        <w:spacing w:after="120"/>
        <w:rPr>
          <w:lang w:val="es-AR"/>
        </w:rPr>
      </w:pPr>
      <w:r w:rsidRPr="00365080">
        <w:rPr>
          <w:lang w:val="es-AR"/>
        </w:rPr>
        <w:t>2.2 Objetivos</w:t>
      </w:r>
    </w:p>
    <w:p w14:paraId="17145B4A" w14:textId="77777777" w:rsidR="005F40DC" w:rsidRPr="00365080" w:rsidRDefault="00590F36" w:rsidP="008E4801">
      <w:pPr>
        <w:spacing w:before="60" w:after="120"/>
        <w:rPr>
          <w:lang w:val="es-AR"/>
        </w:rPr>
      </w:pPr>
      <w:r w:rsidRPr="00365080">
        <w:rPr>
          <w:color w:val="333333"/>
          <w:lang w:val="es-AR"/>
        </w:rPr>
        <w:t>Los objetivos de esta convocatoria son:</w:t>
      </w:r>
    </w:p>
    <w:p w14:paraId="02FEF336" w14:textId="77777777" w:rsidR="005F40DC" w:rsidRPr="00365080" w:rsidRDefault="00590F36" w:rsidP="008E4801">
      <w:pPr>
        <w:pStyle w:val="ListParagraph"/>
        <w:numPr>
          <w:ilvl w:val="0"/>
          <w:numId w:val="2"/>
        </w:numPr>
        <w:spacing w:before="40" w:after="120"/>
        <w:rPr>
          <w:lang w:val="es-AR"/>
        </w:rPr>
      </w:pPr>
      <w:r w:rsidRPr="00365080">
        <w:rPr>
          <w:color w:val="333333"/>
          <w:lang w:val="es-AR"/>
        </w:rPr>
        <w:t>Generar evidencia centrada en la comunidad sobre la experiencia vivida del impacto del cambio climático en los SDSR, en cuatro áreas de resultados prioritarios: salud materna, violencia de género, anticoncepción y atención para el aborto.</w:t>
      </w:r>
    </w:p>
    <w:p w14:paraId="09C5237B" w14:textId="77777777" w:rsidR="005F40DC" w:rsidRPr="00365080" w:rsidRDefault="00590F36" w:rsidP="008E4801">
      <w:pPr>
        <w:pStyle w:val="ListParagraph"/>
        <w:numPr>
          <w:ilvl w:val="0"/>
          <w:numId w:val="2"/>
        </w:numPr>
        <w:spacing w:before="40" w:after="120"/>
        <w:rPr>
          <w:lang w:val="es-AR"/>
        </w:rPr>
      </w:pPr>
      <w:r w:rsidRPr="00365080">
        <w:rPr>
          <w:color w:val="333333"/>
          <w:lang w:val="es-AR"/>
        </w:rPr>
        <w:t>Apoyar la investigación participativa que coloca a las comunidades afectadas por el clima como coinvestigadores/as activos/as, y que pueda orientar el fortalecimiento de los PNA/PNAS y las políticas de SDSR a nivel de país.</w:t>
      </w:r>
    </w:p>
    <w:p w14:paraId="6AEED663" w14:textId="77777777" w:rsidR="005F40DC" w:rsidRPr="00365080" w:rsidRDefault="00590F36" w:rsidP="008E4801">
      <w:pPr>
        <w:pStyle w:val="ListParagraph"/>
        <w:numPr>
          <w:ilvl w:val="0"/>
          <w:numId w:val="2"/>
        </w:numPr>
        <w:spacing w:before="40" w:after="120"/>
        <w:rPr>
          <w:lang w:val="es-AR"/>
        </w:rPr>
      </w:pPr>
      <w:r w:rsidRPr="00365080">
        <w:rPr>
          <w:color w:val="333333"/>
          <w:lang w:val="es-AR"/>
        </w:rPr>
        <w:t>Fortalecer las capacidades de investigación en SDSR en países de ingreso bajo y mediano, con énfasis en los enfoques participativos y de métodos mixtos.</w:t>
      </w:r>
    </w:p>
    <w:p w14:paraId="67A38758" w14:textId="77777777" w:rsidR="005F40DC" w:rsidRPr="00365080" w:rsidRDefault="005F40DC" w:rsidP="008E4801">
      <w:pPr>
        <w:spacing w:after="120"/>
        <w:rPr>
          <w:lang w:val="es-AR"/>
        </w:rPr>
      </w:pPr>
    </w:p>
    <w:p w14:paraId="078C2166" w14:textId="762D38CE" w:rsidR="005F40DC" w:rsidRPr="00365080" w:rsidRDefault="00590F36" w:rsidP="008E4801">
      <w:pPr>
        <w:pStyle w:val="Heading1"/>
        <w:rPr>
          <w:lang w:val="es-AR"/>
        </w:rPr>
      </w:pPr>
      <w:r w:rsidRPr="00365080">
        <w:rPr>
          <w:lang w:val="es-AR"/>
        </w:rPr>
        <w:lastRenderedPageBreak/>
        <w:t>3. Requisitos metodológicos</w:t>
      </w:r>
    </w:p>
    <w:p w14:paraId="25EA0525" w14:textId="424B6030" w:rsidR="005F40DC" w:rsidRPr="00365080" w:rsidRDefault="00590F36" w:rsidP="008E4801">
      <w:pPr>
        <w:spacing w:before="60" w:after="120"/>
        <w:rPr>
          <w:lang w:val="es-AR"/>
        </w:rPr>
      </w:pPr>
      <w:r w:rsidRPr="00365080">
        <w:rPr>
          <w:b/>
          <w:bCs/>
          <w:color w:val="333333"/>
          <w:lang w:val="es-AR"/>
        </w:rPr>
        <w:t xml:space="preserve">Las propuestas no necesitan presentar un protocolo de investigación finalizado. </w:t>
      </w:r>
      <w:r w:rsidRPr="00365080">
        <w:rPr>
          <w:color w:val="333333"/>
          <w:lang w:val="es-AR"/>
        </w:rPr>
        <w:t>Los equipos de las propuestas seleccionadas serán invitados a codesarrollar un protocolo único transnacional durante un taller presencial (véase sección 4). Las propuestas deberán presentar una visión de investigación convincente: cómo planean abordar el trabajo, por qué su equipo está en mejor posición para responder la pregunta prioritaria elegida, y qué aportarán al proceso colectivo.</w:t>
      </w:r>
    </w:p>
    <w:p w14:paraId="1DD43409" w14:textId="6E2E2C31" w:rsidR="005F40DC" w:rsidRPr="00365080" w:rsidRDefault="00590F36" w:rsidP="008E4801">
      <w:pPr>
        <w:pStyle w:val="Heading2"/>
        <w:pBdr>
          <w:bottom w:val="single" w:sz="2" w:space="4" w:color="CCCCCC"/>
        </w:pBdr>
        <w:spacing w:after="120"/>
        <w:rPr>
          <w:lang w:val="es-AR"/>
        </w:rPr>
      </w:pPr>
      <w:r w:rsidRPr="00365080">
        <w:rPr>
          <w:lang w:val="es-AR"/>
        </w:rPr>
        <w:t>3.1 Investigación participativa</w:t>
      </w:r>
    </w:p>
    <w:p w14:paraId="70DCFDB5" w14:textId="432D4E89" w:rsidR="005F40DC" w:rsidRPr="00365080" w:rsidRDefault="00590F36" w:rsidP="008E4801">
      <w:pPr>
        <w:spacing w:before="60" w:after="120"/>
        <w:rPr>
          <w:lang w:val="es-AR"/>
        </w:rPr>
      </w:pPr>
      <w:r w:rsidRPr="00365080">
        <w:rPr>
          <w:color w:val="333333"/>
          <w:lang w:val="es-AR"/>
        </w:rPr>
        <w:t>Los miembros de la comunidad de poblaciones afectadas por el cambio climático y los desafíos de SDSR deben ser socios activos en el proceso de investigación, no meramente sujetos de recolección de datos [11,12]. La participación comunitaria significativa mejora la pertinencia, la adopción y el impacto equitativo de la investigación [13–17]. Las propuestas deben describir cómo la participación comunitaria se integrará a lo largo del ciclo de investigación: definición del problema, diseño de la investigación y desarrollo de instrumentos, recolección de datos, interpretación de datos y difusión.</w:t>
      </w:r>
    </w:p>
    <w:p w14:paraId="3BC9E49A" w14:textId="56241BCD" w:rsidR="00736697" w:rsidRPr="00365080" w:rsidRDefault="00590F36" w:rsidP="008E4801">
      <w:pPr>
        <w:spacing w:before="60" w:after="120"/>
        <w:rPr>
          <w:color w:val="333333"/>
          <w:lang w:val="es-AR"/>
        </w:rPr>
      </w:pPr>
      <w:r w:rsidRPr="00365080">
        <w:rPr>
          <w:color w:val="333333"/>
          <w:lang w:val="es-AR"/>
        </w:rPr>
        <w:t xml:space="preserve">Los enfoques aceptables incluyen la Investigación Participativa Basada en la Comunidad (CBPR), la Investigación Acción Participativa (IAP), la Evaluación Rural Participativa (PRA), el </w:t>
      </w:r>
      <w:proofErr w:type="spellStart"/>
      <w:r w:rsidR="008273BA" w:rsidRPr="00365080">
        <w:rPr>
          <w:i/>
          <w:iCs/>
          <w:color w:val="333333"/>
          <w:lang w:val="es-AR"/>
        </w:rPr>
        <w:t>photovoice</w:t>
      </w:r>
      <w:proofErr w:type="spellEnd"/>
      <w:r w:rsidR="008273BA" w:rsidRPr="00365080">
        <w:rPr>
          <w:i/>
          <w:iCs/>
          <w:color w:val="333333"/>
          <w:lang w:val="es-AR"/>
        </w:rPr>
        <w:t xml:space="preserve"> </w:t>
      </w:r>
      <w:r w:rsidR="008273BA" w:rsidRPr="00365080">
        <w:rPr>
          <w:color w:val="333333"/>
          <w:lang w:val="es-AR"/>
        </w:rPr>
        <w:t>(o “</w:t>
      </w:r>
      <w:proofErr w:type="spellStart"/>
      <w:r w:rsidR="008273BA" w:rsidRPr="00365080">
        <w:rPr>
          <w:color w:val="333333"/>
          <w:lang w:val="es-AR"/>
        </w:rPr>
        <w:t>fotovoz</w:t>
      </w:r>
      <w:proofErr w:type="spellEnd"/>
      <w:r w:rsidR="008273BA" w:rsidRPr="00365080">
        <w:rPr>
          <w:color w:val="333333"/>
          <w:lang w:val="es-AR"/>
        </w:rPr>
        <w:t>”)</w:t>
      </w:r>
      <w:r w:rsidRPr="00365080">
        <w:rPr>
          <w:color w:val="333333"/>
          <w:lang w:val="es-AR"/>
        </w:rPr>
        <w:t xml:space="preserve"> y los métodos de co</w:t>
      </w:r>
      <w:r w:rsidR="008273BA" w:rsidRPr="00365080">
        <w:rPr>
          <w:color w:val="333333"/>
          <w:lang w:val="es-AR"/>
        </w:rPr>
        <w:t>diseño</w:t>
      </w:r>
      <w:r w:rsidRPr="00365080">
        <w:rPr>
          <w:color w:val="333333"/>
          <w:lang w:val="es-AR"/>
        </w:rPr>
        <w:t xml:space="preserve">. Las propuestas deben describir brevemente la estructura de gobernanza prevista para la participación comunitaria, incluyendo cómo se abordarán las dinámicas de poder y cómo se protegerán los intereses de los/las participantes [18]. Orientaciones adicionales sobre marcos de gobernanza participativa se proporcionan en el </w:t>
      </w:r>
      <w:r w:rsidRPr="00365080">
        <w:rPr>
          <w:b/>
          <w:bCs/>
          <w:color w:val="333333"/>
          <w:lang w:val="es-AR"/>
        </w:rPr>
        <w:t>Anexo 1</w:t>
      </w:r>
      <w:r w:rsidRPr="00365080">
        <w:rPr>
          <w:color w:val="333333"/>
          <w:lang w:val="es-AR"/>
        </w:rPr>
        <w:t>.</w:t>
      </w:r>
    </w:p>
    <w:p w14:paraId="702124FF" w14:textId="0C5EAC81" w:rsidR="005F40DC" w:rsidRPr="00365080" w:rsidRDefault="00590F36" w:rsidP="008E4801">
      <w:pPr>
        <w:pStyle w:val="Heading2"/>
        <w:pBdr>
          <w:bottom w:val="single" w:sz="2" w:space="4" w:color="CCCCCC"/>
        </w:pBdr>
        <w:spacing w:after="120"/>
        <w:rPr>
          <w:lang w:val="es-AR"/>
        </w:rPr>
      </w:pPr>
      <w:r w:rsidRPr="00365080">
        <w:rPr>
          <w:lang w:val="es-AR"/>
        </w:rPr>
        <w:t>3.2 Diseño de métodos mixtos</w:t>
      </w:r>
    </w:p>
    <w:p w14:paraId="42953A48" w14:textId="3E6BD054" w:rsidR="005F40DC" w:rsidRPr="00365080" w:rsidRDefault="00590F36" w:rsidP="008E4801">
      <w:pPr>
        <w:spacing w:before="60" w:after="120"/>
        <w:rPr>
          <w:lang w:val="es-AR"/>
        </w:rPr>
      </w:pPr>
      <w:r w:rsidRPr="00365080">
        <w:rPr>
          <w:color w:val="333333"/>
          <w:lang w:val="es-AR"/>
        </w:rPr>
        <w:t>Los métodos participativos constituirán el eje cualitativo del estudio. Las propuestas también deben incluir al menos un componente cuantitativo para posibilitar comparaciones entre países. Las propuestas deben mencionar sumariamente cómo planean integrar los componentes cualitativo y cuantitativo en la etapa de análisis, no solo en la recolección de datos.</w:t>
      </w:r>
      <w:r w:rsidR="008273BA" w:rsidRPr="00365080">
        <w:rPr>
          <w:color w:val="333333"/>
          <w:lang w:val="es-AR"/>
        </w:rPr>
        <w:t xml:space="preserve"> </w:t>
      </w:r>
      <w:r w:rsidRPr="00365080">
        <w:rPr>
          <w:color w:val="333333"/>
          <w:lang w:val="es-AR"/>
        </w:rPr>
        <w:t xml:space="preserve">Orientaciones sobre fuentes de datos y opciones de integración de métodos mixtos se proporcionan en el </w:t>
      </w:r>
      <w:r w:rsidRPr="00365080">
        <w:rPr>
          <w:b/>
          <w:bCs/>
          <w:color w:val="333333"/>
          <w:lang w:val="es-AR"/>
        </w:rPr>
        <w:t>Anexo 1</w:t>
      </w:r>
      <w:r w:rsidRPr="00365080">
        <w:rPr>
          <w:color w:val="333333"/>
          <w:lang w:val="es-AR"/>
        </w:rPr>
        <w:t>.</w:t>
      </w:r>
    </w:p>
    <w:p w14:paraId="71E9A85B" w14:textId="3A12610F" w:rsidR="005F40DC" w:rsidRPr="00365080" w:rsidRDefault="00590F36" w:rsidP="008E4801">
      <w:pPr>
        <w:pStyle w:val="Heading2"/>
        <w:pBdr>
          <w:bottom w:val="single" w:sz="2" w:space="4" w:color="CCCCCC"/>
        </w:pBdr>
        <w:spacing w:after="120"/>
        <w:rPr>
          <w:lang w:val="es-AR"/>
        </w:rPr>
      </w:pPr>
      <w:r w:rsidRPr="00365080">
        <w:rPr>
          <w:lang w:val="es-AR"/>
        </w:rPr>
        <w:t>3.3 Resultados de interés</w:t>
      </w:r>
    </w:p>
    <w:p w14:paraId="2FE36CFD" w14:textId="0CDF0358" w:rsidR="005F40DC" w:rsidRPr="00365080" w:rsidRDefault="00590F36" w:rsidP="00A14688">
      <w:pPr>
        <w:spacing w:before="60" w:after="120"/>
        <w:rPr>
          <w:lang w:val="es-AR"/>
        </w:rPr>
      </w:pPr>
      <w:r w:rsidRPr="00365080">
        <w:rPr>
          <w:color w:val="333333"/>
          <w:lang w:val="es-AR"/>
        </w:rPr>
        <w:t xml:space="preserve">Las propuestas deben considerar las exposiciones climáticas de sequía, inundaciones y temperaturas extremas más relevantes para su </w:t>
      </w:r>
      <w:r w:rsidR="00FD28C8" w:rsidRPr="00365080">
        <w:rPr>
          <w:color w:val="333333"/>
          <w:lang w:val="es-AR"/>
        </w:rPr>
        <w:t>contexto</w:t>
      </w:r>
      <w:r w:rsidRPr="00365080">
        <w:rPr>
          <w:color w:val="333333"/>
          <w:lang w:val="es-AR"/>
        </w:rPr>
        <w:t>. Los resultados primarios de interés difieren según la pregunta prioritaria; las propuestas no necesitan abordar cada uno de los resultados propuestos.</w:t>
      </w:r>
    </w:p>
    <w:p w14:paraId="42D8FCAD" w14:textId="4E9A36DC" w:rsidR="005F40DC" w:rsidRPr="00365080" w:rsidRDefault="00590F36" w:rsidP="008E4801">
      <w:pPr>
        <w:pStyle w:val="Heading3"/>
        <w:spacing w:after="120"/>
        <w:rPr>
          <w:lang w:val="es-AR"/>
        </w:rPr>
      </w:pPr>
      <w:r w:rsidRPr="00365080">
        <w:rPr>
          <w:lang w:val="es-AR"/>
        </w:rPr>
        <w:t xml:space="preserve">Pregunta prioritaria 1 – Salud materna </w:t>
      </w:r>
    </w:p>
    <w:p w14:paraId="19625FBA" w14:textId="77777777" w:rsidR="005F40DC" w:rsidRPr="00365080" w:rsidRDefault="00590F36" w:rsidP="008E4801">
      <w:pPr>
        <w:pStyle w:val="ListParagraph"/>
        <w:numPr>
          <w:ilvl w:val="0"/>
          <w:numId w:val="3"/>
        </w:numPr>
        <w:spacing w:before="40" w:after="120"/>
        <w:rPr>
          <w:lang w:val="es-AR"/>
        </w:rPr>
      </w:pPr>
      <w:r w:rsidRPr="00365080">
        <w:rPr>
          <w:color w:val="333333"/>
          <w:lang w:val="es-AR"/>
        </w:rPr>
        <w:t>Acceso y calidad de la atención prenatal, incluida la cobertura, la continuidad y la disponibilidad de trabajadores/as de salud durante y después de eventos climáticos</w:t>
      </w:r>
    </w:p>
    <w:p w14:paraId="6DFF251B" w14:textId="77777777" w:rsidR="005F40DC" w:rsidRPr="00365080" w:rsidRDefault="00590F36" w:rsidP="008E4801">
      <w:pPr>
        <w:pStyle w:val="ListParagraph"/>
        <w:numPr>
          <w:ilvl w:val="0"/>
          <w:numId w:val="3"/>
        </w:numPr>
        <w:spacing w:before="40" w:after="120"/>
        <w:rPr>
          <w:lang w:val="es-AR"/>
        </w:rPr>
      </w:pPr>
      <w:r w:rsidRPr="00365080">
        <w:rPr>
          <w:color w:val="333333"/>
          <w:lang w:val="es-AR"/>
        </w:rPr>
        <w:t>Trastornos hipertensivos maternos en el contexto de la exposición al calor</w:t>
      </w:r>
    </w:p>
    <w:p w14:paraId="703F6209" w14:textId="77777777" w:rsidR="005F40DC" w:rsidRPr="00365080" w:rsidRDefault="00590F36" w:rsidP="008E4801">
      <w:pPr>
        <w:pStyle w:val="ListParagraph"/>
        <w:numPr>
          <w:ilvl w:val="0"/>
          <w:numId w:val="3"/>
        </w:numPr>
        <w:spacing w:before="40" w:after="120"/>
        <w:rPr>
          <w:lang w:val="es-AR"/>
        </w:rPr>
      </w:pPr>
      <w:r w:rsidRPr="00365080">
        <w:rPr>
          <w:color w:val="333333"/>
          <w:lang w:val="es-AR"/>
        </w:rPr>
        <w:t>Calidad de la atención intraparto y asistencia calificada en el parto durante y después de las crisis climáticas</w:t>
      </w:r>
    </w:p>
    <w:p w14:paraId="4AA0DC65" w14:textId="5EDD5812" w:rsidR="005F40DC" w:rsidRPr="00365080" w:rsidRDefault="00590F36" w:rsidP="008E4801">
      <w:pPr>
        <w:pStyle w:val="ListParagraph"/>
        <w:numPr>
          <w:ilvl w:val="0"/>
          <w:numId w:val="3"/>
        </w:numPr>
        <w:spacing w:before="40" w:after="120"/>
        <w:rPr>
          <w:lang w:val="es-AR"/>
        </w:rPr>
      </w:pPr>
      <w:r w:rsidRPr="00365080">
        <w:rPr>
          <w:color w:val="333333"/>
          <w:lang w:val="es-AR"/>
        </w:rPr>
        <w:t>Nacimientos pre</w:t>
      </w:r>
      <w:r w:rsidR="008273BA" w:rsidRPr="00365080">
        <w:rPr>
          <w:color w:val="333333"/>
          <w:lang w:val="es-AR"/>
        </w:rPr>
        <w:t>maturos</w:t>
      </w:r>
      <w:r w:rsidRPr="00365080">
        <w:rPr>
          <w:color w:val="333333"/>
          <w:lang w:val="es-AR"/>
        </w:rPr>
        <w:t xml:space="preserve"> y bajo peso al nacer asociados con exposiciones climáticas</w:t>
      </w:r>
    </w:p>
    <w:p w14:paraId="1986856D" w14:textId="6866310C" w:rsidR="005F40DC" w:rsidRPr="00365080" w:rsidRDefault="00590F36" w:rsidP="008E4801">
      <w:pPr>
        <w:pStyle w:val="ListParagraph"/>
        <w:numPr>
          <w:ilvl w:val="0"/>
          <w:numId w:val="3"/>
        </w:numPr>
        <w:spacing w:before="40" w:after="120"/>
        <w:rPr>
          <w:lang w:val="es-AR"/>
        </w:rPr>
      </w:pPr>
      <w:r w:rsidRPr="00365080">
        <w:rPr>
          <w:color w:val="333333"/>
          <w:lang w:val="es-AR"/>
        </w:rPr>
        <w:t>Experiencias comunitarias sobre obstáculos y factores facilitadores del acceso a la atención de maternidad</w:t>
      </w:r>
    </w:p>
    <w:p w14:paraId="58B97067" w14:textId="22A15EB4" w:rsidR="005F40DC" w:rsidRPr="00365080" w:rsidRDefault="00590F36" w:rsidP="008E4801">
      <w:pPr>
        <w:pStyle w:val="Heading3"/>
        <w:spacing w:after="120"/>
        <w:rPr>
          <w:lang w:val="es-AR"/>
        </w:rPr>
      </w:pPr>
      <w:r w:rsidRPr="00365080">
        <w:rPr>
          <w:lang w:val="es-AR"/>
        </w:rPr>
        <w:t xml:space="preserve">Pregunta prioritaria 2 – Violencia de género </w:t>
      </w:r>
    </w:p>
    <w:p w14:paraId="5D19F609" w14:textId="77777777" w:rsidR="005F40DC" w:rsidRPr="00365080" w:rsidRDefault="00590F36" w:rsidP="008E4801">
      <w:pPr>
        <w:pStyle w:val="ListParagraph"/>
        <w:numPr>
          <w:ilvl w:val="0"/>
          <w:numId w:val="3"/>
        </w:numPr>
        <w:spacing w:before="40" w:after="120"/>
        <w:rPr>
          <w:lang w:val="es-AR"/>
        </w:rPr>
      </w:pPr>
      <w:r w:rsidRPr="00365080">
        <w:rPr>
          <w:color w:val="333333"/>
          <w:lang w:val="es-AR"/>
        </w:rPr>
        <w:t>Incidencia y manifestaciones de la violencia de género durante y después de eventos climáticos</w:t>
      </w:r>
    </w:p>
    <w:p w14:paraId="48009036" w14:textId="25582643" w:rsidR="005F40DC" w:rsidRPr="00365080" w:rsidRDefault="00590F36" w:rsidP="008E4801">
      <w:pPr>
        <w:pStyle w:val="ListParagraph"/>
        <w:numPr>
          <w:ilvl w:val="0"/>
          <w:numId w:val="3"/>
        </w:numPr>
        <w:spacing w:before="40" w:after="120"/>
        <w:rPr>
          <w:lang w:val="es-AR"/>
        </w:rPr>
      </w:pPr>
      <w:r w:rsidRPr="00365080">
        <w:rPr>
          <w:color w:val="333333"/>
          <w:lang w:val="es-AR"/>
        </w:rPr>
        <w:t xml:space="preserve">Capacidad del sistema de salud para detectar, derivar y responder a la violencia de género en </w:t>
      </w:r>
      <w:r w:rsidR="00A66493" w:rsidRPr="00365080">
        <w:rPr>
          <w:color w:val="333333"/>
          <w:lang w:val="es-AR"/>
        </w:rPr>
        <w:t>contextos</w:t>
      </w:r>
      <w:r w:rsidRPr="00365080">
        <w:rPr>
          <w:color w:val="333333"/>
          <w:lang w:val="es-AR"/>
        </w:rPr>
        <w:t xml:space="preserve"> afectados por el clima</w:t>
      </w:r>
    </w:p>
    <w:p w14:paraId="58A93265" w14:textId="77777777" w:rsidR="005F40DC" w:rsidRPr="00365080" w:rsidRDefault="00590F36" w:rsidP="008E4801">
      <w:pPr>
        <w:pStyle w:val="ListParagraph"/>
        <w:numPr>
          <w:ilvl w:val="0"/>
          <w:numId w:val="3"/>
        </w:numPr>
        <w:spacing w:before="40" w:after="120"/>
        <w:rPr>
          <w:lang w:val="es-AR"/>
        </w:rPr>
      </w:pPr>
      <w:r w:rsidRPr="00365080">
        <w:rPr>
          <w:color w:val="333333"/>
          <w:lang w:val="es-AR"/>
        </w:rPr>
        <w:t>Mecanismos de prevención y respuesta comunitarios, incluyendo los que forman parte de los procesos de reducción del riesgo de desastres</w:t>
      </w:r>
    </w:p>
    <w:p w14:paraId="720E2EB6" w14:textId="37BABDE4" w:rsidR="005F40DC" w:rsidRPr="00365080" w:rsidRDefault="00590F36" w:rsidP="008E4801">
      <w:pPr>
        <w:pStyle w:val="ListParagraph"/>
        <w:numPr>
          <w:ilvl w:val="0"/>
          <w:numId w:val="3"/>
        </w:numPr>
        <w:spacing w:before="40" w:after="120"/>
        <w:rPr>
          <w:lang w:val="es-AR"/>
        </w:rPr>
      </w:pPr>
      <w:r w:rsidRPr="00365080">
        <w:rPr>
          <w:color w:val="333333"/>
          <w:lang w:val="es-AR"/>
        </w:rPr>
        <w:t>Impactos en poblaciones en situaciones vulnerables, incluidas personas con discapacidad</w:t>
      </w:r>
    </w:p>
    <w:p w14:paraId="2522F222" w14:textId="3156F44F" w:rsidR="005F40DC" w:rsidRPr="00365080" w:rsidRDefault="00590F36" w:rsidP="008E4801">
      <w:pPr>
        <w:pStyle w:val="Heading3"/>
        <w:spacing w:after="120"/>
        <w:rPr>
          <w:lang w:val="es-AR"/>
        </w:rPr>
      </w:pPr>
      <w:r w:rsidRPr="00365080">
        <w:rPr>
          <w:lang w:val="es-AR"/>
        </w:rPr>
        <w:lastRenderedPageBreak/>
        <w:t xml:space="preserve">Pregunta prioritaria 3 – Anticoncepción </w:t>
      </w:r>
    </w:p>
    <w:p w14:paraId="48AFB920" w14:textId="77777777" w:rsidR="005F40DC" w:rsidRPr="00365080" w:rsidRDefault="00590F36" w:rsidP="008E4801">
      <w:pPr>
        <w:pStyle w:val="ListParagraph"/>
        <w:numPr>
          <w:ilvl w:val="0"/>
          <w:numId w:val="3"/>
        </w:numPr>
        <w:spacing w:before="40" w:after="120"/>
        <w:rPr>
          <w:lang w:val="es-AR"/>
        </w:rPr>
      </w:pPr>
      <w:r w:rsidRPr="00365080">
        <w:rPr>
          <w:color w:val="333333"/>
          <w:lang w:val="es-AR"/>
        </w:rPr>
        <w:t>Acceso y continuidad de los servicios y productos anticonceptivos a nivel comunitario</w:t>
      </w:r>
    </w:p>
    <w:p w14:paraId="185DD200" w14:textId="77777777" w:rsidR="005F40DC" w:rsidRPr="00365080" w:rsidRDefault="00590F36" w:rsidP="008E4801">
      <w:pPr>
        <w:pStyle w:val="ListParagraph"/>
        <w:numPr>
          <w:ilvl w:val="0"/>
          <w:numId w:val="3"/>
        </w:numPr>
        <w:spacing w:before="40" w:after="120"/>
        <w:rPr>
          <w:lang w:val="es-AR"/>
        </w:rPr>
      </w:pPr>
      <w:r w:rsidRPr="00365080">
        <w:rPr>
          <w:color w:val="333333"/>
          <w:lang w:val="es-AR"/>
        </w:rPr>
        <w:t>Interrupciones en la cadena de suministro que afectan la disponibilidad de anticonceptivos durante eventos climáticos</w:t>
      </w:r>
    </w:p>
    <w:p w14:paraId="624E0784" w14:textId="77777777" w:rsidR="005F40DC" w:rsidRPr="00365080" w:rsidRDefault="00590F36" w:rsidP="008E4801">
      <w:pPr>
        <w:pStyle w:val="ListParagraph"/>
        <w:numPr>
          <w:ilvl w:val="0"/>
          <w:numId w:val="3"/>
        </w:numPr>
        <w:spacing w:before="40" w:after="120"/>
        <w:rPr>
          <w:lang w:val="es-AR"/>
        </w:rPr>
      </w:pPr>
      <w:r w:rsidRPr="00365080">
        <w:rPr>
          <w:color w:val="333333"/>
          <w:lang w:val="es-AR"/>
        </w:rPr>
        <w:t>Necesidades insatisfechas y estrategias de afrontamiento comunitarias en poblaciones afectadas por el clima</w:t>
      </w:r>
    </w:p>
    <w:p w14:paraId="52151103" w14:textId="125F2637" w:rsidR="005F40DC" w:rsidRPr="00365080" w:rsidRDefault="00590F36" w:rsidP="008E4801">
      <w:pPr>
        <w:pStyle w:val="ListParagraph"/>
        <w:numPr>
          <w:ilvl w:val="0"/>
          <w:numId w:val="3"/>
        </w:numPr>
        <w:spacing w:before="40" w:after="120"/>
        <w:rPr>
          <w:lang w:val="es-AR"/>
        </w:rPr>
      </w:pPr>
      <w:r w:rsidRPr="00365080">
        <w:rPr>
          <w:color w:val="333333"/>
          <w:lang w:val="es-AR"/>
        </w:rPr>
        <w:t>Calidad del asesoramiento anticonceptivo y disponibilidad de proveedores/as durante las crisis climáticas</w:t>
      </w:r>
    </w:p>
    <w:p w14:paraId="0D3A7A28" w14:textId="600A96D2" w:rsidR="005F40DC" w:rsidRPr="00365080" w:rsidRDefault="00590F36" w:rsidP="008E4801">
      <w:pPr>
        <w:pStyle w:val="Heading3"/>
        <w:spacing w:after="120"/>
        <w:rPr>
          <w:lang w:val="es-AR"/>
        </w:rPr>
      </w:pPr>
      <w:r w:rsidRPr="00365080">
        <w:rPr>
          <w:lang w:val="es-AR"/>
        </w:rPr>
        <w:t xml:space="preserve">Pregunta prioritaria 4 – Atención para el aborto </w:t>
      </w:r>
    </w:p>
    <w:p w14:paraId="176D10BF" w14:textId="782A3EE7" w:rsidR="005F40DC" w:rsidRPr="00365080" w:rsidRDefault="00590F36" w:rsidP="008E4801">
      <w:pPr>
        <w:pStyle w:val="ListParagraph"/>
        <w:numPr>
          <w:ilvl w:val="0"/>
          <w:numId w:val="3"/>
        </w:numPr>
        <w:spacing w:before="40" w:after="120"/>
        <w:rPr>
          <w:lang w:val="es-AR"/>
        </w:rPr>
      </w:pPr>
      <w:r w:rsidRPr="00365080">
        <w:rPr>
          <w:color w:val="333333"/>
          <w:lang w:val="es-AR"/>
        </w:rPr>
        <w:t xml:space="preserve">Acceso al aborto seguro y a la atención posaborto en </w:t>
      </w:r>
      <w:r w:rsidR="00A66493" w:rsidRPr="00365080">
        <w:rPr>
          <w:color w:val="333333"/>
          <w:lang w:val="es-AR"/>
        </w:rPr>
        <w:t>contextos</w:t>
      </w:r>
      <w:r w:rsidRPr="00365080">
        <w:rPr>
          <w:color w:val="333333"/>
          <w:lang w:val="es-AR"/>
        </w:rPr>
        <w:t xml:space="preserve"> afectados por el clima</w:t>
      </w:r>
    </w:p>
    <w:p w14:paraId="4E283C6A" w14:textId="77777777" w:rsidR="005F40DC" w:rsidRPr="00365080" w:rsidRDefault="00590F36" w:rsidP="008E4801">
      <w:pPr>
        <w:pStyle w:val="ListParagraph"/>
        <w:numPr>
          <w:ilvl w:val="0"/>
          <w:numId w:val="3"/>
        </w:numPr>
        <w:spacing w:before="40" w:after="120"/>
        <w:rPr>
          <w:lang w:val="es-AR"/>
        </w:rPr>
      </w:pPr>
      <w:r w:rsidRPr="00365080">
        <w:rPr>
          <w:color w:val="333333"/>
          <w:lang w:val="es-AR"/>
        </w:rPr>
        <w:t>Interrupciones del sistema de salud que afectan la disponibilidad de servicios y productos relacionados con el aborto</w:t>
      </w:r>
    </w:p>
    <w:p w14:paraId="78A27DDB" w14:textId="3722B08A" w:rsidR="005F40DC" w:rsidRPr="00365080" w:rsidRDefault="00590F36" w:rsidP="008E4801">
      <w:pPr>
        <w:pStyle w:val="ListParagraph"/>
        <w:numPr>
          <w:ilvl w:val="0"/>
          <w:numId w:val="3"/>
        </w:numPr>
        <w:spacing w:before="40" w:after="120"/>
        <w:rPr>
          <w:lang w:val="es-AR"/>
        </w:rPr>
      </w:pPr>
      <w:r w:rsidRPr="00365080">
        <w:rPr>
          <w:color w:val="333333"/>
          <w:lang w:val="es-AR"/>
        </w:rPr>
        <w:t>Experiencias comunitarias en el acceso a la atención para el aborto durante eventos climáticos</w:t>
      </w:r>
    </w:p>
    <w:p w14:paraId="0CC3221D" w14:textId="77777777" w:rsidR="005F40DC" w:rsidRPr="00365080" w:rsidRDefault="00590F36" w:rsidP="008E4801">
      <w:pPr>
        <w:pStyle w:val="ListParagraph"/>
        <w:numPr>
          <w:ilvl w:val="0"/>
          <w:numId w:val="3"/>
        </w:numPr>
        <w:spacing w:before="40" w:after="120"/>
        <w:rPr>
          <w:lang w:val="es-AR"/>
        </w:rPr>
      </w:pPr>
      <w:r w:rsidRPr="00365080">
        <w:rPr>
          <w:color w:val="333333"/>
          <w:lang w:val="es-AR"/>
        </w:rPr>
        <w:t>Barreras legales y políticas agravadas por las interrupciones relacionadas con el clima</w:t>
      </w:r>
    </w:p>
    <w:p w14:paraId="35006710" w14:textId="77777777" w:rsidR="005F40DC" w:rsidRPr="00365080" w:rsidRDefault="005F40DC" w:rsidP="008E4801">
      <w:pPr>
        <w:spacing w:after="120"/>
        <w:rPr>
          <w:lang w:val="es-AR"/>
        </w:rPr>
      </w:pPr>
    </w:p>
    <w:p w14:paraId="6B7E90F3" w14:textId="39B22158" w:rsidR="005F40DC" w:rsidRPr="00365080" w:rsidRDefault="00590F36" w:rsidP="008E4801">
      <w:pPr>
        <w:pStyle w:val="Heading2"/>
        <w:pBdr>
          <w:bottom w:val="single" w:sz="2" w:space="4" w:color="CCCCCC"/>
        </w:pBdr>
        <w:spacing w:after="120"/>
        <w:rPr>
          <w:lang w:val="es-AR"/>
        </w:rPr>
      </w:pPr>
      <w:r w:rsidRPr="00365080">
        <w:rPr>
          <w:lang w:val="es-AR"/>
        </w:rPr>
        <w:t>3.4 Derechos humanos e interseccionalidad</w:t>
      </w:r>
    </w:p>
    <w:p w14:paraId="718BA6B2" w14:textId="16C1692B" w:rsidR="005F40DC" w:rsidRPr="00365080" w:rsidRDefault="00590F36" w:rsidP="008E4801">
      <w:pPr>
        <w:spacing w:before="60" w:after="120"/>
        <w:rPr>
          <w:color w:val="333333"/>
          <w:lang w:val="es-AR"/>
        </w:rPr>
      </w:pPr>
      <w:r w:rsidRPr="00365080">
        <w:rPr>
          <w:color w:val="333333"/>
          <w:lang w:val="es-AR"/>
        </w:rPr>
        <w:t xml:space="preserve">Todas las propuestas deben aplicar un marco de derechos humanos, tratando los SDSR como una cuestión de derechos y no solo de resultados de salud [19,20]. Las propuestas también deben adoptar un enfoque interseccional, examinando cómo el género, la edad, la discapacidad, la posición socioeconómica, el estatus migratorio y otros determinantes sociales agravan la vulnerabilidad tanto al cambio climático como a los daños a los SDSR [21–24]. </w:t>
      </w:r>
    </w:p>
    <w:p w14:paraId="1586F493" w14:textId="34521596" w:rsidR="005F40DC" w:rsidRPr="00365080" w:rsidRDefault="00590F36" w:rsidP="008E4801">
      <w:pPr>
        <w:pStyle w:val="Heading2"/>
        <w:pBdr>
          <w:bottom w:val="single" w:sz="2" w:space="4" w:color="CCCCCC"/>
        </w:pBdr>
        <w:spacing w:after="120"/>
        <w:rPr>
          <w:lang w:val="es-AR"/>
        </w:rPr>
      </w:pPr>
      <w:r w:rsidRPr="00365080">
        <w:rPr>
          <w:lang w:val="es-AR"/>
        </w:rPr>
        <w:t>3.5 Ética</w:t>
      </w:r>
    </w:p>
    <w:p w14:paraId="75617341" w14:textId="0C93B5B1" w:rsidR="005F40DC" w:rsidRPr="00365080" w:rsidRDefault="00590F36" w:rsidP="008E4801">
      <w:pPr>
        <w:spacing w:before="60" w:after="120"/>
        <w:rPr>
          <w:lang w:val="es-AR"/>
        </w:rPr>
      </w:pPr>
      <w:r w:rsidRPr="00365080">
        <w:rPr>
          <w:color w:val="333333"/>
          <w:lang w:val="es-AR"/>
        </w:rPr>
        <w:t>Tras el Taller de Desarrollo de Protocolo (véase sección 4), todos los equipos deberán someter su protocolo específico de país a revisión por el comité de revisión ética de la OMS y el comité de ética nacional o institucional pertinente en su país. La recolección de datos no podrá comenzar hasta que todas las aprobaciones éticas requeridas estén en vigor y los fondos solo se desembolsarán una vez obtenidas las aprobaciones éticas. HRP/OMS brindará apoyo a los equipos para orientarse en el proceso de revisión ética.</w:t>
      </w:r>
    </w:p>
    <w:p w14:paraId="368F8C3C" w14:textId="77777777" w:rsidR="005F40DC" w:rsidRPr="00365080" w:rsidRDefault="005F40DC" w:rsidP="008E4801">
      <w:pPr>
        <w:spacing w:after="120"/>
        <w:rPr>
          <w:lang w:val="es-AR"/>
        </w:rPr>
      </w:pPr>
    </w:p>
    <w:p w14:paraId="3C03AACC" w14:textId="712DC24B" w:rsidR="005F40DC" w:rsidRPr="00365080" w:rsidRDefault="00590F36" w:rsidP="008E4801">
      <w:pPr>
        <w:pStyle w:val="Heading1"/>
        <w:rPr>
          <w:lang w:val="es-AR"/>
        </w:rPr>
      </w:pPr>
      <w:r w:rsidRPr="00365080">
        <w:rPr>
          <w:lang w:val="es-AR"/>
        </w:rPr>
        <w:t>4. Taller de desarrollo de protocolo</w:t>
      </w:r>
    </w:p>
    <w:p w14:paraId="73BC1525" w14:textId="72BB5C70" w:rsidR="005F40DC" w:rsidRPr="00365080" w:rsidRDefault="00590F36" w:rsidP="008E4801">
      <w:pPr>
        <w:spacing w:before="60" w:after="120"/>
        <w:rPr>
          <w:lang w:val="es-AR"/>
        </w:rPr>
      </w:pPr>
      <w:r w:rsidRPr="00365080">
        <w:rPr>
          <w:color w:val="333333"/>
          <w:lang w:val="es-AR"/>
        </w:rPr>
        <w:t xml:space="preserve">La primera actividad tras la selección será un Taller de </w:t>
      </w:r>
      <w:r w:rsidR="008273BA" w:rsidRPr="00365080">
        <w:rPr>
          <w:color w:val="333333"/>
          <w:lang w:val="es-AR"/>
        </w:rPr>
        <w:t>d</w:t>
      </w:r>
      <w:r w:rsidRPr="00365080">
        <w:rPr>
          <w:color w:val="333333"/>
          <w:lang w:val="es-AR"/>
        </w:rPr>
        <w:t xml:space="preserve">esarrollo de </w:t>
      </w:r>
      <w:r w:rsidR="008273BA" w:rsidRPr="00365080">
        <w:rPr>
          <w:color w:val="333333"/>
          <w:lang w:val="es-AR"/>
        </w:rPr>
        <w:t>p</w:t>
      </w:r>
      <w:r w:rsidRPr="00365080">
        <w:rPr>
          <w:color w:val="333333"/>
          <w:lang w:val="es-AR"/>
        </w:rPr>
        <w:t xml:space="preserve">rotocolo conjunto, previsto para </w:t>
      </w:r>
      <w:r w:rsidR="0033324D" w:rsidRPr="00365080">
        <w:rPr>
          <w:color w:val="333333"/>
          <w:lang w:val="es-AR"/>
        </w:rPr>
        <w:t>realizarse</w:t>
      </w:r>
      <w:r w:rsidRPr="00365080">
        <w:rPr>
          <w:color w:val="333333"/>
          <w:lang w:val="es-AR"/>
        </w:rPr>
        <w:t xml:space="preserve"> durante</w:t>
      </w:r>
      <w:r w:rsidR="0033324D" w:rsidRPr="00365080">
        <w:rPr>
          <w:color w:val="333333"/>
          <w:lang w:val="es-AR"/>
        </w:rPr>
        <w:t xml:space="preserve"> una</w:t>
      </w:r>
      <w:r w:rsidRPr="00365080">
        <w:rPr>
          <w:color w:val="333333"/>
          <w:lang w:val="es-AR"/>
        </w:rPr>
        <w:t xml:space="preserve"> semana </w:t>
      </w:r>
      <w:r w:rsidR="00622364">
        <w:rPr>
          <w:color w:val="333333"/>
          <w:lang w:val="es-AR"/>
        </w:rPr>
        <w:t>en</w:t>
      </w:r>
      <w:r w:rsidR="0033324D" w:rsidRPr="00365080">
        <w:rPr>
          <w:color w:val="333333"/>
          <w:lang w:val="es-AR"/>
        </w:rPr>
        <w:t xml:space="preserve"> julio</w:t>
      </w:r>
      <w:r w:rsidRPr="00365080">
        <w:rPr>
          <w:color w:val="333333"/>
          <w:lang w:val="es-AR"/>
        </w:rPr>
        <w:t xml:space="preserve"> de 2026 en Ginebra, en la sede de la OMS</w:t>
      </w:r>
      <w:r w:rsidR="00065267">
        <w:rPr>
          <w:color w:val="333333"/>
          <w:lang w:val="es-AR"/>
        </w:rPr>
        <w:t xml:space="preserve"> (</w:t>
      </w:r>
      <w:r w:rsidR="00065267" w:rsidRPr="00065267">
        <w:rPr>
          <w:color w:val="FF0000"/>
          <w:lang w:val="es-AR"/>
        </w:rPr>
        <w:t>a definir</w:t>
      </w:r>
      <w:r w:rsidR="00065267">
        <w:rPr>
          <w:color w:val="333333"/>
          <w:lang w:val="es-AR"/>
        </w:rPr>
        <w:t>)</w:t>
      </w:r>
      <w:r w:rsidRPr="00365080">
        <w:rPr>
          <w:color w:val="333333"/>
          <w:lang w:val="es-AR"/>
        </w:rPr>
        <w:t>. Este taller es un elemento central de esta iniciativa. Todos los equipos seleccionados se reunirán para definir colectivamente un único protocolo transnacional, acordando una pregunta prioritaria para todos los sitios, los instrumentos de recolección de datos a desarrollar, el marco de participación comunitaria, un plan de análisis conjunto y los hitos de reporte. Cada equipo tendrá también la oportunidad de incluir medidas específicas del país en sus protocolos nacionales para abordar aspectos de su pregunta prioritaria particularmente relevantes para su contexto local.</w:t>
      </w:r>
    </w:p>
    <w:p w14:paraId="11841FC2" w14:textId="4DF954E3" w:rsidR="005F40DC" w:rsidRPr="00365080" w:rsidRDefault="00590F36" w:rsidP="008E4801">
      <w:pPr>
        <w:spacing w:before="60" w:after="120"/>
        <w:rPr>
          <w:lang w:val="es-AR"/>
        </w:rPr>
      </w:pPr>
      <w:r w:rsidRPr="00365080">
        <w:rPr>
          <w:color w:val="333333"/>
          <w:lang w:val="es-AR"/>
        </w:rPr>
        <w:t>Los/las solicitantes deben entender que la propuesta que presentan en esta convocatoria no es un protocolo de investigación finalizado. Las propuestas deben demostrar (a) una visión de investigación clara y un sentido del enfoque, (b) por qué el equipo está en mejor posición para responder la pregunta prioritaria seleccionada en el contexto de su país, y (c) la experiencia participativa y las alianzas comunitarias que aportarían. Las decisiones metodológicas detalladas se tomarán colectivamente en el taller.</w:t>
      </w:r>
    </w:p>
    <w:p w14:paraId="14C31DEF" w14:textId="3CF3BF4F" w:rsidR="005F40DC" w:rsidRPr="00365080" w:rsidRDefault="00590F36" w:rsidP="008E4801">
      <w:pPr>
        <w:spacing w:before="60" w:after="120"/>
        <w:rPr>
          <w:lang w:val="es-AR"/>
        </w:rPr>
      </w:pPr>
      <w:r w:rsidRPr="00365080">
        <w:rPr>
          <w:color w:val="333333"/>
          <w:lang w:val="es-AR"/>
        </w:rPr>
        <w:lastRenderedPageBreak/>
        <w:t>La participación en el taller es un aspecto clave del proceso de codiseño y codesarrollo. La OMS/HRP cubrirá los costos de viaje en clase económica y alojamiento para hasta dos miembros por equipo seleccionado.</w:t>
      </w:r>
    </w:p>
    <w:p w14:paraId="1C60261B" w14:textId="77777777" w:rsidR="005F40DC" w:rsidRPr="00365080" w:rsidRDefault="005F40DC" w:rsidP="008E4801">
      <w:pPr>
        <w:spacing w:after="120"/>
        <w:rPr>
          <w:lang w:val="es-AR"/>
        </w:rPr>
      </w:pPr>
    </w:p>
    <w:p w14:paraId="2FA289D7" w14:textId="6EFC2A21" w:rsidR="005F40DC" w:rsidRPr="00365080" w:rsidRDefault="00590F36" w:rsidP="008E4801">
      <w:pPr>
        <w:pStyle w:val="Heading1"/>
        <w:rPr>
          <w:lang w:val="es-AR"/>
        </w:rPr>
      </w:pPr>
      <w:r w:rsidRPr="00365080">
        <w:rPr>
          <w:lang w:val="es-AR"/>
        </w:rPr>
        <w:t>5. Criterios de elegibilidad</w:t>
      </w:r>
    </w:p>
    <w:p w14:paraId="098EC125" w14:textId="0EFDD8B0" w:rsidR="005F40DC" w:rsidRPr="00365080" w:rsidRDefault="00590F36" w:rsidP="008E4801">
      <w:pPr>
        <w:pStyle w:val="Heading2"/>
        <w:pBdr>
          <w:bottom w:val="single" w:sz="2" w:space="4" w:color="CCCCCC"/>
        </w:pBdr>
        <w:spacing w:after="120"/>
        <w:rPr>
          <w:lang w:val="es-AR"/>
        </w:rPr>
      </w:pPr>
      <w:r w:rsidRPr="00365080">
        <w:rPr>
          <w:lang w:val="es-AR"/>
        </w:rPr>
        <w:t>5.1 Quién puede postular</w:t>
      </w:r>
    </w:p>
    <w:p w14:paraId="44945938" w14:textId="5140A0D4" w:rsidR="005F40DC" w:rsidRPr="00365080" w:rsidRDefault="00590F36" w:rsidP="008E4801">
      <w:pPr>
        <w:spacing w:before="60" w:after="120"/>
        <w:rPr>
          <w:lang w:val="es-AR"/>
        </w:rPr>
      </w:pPr>
      <w:r w:rsidRPr="00365080">
        <w:rPr>
          <w:color w:val="333333"/>
          <w:lang w:val="es-AR"/>
        </w:rPr>
        <w:t>Esta convocatoria está abierta a equipos de investigación con sede en instituciones u organizaciones de países de ingreso bajo o mediano</w:t>
      </w:r>
      <w:r w:rsidR="008273BA" w:rsidRPr="00365080">
        <w:rPr>
          <w:rStyle w:val="FootnoteReference"/>
          <w:color w:val="333333"/>
          <w:lang w:val="es-AR"/>
        </w:rPr>
        <w:footnoteReference w:id="2"/>
      </w:r>
      <w:r w:rsidRPr="00365080">
        <w:rPr>
          <w:color w:val="333333"/>
          <w:lang w:val="es-AR"/>
        </w:rPr>
        <w:t xml:space="preserve">, con énfasis en los países prioritarios listados en el </w:t>
      </w:r>
      <w:r w:rsidRPr="00365080">
        <w:rPr>
          <w:b/>
          <w:bCs/>
          <w:color w:val="333333"/>
          <w:lang w:val="es-AR"/>
        </w:rPr>
        <w:t>Anexo 2</w:t>
      </w:r>
      <w:r w:rsidRPr="00365080">
        <w:rPr>
          <w:color w:val="333333"/>
          <w:lang w:val="es-AR"/>
        </w:rPr>
        <w:t>. Los</w:t>
      </w:r>
      <w:r w:rsidR="008923CF" w:rsidRPr="00365080">
        <w:rPr>
          <w:color w:val="333333"/>
          <w:lang w:val="es-AR"/>
        </w:rPr>
        <w:t xml:space="preserve"> equipos</w:t>
      </w:r>
      <w:r w:rsidRPr="00365080">
        <w:rPr>
          <w:color w:val="333333"/>
          <w:lang w:val="es-AR"/>
        </w:rPr>
        <w:t xml:space="preserve"> solicitantes elegibles</w:t>
      </w:r>
      <w:r w:rsidR="008923CF" w:rsidRPr="00365080">
        <w:rPr>
          <w:color w:val="333333"/>
          <w:lang w:val="es-AR"/>
        </w:rPr>
        <w:t xml:space="preserve"> pueden incluir</w:t>
      </w:r>
      <w:r w:rsidRPr="00365080">
        <w:rPr>
          <w:color w:val="333333"/>
          <w:lang w:val="es-AR"/>
        </w:rPr>
        <w:t>:</w:t>
      </w:r>
    </w:p>
    <w:p w14:paraId="0A2F9CB4" w14:textId="77777777" w:rsidR="005F40DC" w:rsidRPr="00365080" w:rsidRDefault="00590F36" w:rsidP="008E4801">
      <w:pPr>
        <w:pStyle w:val="ListParagraph"/>
        <w:numPr>
          <w:ilvl w:val="0"/>
          <w:numId w:val="3"/>
        </w:numPr>
        <w:spacing w:before="40" w:after="120"/>
        <w:rPr>
          <w:lang w:val="es-AR"/>
        </w:rPr>
      </w:pPr>
      <w:r w:rsidRPr="00365080">
        <w:rPr>
          <w:color w:val="333333"/>
          <w:lang w:val="es-AR"/>
        </w:rPr>
        <w:t>Organizaciones comunitarias y organizaciones de la sociedad civil con experiencia demostrada en investigación con participación comunitaria o investigación participativa</w:t>
      </w:r>
    </w:p>
    <w:p w14:paraId="5F9B5352" w14:textId="77777777" w:rsidR="005F40DC" w:rsidRPr="00365080" w:rsidRDefault="00590F36" w:rsidP="008E4801">
      <w:pPr>
        <w:pStyle w:val="ListParagraph"/>
        <w:numPr>
          <w:ilvl w:val="0"/>
          <w:numId w:val="3"/>
        </w:numPr>
        <w:spacing w:before="40" w:after="120"/>
        <w:rPr>
          <w:lang w:val="es-AR"/>
        </w:rPr>
      </w:pPr>
      <w:r w:rsidRPr="00365080">
        <w:rPr>
          <w:color w:val="333333"/>
          <w:lang w:val="es-AR"/>
        </w:rPr>
        <w:t>Organizaciones no gubernamentales (ONG) con una función activa de investigación o generación de evidencia</w:t>
      </w:r>
    </w:p>
    <w:p w14:paraId="64D857E3" w14:textId="77777777" w:rsidR="005F40DC" w:rsidRPr="00365080" w:rsidRDefault="00590F36" w:rsidP="008E4801">
      <w:pPr>
        <w:pStyle w:val="ListParagraph"/>
        <w:numPr>
          <w:ilvl w:val="0"/>
          <w:numId w:val="3"/>
        </w:numPr>
        <w:spacing w:before="40" w:after="120"/>
        <w:rPr>
          <w:lang w:val="es-AR"/>
        </w:rPr>
      </w:pPr>
      <w:r w:rsidRPr="00365080">
        <w:rPr>
          <w:color w:val="333333"/>
          <w:lang w:val="es-AR"/>
        </w:rPr>
        <w:t>Instituciones académicas y de investigación (universidades, centros de investigación, institutos de salud pública)</w:t>
      </w:r>
    </w:p>
    <w:p w14:paraId="5AB09D45" w14:textId="77777777" w:rsidR="005F40DC" w:rsidRPr="00365080" w:rsidRDefault="00590F36" w:rsidP="008E4801">
      <w:pPr>
        <w:pStyle w:val="ListParagraph"/>
        <w:numPr>
          <w:ilvl w:val="0"/>
          <w:numId w:val="3"/>
        </w:numPr>
        <w:spacing w:before="40" w:after="120"/>
        <w:rPr>
          <w:lang w:val="es-AR"/>
        </w:rPr>
      </w:pPr>
      <w:r w:rsidRPr="00365080">
        <w:rPr>
          <w:color w:val="333333"/>
          <w:lang w:val="es-AR"/>
        </w:rPr>
        <w:t>Consorcios multiinstitucionales que combinen lo anterior, siempre que la institución líder y el/la investigador/a principal estén basados/as en un país elegible</w:t>
      </w:r>
    </w:p>
    <w:p w14:paraId="1F2AECA3" w14:textId="77777777" w:rsidR="005F40DC" w:rsidRPr="00365080" w:rsidRDefault="00590F36" w:rsidP="008E4801">
      <w:pPr>
        <w:spacing w:before="60" w:after="120"/>
        <w:rPr>
          <w:lang w:val="es-AR"/>
        </w:rPr>
      </w:pPr>
      <w:r w:rsidRPr="00365080">
        <w:rPr>
          <w:color w:val="333333"/>
          <w:lang w:val="es-AR"/>
        </w:rPr>
        <w:t>La colaboración con instituciones fuera del país elegible está permitida y se alienta, especialmente cuando apoya el fortalecimiento de capacidades de investigación. Sin embargo, el/la investigador/a principal y el equipo de investigación central deben estar basados/as en el país. Los socios internacionales no pueden actuar como solicitante líder ni mantener el subcontrato principal. No más del 15% de la subvención total puede asignarse a instituciones o personas con sede en países de ingreso alto.</w:t>
      </w:r>
    </w:p>
    <w:p w14:paraId="4CC4EB73" w14:textId="1E0EEED7" w:rsidR="005F40DC" w:rsidRPr="00365080" w:rsidRDefault="00590F36" w:rsidP="008E4801">
      <w:pPr>
        <w:pStyle w:val="Heading2"/>
        <w:pBdr>
          <w:bottom w:val="single" w:sz="2" w:space="4" w:color="CCCCCC"/>
        </w:pBdr>
        <w:spacing w:after="120"/>
        <w:rPr>
          <w:lang w:val="es-AR"/>
        </w:rPr>
      </w:pPr>
      <w:r w:rsidRPr="00365080">
        <w:rPr>
          <w:lang w:val="es-AR"/>
        </w:rPr>
        <w:t>5.2 Composición del equipo</w:t>
      </w:r>
    </w:p>
    <w:p w14:paraId="39898A7F" w14:textId="77777777" w:rsidR="005F40DC" w:rsidRPr="00365080" w:rsidRDefault="00590F36" w:rsidP="008E4801">
      <w:pPr>
        <w:spacing w:before="60" w:after="120"/>
        <w:rPr>
          <w:lang w:val="es-AR"/>
        </w:rPr>
      </w:pPr>
      <w:r w:rsidRPr="00365080">
        <w:rPr>
          <w:color w:val="333333"/>
          <w:lang w:val="es-AR"/>
        </w:rPr>
        <w:t>Los equipos elegibles deberán:</w:t>
      </w:r>
    </w:p>
    <w:p w14:paraId="6C92FD4E" w14:textId="16CA8036" w:rsidR="005F40DC" w:rsidRPr="00365080" w:rsidRDefault="00590F36" w:rsidP="008E4801">
      <w:pPr>
        <w:pStyle w:val="ListParagraph"/>
        <w:numPr>
          <w:ilvl w:val="0"/>
          <w:numId w:val="3"/>
        </w:numPr>
        <w:spacing w:before="40" w:after="120"/>
        <w:rPr>
          <w:lang w:val="es-AR"/>
        </w:rPr>
      </w:pPr>
      <w:r w:rsidRPr="00365080">
        <w:rPr>
          <w:color w:val="333333"/>
          <w:lang w:val="es-AR"/>
        </w:rPr>
        <w:t>Tener experiencia en la realización de investigaciones con comunidades afectadas por desafíos climáticos y de salud y/o en investigación sobre salud y derechos sexuales y reproductivos</w:t>
      </w:r>
    </w:p>
    <w:p w14:paraId="5E0C8B00" w14:textId="45898684" w:rsidR="005F40DC" w:rsidRPr="00365080" w:rsidRDefault="00590F36" w:rsidP="009C6DA9">
      <w:pPr>
        <w:pStyle w:val="ListParagraph"/>
        <w:numPr>
          <w:ilvl w:val="0"/>
          <w:numId w:val="3"/>
        </w:numPr>
        <w:spacing w:before="40" w:after="120"/>
        <w:rPr>
          <w:lang w:val="es-AR"/>
        </w:rPr>
      </w:pPr>
      <w:r w:rsidRPr="00365080">
        <w:rPr>
          <w:color w:val="333333"/>
          <w:lang w:val="es-AR"/>
        </w:rPr>
        <w:t>Tener experiencia en el diseño de investigación de métodos mixtos, incluida la experiencia con métodos participativos</w:t>
      </w:r>
    </w:p>
    <w:p w14:paraId="223D6DF9" w14:textId="77777777" w:rsidR="005F40DC" w:rsidRPr="00365080" w:rsidRDefault="00590F36" w:rsidP="008E4801">
      <w:pPr>
        <w:pStyle w:val="ListParagraph"/>
        <w:numPr>
          <w:ilvl w:val="0"/>
          <w:numId w:val="3"/>
        </w:numPr>
        <w:spacing w:before="40" w:after="120"/>
        <w:rPr>
          <w:lang w:val="es-AR"/>
        </w:rPr>
      </w:pPr>
      <w:r w:rsidRPr="00365080">
        <w:rPr>
          <w:color w:val="333333"/>
          <w:lang w:val="es-AR"/>
        </w:rPr>
        <w:t>Incluir al menos un/a investigador/a con formación formal o experiencia demostrada en métodos cualitativos y/o participativos</w:t>
      </w:r>
    </w:p>
    <w:p w14:paraId="778FADD9" w14:textId="77777777" w:rsidR="005F40DC" w:rsidRPr="00365080" w:rsidRDefault="005F40DC" w:rsidP="008E4801">
      <w:pPr>
        <w:spacing w:after="120"/>
        <w:rPr>
          <w:lang w:val="es-AR"/>
        </w:rPr>
      </w:pPr>
    </w:p>
    <w:p w14:paraId="5E0D48FA" w14:textId="77777777" w:rsidR="005F40DC" w:rsidRPr="00365080" w:rsidRDefault="00590F36" w:rsidP="008E4801">
      <w:pPr>
        <w:spacing w:before="60" w:after="120"/>
        <w:rPr>
          <w:lang w:val="es-AR"/>
        </w:rPr>
      </w:pPr>
      <w:r w:rsidRPr="00365080">
        <w:rPr>
          <w:color w:val="333333"/>
          <w:lang w:val="es-AR"/>
        </w:rPr>
        <w:t>Se alienta encarecidamente a los equipos a incluir:</w:t>
      </w:r>
    </w:p>
    <w:p w14:paraId="3EB59548" w14:textId="77777777" w:rsidR="005F40DC" w:rsidRPr="00365080" w:rsidRDefault="00590F36" w:rsidP="008E4801">
      <w:pPr>
        <w:pStyle w:val="ListParagraph"/>
        <w:numPr>
          <w:ilvl w:val="0"/>
          <w:numId w:val="3"/>
        </w:numPr>
        <w:spacing w:before="40" w:after="120"/>
        <w:rPr>
          <w:lang w:val="es-AR"/>
        </w:rPr>
      </w:pPr>
      <w:r w:rsidRPr="00365080">
        <w:rPr>
          <w:color w:val="333333"/>
          <w:lang w:val="es-AR"/>
        </w:rPr>
        <w:t>Investigadores/as en etapa inicial de su carrera (dentro de los 5 a 7 años posteriores a la obtención de un doctorado o equivalente)</w:t>
      </w:r>
    </w:p>
    <w:p w14:paraId="572CCBAA" w14:textId="77777777" w:rsidR="005F40DC" w:rsidRPr="00365080" w:rsidRDefault="00590F36" w:rsidP="008E4801">
      <w:pPr>
        <w:pStyle w:val="ListParagraph"/>
        <w:numPr>
          <w:ilvl w:val="0"/>
          <w:numId w:val="3"/>
        </w:numPr>
        <w:spacing w:before="40" w:after="120"/>
        <w:rPr>
          <w:lang w:val="es-AR"/>
        </w:rPr>
      </w:pPr>
      <w:r w:rsidRPr="00365080">
        <w:rPr>
          <w:color w:val="333333"/>
          <w:lang w:val="es-AR"/>
        </w:rPr>
        <w:t>Investigadoras en posiciones de liderazgo</w:t>
      </w:r>
    </w:p>
    <w:p w14:paraId="6C8E10CC" w14:textId="77777777" w:rsidR="005F40DC" w:rsidRPr="00365080" w:rsidRDefault="00590F36" w:rsidP="008E4801">
      <w:pPr>
        <w:pStyle w:val="ListParagraph"/>
        <w:numPr>
          <w:ilvl w:val="0"/>
          <w:numId w:val="3"/>
        </w:numPr>
        <w:spacing w:before="40" w:after="120"/>
        <w:rPr>
          <w:lang w:val="es-AR"/>
        </w:rPr>
      </w:pPr>
      <w:r w:rsidRPr="00365080">
        <w:rPr>
          <w:color w:val="333333"/>
          <w:lang w:val="es-AR"/>
        </w:rPr>
        <w:t>Investigadores/as de disciplinas más allá de la salud, incluidas las ciencias sociales, las ciencias ambientales y el desarrollo comunitario</w:t>
      </w:r>
    </w:p>
    <w:p w14:paraId="21274C5C" w14:textId="5B62CDA5" w:rsidR="005F40DC" w:rsidRPr="00365080" w:rsidRDefault="00590F36" w:rsidP="008E4801">
      <w:pPr>
        <w:pStyle w:val="Heading2"/>
        <w:pBdr>
          <w:bottom w:val="single" w:sz="2" w:space="4" w:color="CCCCCC"/>
        </w:pBdr>
        <w:spacing w:after="120"/>
        <w:rPr>
          <w:lang w:val="es-AR"/>
        </w:rPr>
      </w:pPr>
      <w:r w:rsidRPr="00365080">
        <w:rPr>
          <w:lang w:val="es-AR"/>
        </w:rPr>
        <w:t>5.3 Conflicto de intereses</w:t>
      </w:r>
    </w:p>
    <w:p w14:paraId="7BA92EA0" w14:textId="585B93DF" w:rsidR="005F40DC" w:rsidRPr="00365080" w:rsidRDefault="00590F36" w:rsidP="008E4801">
      <w:pPr>
        <w:spacing w:before="60" w:after="120"/>
        <w:rPr>
          <w:lang w:val="es-AR"/>
        </w:rPr>
      </w:pPr>
      <w:r w:rsidRPr="00365080">
        <w:rPr>
          <w:color w:val="333333"/>
          <w:lang w:val="es-AR"/>
        </w:rPr>
        <w:t xml:space="preserve">Todos/as los/las solicitantes deben declarar cualquier conflicto de intereses real, potencial o percibido en el momento de la presentación. Un conflicto de intereses incluye cualquier relación financiera, profesional o personal que pueda comprometer — o percibirse que compromete — la independencia u objetividad de la investigación propuesta. Esto incluye, entre otros: empleo actual o reciente, consultoría o relaciones de </w:t>
      </w:r>
      <w:r w:rsidRPr="00365080">
        <w:rPr>
          <w:color w:val="333333"/>
          <w:lang w:val="es-AR"/>
        </w:rPr>
        <w:lastRenderedPageBreak/>
        <w:t>financiamiento con la OMS o HRP; relaciones personales con miembros del panel de revisión; o un interés financiero directo en los resultados de la investigación propuesta.</w:t>
      </w:r>
    </w:p>
    <w:p w14:paraId="246E9BB9" w14:textId="421EDC89" w:rsidR="005F40DC" w:rsidRPr="00365080" w:rsidRDefault="00590F36" w:rsidP="008E4801">
      <w:pPr>
        <w:spacing w:before="60" w:after="120"/>
        <w:rPr>
          <w:color w:val="333333"/>
          <w:lang w:val="es-AR"/>
        </w:rPr>
      </w:pPr>
      <w:r w:rsidRPr="00365080">
        <w:rPr>
          <w:color w:val="333333"/>
          <w:lang w:val="es-AR"/>
        </w:rPr>
        <w:t>Un formulario de declaración de conflicto de intereses está disponible en el sitio web de HRP donde se publicó esta convocatoria. La declaración de un conflicto de intereses no necesariamente descalifica una propuesta; las declaraciones serán evaluadas por la OMS/HRP para determinar si el interés declarado es manejable y si se requieren salvaguardas. La falta de declaración de un conflicto de intereses pertinente puede resultar en descalificación.</w:t>
      </w:r>
    </w:p>
    <w:p w14:paraId="57C98935" w14:textId="77777777" w:rsidR="00BB64DB" w:rsidRPr="00365080" w:rsidRDefault="00BB64DB" w:rsidP="008E4801">
      <w:pPr>
        <w:spacing w:before="60" w:after="120"/>
        <w:rPr>
          <w:lang w:val="es-AR"/>
        </w:rPr>
      </w:pPr>
    </w:p>
    <w:p w14:paraId="48910380" w14:textId="5C7D193A" w:rsidR="005F40DC" w:rsidRPr="00365080" w:rsidRDefault="00590F36" w:rsidP="008E4801">
      <w:pPr>
        <w:pStyle w:val="Heading1"/>
        <w:rPr>
          <w:lang w:val="es-AR"/>
        </w:rPr>
      </w:pPr>
      <w:r w:rsidRPr="00365080">
        <w:rPr>
          <w:lang w:val="es-AR"/>
        </w:rPr>
        <w:t>6. Criterios de evaluación y selección</w:t>
      </w:r>
    </w:p>
    <w:p w14:paraId="1E37C33B" w14:textId="3457199C" w:rsidR="002837E0" w:rsidRPr="00365080" w:rsidRDefault="002837E0" w:rsidP="008E4801">
      <w:pPr>
        <w:spacing w:before="60" w:after="120"/>
        <w:rPr>
          <w:lang w:val="es-AR"/>
        </w:rPr>
      </w:pPr>
      <w:r w:rsidRPr="00365080">
        <w:rPr>
          <w:color w:val="333333"/>
          <w:lang w:val="es-AR"/>
        </w:rPr>
        <w:t>HRP busca seleccionar hasta seis equipos de investigación, con un máximo de un equipo por país elegible y con el objetivo de lograr representación en las seis regiones de la OMS (Región de África, Región de las Américas, Región del Mediterráneo Oriental, Región de Europa, Región de Asia Sudoriental y Región del Pacífico Occidental)</w:t>
      </w:r>
      <w:r w:rsidR="008273BA" w:rsidRPr="00365080">
        <w:rPr>
          <w:rStyle w:val="FootnoteReference"/>
          <w:color w:val="333333"/>
          <w:lang w:val="es-AR"/>
        </w:rPr>
        <w:footnoteReference w:id="3"/>
      </w:r>
      <w:r w:rsidRPr="00365080">
        <w:rPr>
          <w:color w:val="333333"/>
          <w:lang w:val="es-AR"/>
        </w:rPr>
        <w:t>.</w:t>
      </w:r>
    </w:p>
    <w:p w14:paraId="7E4015F8" w14:textId="5F4C5390" w:rsidR="005F40DC" w:rsidRPr="00365080" w:rsidRDefault="00590F36" w:rsidP="008E4801">
      <w:pPr>
        <w:spacing w:before="60" w:after="120"/>
        <w:rPr>
          <w:lang w:val="es-AR"/>
        </w:rPr>
      </w:pPr>
      <w:r w:rsidRPr="00365080">
        <w:rPr>
          <w:color w:val="333333"/>
          <w:lang w:val="es-AR"/>
        </w:rPr>
        <w:t xml:space="preserve">Todas las propuestas serán sometidas a una evaluación inicial de elegibilidad por el personal de la OMS/HRP. Las propuestas que cumplan los requisitos de elegibilidad serán evaluadas por un panel de revisión multidisciplinario </w:t>
      </w:r>
      <w:r w:rsidR="00FF522B">
        <w:rPr>
          <w:color w:val="333333"/>
          <w:lang w:val="es-AR"/>
        </w:rPr>
        <w:t>seleccionado por</w:t>
      </w:r>
      <w:r w:rsidRPr="00365080">
        <w:rPr>
          <w:color w:val="333333"/>
          <w:lang w:val="es-AR"/>
        </w:rPr>
        <w:t xml:space="preserve"> personal de la OMS/HRP.</w:t>
      </w:r>
    </w:p>
    <w:p w14:paraId="7B97CE71" w14:textId="640020ED" w:rsidR="005F40DC" w:rsidRPr="00365080" w:rsidRDefault="00590F36" w:rsidP="008E4801">
      <w:pPr>
        <w:spacing w:before="60" w:after="120"/>
        <w:rPr>
          <w:lang w:val="es-AR"/>
        </w:rPr>
      </w:pPr>
      <w:r w:rsidRPr="00365080">
        <w:rPr>
          <w:color w:val="333333"/>
          <w:lang w:val="es-AR"/>
        </w:rPr>
        <w:t xml:space="preserve">Las propuestas serán puntuadas según los siguientes criterios. Cada criterio se punta </w:t>
      </w:r>
      <w:r w:rsidR="004A2AA0">
        <w:rPr>
          <w:color w:val="333333"/>
          <w:lang w:val="es-AR"/>
        </w:rPr>
        <w:t>según</w:t>
      </w:r>
      <w:r w:rsidR="002C0D4D">
        <w:rPr>
          <w:color w:val="333333"/>
          <w:lang w:val="es-AR"/>
        </w:rPr>
        <w:t xml:space="preserve"> l</w:t>
      </w:r>
      <w:r w:rsidR="004A2AA0">
        <w:rPr>
          <w:color w:val="333333"/>
          <w:lang w:val="es-AR"/>
        </w:rPr>
        <w:t>os puntajes incluidos en la tabla con un</w:t>
      </w:r>
      <w:r w:rsidRPr="00365080">
        <w:rPr>
          <w:color w:val="333333"/>
          <w:lang w:val="es-AR"/>
        </w:rPr>
        <w:t>a puntuación máxima posible de 100 puntos.</w:t>
      </w:r>
    </w:p>
    <w:p w14:paraId="09D7AEEE" w14:textId="77777777" w:rsidR="005F40DC" w:rsidRPr="00365080" w:rsidRDefault="005F40DC" w:rsidP="008E4801">
      <w:pPr>
        <w:spacing w:after="120"/>
        <w:rPr>
          <w:lang w:val="es-A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0"/>
        <w:gridCol w:w="1826"/>
      </w:tblGrid>
      <w:tr w:rsidR="0078037C" w:rsidRPr="00365080" w14:paraId="2937A46E" w14:textId="77777777" w:rsidTr="7D66A2A1">
        <w:trPr>
          <w:tblHeader/>
        </w:trPr>
        <w:tc>
          <w:tcPr>
            <w:tcW w:w="72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006BB6"/>
            <w:tcMar>
              <w:top w:w="100" w:type="dxa"/>
              <w:left w:w="140" w:type="dxa"/>
              <w:bottom w:w="100" w:type="dxa"/>
              <w:right w:w="140" w:type="dxa"/>
            </w:tcMar>
          </w:tcPr>
          <w:p w14:paraId="08F969ED" w14:textId="77777777" w:rsidR="002F621D" w:rsidRPr="00365080" w:rsidRDefault="002F621D" w:rsidP="008E4801">
            <w:pPr>
              <w:spacing w:after="120"/>
              <w:rPr>
                <w:lang w:val="es-AR"/>
              </w:rPr>
            </w:pPr>
            <w:r w:rsidRPr="00365080">
              <w:rPr>
                <w:b/>
                <w:bCs/>
                <w:color w:val="FFFFFF"/>
                <w:lang w:val="es-AR"/>
              </w:rPr>
              <w:t>Criterio</w:t>
            </w:r>
          </w:p>
        </w:tc>
        <w:tc>
          <w:tcPr>
            <w:tcW w:w="1826"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006BB6"/>
            <w:tcMar>
              <w:top w:w="100" w:type="dxa"/>
              <w:left w:w="140" w:type="dxa"/>
              <w:bottom w:w="100" w:type="dxa"/>
              <w:right w:w="140" w:type="dxa"/>
            </w:tcMar>
          </w:tcPr>
          <w:p w14:paraId="63615CF2" w14:textId="77777777" w:rsidR="002F621D" w:rsidRPr="00365080" w:rsidRDefault="002F621D" w:rsidP="008E4801">
            <w:pPr>
              <w:spacing w:after="120"/>
              <w:jc w:val="center"/>
              <w:rPr>
                <w:lang w:val="es-AR"/>
              </w:rPr>
            </w:pPr>
            <w:r w:rsidRPr="00365080">
              <w:rPr>
                <w:b/>
                <w:bCs/>
                <w:color w:val="FFFFFF" w:themeColor="background1"/>
                <w:lang w:val="es-AR"/>
              </w:rPr>
              <w:t>Puntuación máxima</w:t>
            </w:r>
          </w:p>
        </w:tc>
      </w:tr>
      <w:tr w:rsidR="0078037C" w:rsidRPr="00365080" w14:paraId="34143C8E" w14:textId="77777777" w:rsidTr="7D66A2A1">
        <w:tc>
          <w:tcPr>
            <w:tcW w:w="7200" w:type="dxa"/>
            <w:tcBorders>
              <w:top w:val="single" w:sz="4" w:space="0" w:color="CCCCCC"/>
              <w:left w:val="single" w:sz="4" w:space="0" w:color="CCCCCC"/>
              <w:bottom w:val="single" w:sz="4" w:space="0" w:color="CCCCCC"/>
              <w:right w:val="single" w:sz="4" w:space="0" w:color="CCCCCC"/>
            </w:tcBorders>
            <w:shd w:val="clear" w:color="auto" w:fill="EBF4FB"/>
            <w:tcMar>
              <w:top w:w="100" w:type="dxa"/>
              <w:left w:w="140" w:type="dxa"/>
              <w:bottom w:w="100" w:type="dxa"/>
              <w:right w:w="140" w:type="dxa"/>
            </w:tcMar>
          </w:tcPr>
          <w:p w14:paraId="56ABD4BE" w14:textId="33924E45" w:rsidR="002F621D" w:rsidRPr="00365080" w:rsidRDefault="002F621D" w:rsidP="008E4801">
            <w:pPr>
              <w:spacing w:after="120"/>
              <w:rPr>
                <w:lang w:val="es-AR"/>
              </w:rPr>
            </w:pPr>
            <w:r w:rsidRPr="00365080">
              <w:rPr>
                <w:b/>
                <w:bCs/>
                <w:color w:val="333333"/>
                <w:lang w:val="es-AR"/>
              </w:rPr>
              <w:t xml:space="preserve">1. Visión de investigación y mérito científico: </w:t>
            </w:r>
            <w:r w:rsidR="008273BA" w:rsidRPr="00365080">
              <w:rPr>
                <w:color w:val="333333"/>
                <w:lang w:val="es-AR"/>
              </w:rPr>
              <w:t>c</w:t>
            </w:r>
            <w:r w:rsidRPr="00365080">
              <w:rPr>
                <w:color w:val="333333"/>
                <w:lang w:val="es-AR"/>
              </w:rPr>
              <w:t>laridad de la visión de investigación y su anclaje contextual; pertinencia respecto a la pregunta prioritaria seleccionada y a las brechas de evidencia locales; coherencia del enfoque participativo y de métodos mixtos propuesto; potencial para generar evidencia que pueda orientar la política y la práctica.</w:t>
            </w:r>
          </w:p>
        </w:tc>
        <w:tc>
          <w:tcPr>
            <w:tcW w:w="1826" w:type="dxa"/>
            <w:tcBorders>
              <w:top w:val="single" w:sz="4" w:space="0" w:color="CCCCCC"/>
              <w:left w:val="single" w:sz="4" w:space="0" w:color="CCCCCC"/>
              <w:bottom w:val="single" w:sz="4" w:space="0" w:color="CCCCCC"/>
              <w:right w:val="single" w:sz="4" w:space="0" w:color="CCCCCC"/>
            </w:tcBorders>
            <w:shd w:val="clear" w:color="auto" w:fill="EBF4FB"/>
            <w:tcMar>
              <w:top w:w="100" w:type="dxa"/>
              <w:left w:w="140" w:type="dxa"/>
              <w:bottom w:w="100" w:type="dxa"/>
              <w:right w:w="140" w:type="dxa"/>
            </w:tcMar>
          </w:tcPr>
          <w:p w14:paraId="190D737D" w14:textId="666C5858" w:rsidR="002F621D" w:rsidRPr="00365080" w:rsidRDefault="002D7CA5" w:rsidP="008E4801">
            <w:pPr>
              <w:spacing w:after="120"/>
              <w:jc w:val="center"/>
              <w:rPr>
                <w:lang w:val="es-AR"/>
              </w:rPr>
            </w:pPr>
            <w:r w:rsidRPr="00365080">
              <w:rPr>
                <w:b/>
                <w:bCs/>
                <w:color w:val="333333"/>
                <w:lang w:val="es-AR"/>
              </w:rPr>
              <w:t>3</w:t>
            </w:r>
            <w:r w:rsidR="002F621D" w:rsidRPr="00365080">
              <w:rPr>
                <w:b/>
                <w:bCs/>
                <w:color w:val="333333"/>
                <w:lang w:val="es-AR"/>
              </w:rPr>
              <w:t>5</w:t>
            </w:r>
          </w:p>
        </w:tc>
      </w:tr>
      <w:tr w:rsidR="0078037C" w:rsidRPr="00365080" w14:paraId="584C8314" w14:textId="77777777" w:rsidTr="7D66A2A1">
        <w:tc>
          <w:tcPr>
            <w:tcW w:w="72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100" w:type="dxa"/>
              <w:left w:w="140" w:type="dxa"/>
              <w:bottom w:w="100" w:type="dxa"/>
              <w:right w:w="140" w:type="dxa"/>
            </w:tcMar>
          </w:tcPr>
          <w:p w14:paraId="0763EBA1" w14:textId="13A7CCB2" w:rsidR="002F621D" w:rsidRPr="00365080" w:rsidRDefault="002F621D" w:rsidP="008E4801">
            <w:pPr>
              <w:spacing w:after="120"/>
              <w:rPr>
                <w:lang w:val="es-AR"/>
              </w:rPr>
            </w:pPr>
            <w:r w:rsidRPr="00365080">
              <w:rPr>
                <w:b/>
                <w:bCs/>
                <w:color w:val="333333"/>
                <w:lang w:val="es-AR"/>
              </w:rPr>
              <w:t xml:space="preserve">2. Alianza comunitaria y enfoque participativo: </w:t>
            </w:r>
            <w:r w:rsidR="008273BA" w:rsidRPr="00365080">
              <w:rPr>
                <w:color w:val="333333"/>
                <w:lang w:val="es-AR"/>
              </w:rPr>
              <w:t>p</w:t>
            </w:r>
            <w:r w:rsidRPr="00365080">
              <w:rPr>
                <w:color w:val="333333"/>
                <w:lang w:val="es-AR"/>
              </w:rPr>
              <w:t>rofundidad y autenticidad de la participación comunitaria; grado en que las comunidades están posicionadas como coinvestigadores/as; claridad de la gobernanza participativa; atención a las dinámicas de poder y la ética de la participación.</w:t>
            </w:r>
          </w:p>
        </w:tc>
        <w:tc>
          <w:tcPr>
            <w:tcW w:w="182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100" w:type="dxa"/>
              <w:left w:w="140" w:type="dxa"/>
              <w:bottom w:w="100" w:type="dxa"/>
              <w:right w:w="140" w:type="dxa"/>
            </w:tcMar>
          </w:tcPr>
          <w:p w14:paraId="1F534360" w14:textId="4C389D94" w:rsidR="002F621D" w:rsidRPr="00365080" w:rsidRDefault="00930859" w:rsidP="008E4801">
            <w:pPr>
              <w:spacing w:after="120"/>
              <w:jc w:val="center"/>
              <w:rPr>
                <w:lang w:val="es-AR"/>
              </w:rPr>
            </w:pPr>
            <w:r w:rsidRPr="00365080">
              <w:rPr>
                <w:b/>
                <w:bCs/>
                <w:color w:val="333333"/>
                <w:lang w:val="es-AR"/>
              </w:rPr>
              <w:t>25</w:t>
            </w:r>
          </w:p>
        </w:tc>
      </w:tr>
      <w:tr w:rsidR="0078037C" w:rsidRPr="00365080" w14:paraId="5ABA8929" w14:textId="77777777" w:rsidTr="7D66A2A1">
        <w:tc>
          <w:tcPr>
            <w:tcW w:w="7200" w:type="dxa"/>
            <w:tcBorders>
              <w:top w:val="single" w:sz="4" w:space="0" w:color="CCCCCC"/>
              <w:left w:val="single" w:sz="4" w:space="0" w:color="CCCCCC"/>
              <w:bottom w:val="single" w:sz="4" w:space="0" w:color="CCCCCC"/>
              <w:right w:val="single" w:sz="4" w:space="0" w:color="CCCCCC"/>
            </w:tcBorders>
            <w:shd w:val="clear" w:color="auto" w:fill="EBF4FB"/>
            <w:tcMar>
              <w:top w:w="100" w:type="dxa"/>
              <w:left w:w="140" w:type="dxa"/>
              <w:bottom w:w="100" w:type="dxa"/>
              <w:right w:w="140" w:type="dxa"/>
            </w:tcMar>
          </w:tcPr>
          <w:p w14:paraId="0A4D81DE" w14:textId="6050405E" w:rsidR="002F621D" w:rsidRPr="00365080" w:rsidRDefault="002F621D" w:rsidP="008E4801">
            <w:pPr>
              <w:spacing w:after="120"/>
              <w:rPr>
                <w:lang w:val="es-AR"/>
              </w:rPr>
            </w:pPr>
            <w:r w:rsidRPr="00365080">
              <w:rPr>
                <w:b/>
                <w:bCs/>
                <w:color w:val="333333"/>
                <w:lang w:val="es-AR"/>
              </w:rPr>
              <w:t xml:space="preserve">3. Composición del equipo, factibilidad y presupuesto: </w:t>
            </w:r>
            <w:r w:rsidR="008273BA" w:rsidRPr="00365080">
              <w:rPr>
                <w:color w:val="333333"/>
                <w:lang w:val="es-AR"/>
              </w:rPr>
              <w:t>e</w:t>
            </w:r>
            <w:r w:rsidRPr="00365080">
              <w:rPr>
                <w:color w:val="333333"/>
                <w:lang w:val="es-AR"/>
              </w:rPr>
              <w:t xml:space="preserve">xperiencia relevante en investigación participativa y de métodos mixtos; capacidad institucional y trayectoria; realismo del enfoque propuesto dado el </w:t>
            </w:r>
            <w:r w:rsidR="00A66493" w:rsidRPr="00365080">
              <w:rPr>
                <w:color w:val="333333"/>
                <w:lang w:val="es-AR"/>
              </w:rPr>
              <w:t>contexto</w:t>
            </w:r>
            <w:r w:rsidRPr="00365080">
              <w:rPr>
                <w:color w:val="333333"/>
                <w:lang w:val="es-AR"/>
              </w:rPr>
              <w:t xml:space="preserve"> y los recursos; pertinencia y rentabilidad del presupuesto.</w:t>
            </w:r>
          </w:p>
        </w:tc>
        <w:tc>
          <w:tcPr>
            <w:tcW w:w="1826" w:type="dxa"/>
            <w:tcBorders>
              <w:top w:val="single" w:sz="4" w:space="0" w:color="CCCCCC"/>
              <w:left w:val="single" w:sz="4" w:space="0" w:color="CCCCCC"/>
              <w:bottom w:val="single" w:sz="4" w:space="0" w:color="CCCCCC"/>
              <w:right w:val="single" w:sz="4" w:space="0" w:color="CCCCCC"/>
            </w:tcBorders>
            <w:shd w:val="clear" w:color="auto" w:fill="EBF4FB"/>
            <w:tcMar>
              <w:top w:w="100" w:type="dxa"/>
              <w:left w:w="140" w:type="dxa"/>
              <w:bottom w:w="100" w:type="dxa"/>
              <w:right w:w="140" w:type="dxa"/>
            </w:tcMar>
          </w:tcPr>
          <w:p w14:paraId="5A7BCED4" w14:textId="044E7071" w:rsidR="002F621D" w:rsidRPr="00365080" w:rsidRDefault="002D7CA5" w:rsidP="008E4801">
            <w:pPr>
              <w:spacing w:after="120"/>
              <w:jc w:val="center"/>
              <w:rPr>
                <w:lang w:val="es-AR"/>
              </w:rPr>
            </w:pPr>
            <w:r w:rsidRPr="00365080">
              <w:rPr>
                <w:b/>
                <w:bCs/>
                <w:color w:val="333333"/>
                <w:lang w:val="es-AR"/>
              </w:rPr>
              <w:t>2</w:t>
            </w:r>
            <w:r w:rsidR="00930859" w:rsidRPr="00365080">
              <w:rPr>
                <w:b/>
                <w:bCs/>
                <w:color w:val="333333"/>
                <w:lang w:val="es-AR"/>
              </w:rPr>
              <w:t>0</w:t>
            </w:r>
          </w:p>
        </w:tc>
      </w:tr>
      <w:tr w:rsidR="0078037C" w:rsidRPr="00365080" w14:paraId="596682D3" w14:textId="77777777" w:rsidTr="7D66A2A1">
        <w:tc>
          <w:tcPr>
            <w:tcW w:w="72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100" w:type="dxa"/>
              <w:left w:w="140" w:type="dxa"/>
              <w:bottom w:w="100" w:type="dxa"/>
              <w:right w:w="140" w:type="dxa"/>
            </w:tcMar>
          </w:tcPr>
          <w:p w14:paraId="412CC42F" w14:textId="7843E641" w:rsidR="002F621D" w:rsidRPr="00365080" w:rsidRDefault="002F621D" w:rsidP="008E4801">
            <w:pPr>
              <w:spacing w:after="120"/>
              <w:rPr>
                <w:lang w:val="es-AR"/>
              </w:rPr>
            </w:pPr>
            <w:r w:rsidRPr="00365080">
              <w:rPr>
                <w:b/>
                <w:bCs/>
                <w:color w:val="333333"/>
                <w:lang w:val="es-AR"/>
              </w:rPr>
              <w:t xml:space="preserve">4. Derechos humanos, interseccionalidad y fortalecimiento de capacidades de investigación: </w:t>
            </w:r>
            <w:r w:rsidR="008273BA" w:rsidRPr="00365080">
              <w:rPr>
                <w:color w:val="333333"/>
                <w:lang w:val="es-AR"/>
              </w:rPr>
              <w:t>a</w:t>
            </w:r>
            <w:r w:rsidRPr="00365080">
              <w:rPr>
                <w:color w:val="333333"/>
                <w:lang w:val="es-AR"/>
              </w:rPr>
              <w:t>plicación de un marco de derechos humanos; uso de un enfoque interseccional en el diseño y el análisis; inclusión de investigadores/as en etapa inicial de carrera; planes para fortalecer las capacidades de investigación locales.</w:t>
            </w:r>
          </w:p>
        </w:tc>
        <w:tc>
          <w:tcPr>
            <w:tcW w:w="182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100" w:type="dxa"/>
              <w:left w:w="140" w:type="dxa"/>
              <w:bottom w:w="100" w:type="dxa"/>
              <w:right w:w="140" w:type="dxa"/>
            </w:tcMar>
          </w:tcPr>
          <w:p w14:paraId="6D6F1431" w14:textId="0BBB45A0" w:rsidR="002F621D" w:rsidRPr="00365080" w:rsidRDefault="00930859" w:rsidP="008E4801">
            <w:pPr>
              <w:spacing w:after="120"/>
              <w:jc w:val="center"/>
              <w:rPr>
                <w:b/>
                <w:bCs/>
                <w:lang w:val="es-AR"/>
              </w:rPr>
            </w:pPr>
            <w:r w:rsidRPr="00365080">
              <w:rPr>
                <w:b/>
                <w:bCs/>
                <w:lang w:val="es-AR"/>
              </w:rPr>
              <w:t>20</w:t>
            </w:r>
          </w:p>
        </w:tc>
      </w:tr>
      <w:tr w:rsidR="0078037C" w:rsidRPr="00365080" w14:paraId="1E8CF5AE" w14:textId="77777777" w:rsidTr="7D66A2A1">
        <w:tc>
          <w:tcPr>
            <w:tcW w:w="7200" w:type="dxa"/>
            <w:tcBorders>
              <w:top w:val="single" w:sz="4" w:space="0" w:color="CCCCCC"/>
              <w:left w:val="single" w:sz="4" w:space="0" w:color="CCCCCC"/>
              <w:bottom w:val="single" w:sz="4" w:space="0" w:color="CCCCCC"/>
              <w:right w:val="single" w:sz="4" w:space="0" w:color="CCCCCC"/>
            </w:tcBorders>
            <w:shd w:val="clear" w:color="auto" w:fill="D6E8F5"/>
            <w:tcMar>
              <w:top w:w="100" w:type="dxa"/>
              <w:left w:w="140" w:type="dxa"/>
              <w:bottom w:w="100" w:type="dxa"/>
              <w:right w:w="140" w:type="dxa"/>
            </w:tcMar>
          </w:tcPr>
          <w:p w14:paraId="395DF789" w14:textId="77777777" w:rsidR="002F621D" w:rsidRPr="00365080" w:rsidRDefault="002F621D" w:rsidP="008E4801">
            <w:pPr>
              <w:spacing w:after="120"/>
              <w:rPr>
                <w:lang w:val="es-AR"/>
              </w:rPr>
            </w:pPr>
            <w:r w:rsidRPr="00365080">
              <w:rPr>
                <w:b/>
                <w:bCs/>
                <w:color w:val="333333"/>
                <w:lang w:val="es-AR"/>
              </w:rPr>
              <w:t>TOTAL</w:t>
            </w:r>
          </w:p>
        </w:tc>
        <w:tc>
          <w:tcPr>
            <w:tcW w:w="1826" w:type="dxa"/>
            <w:tcBorders>
              <w:top w:val="single" w:sz="4" w:space="0" w:color="CCCCCC"/>
              <w:left w:val="single" w:sz="4" w:space="0" w:color="CCCCCC"/>
              <w:bottom w:val="single" w:sz="4" w:space="0" w:color="CCCCCC"/>
              <w:right w:val="single" w:sz="4" w:space="0" w:color="CCCCCC"/>
            </w:tcBorders>
            <w:shd w:val="clear" w:color="auto" w:fill="D6E8F5"/>
            <w:tcMar>
              <w:top w:w="100" w:type="dxa"/>
              <w:left w:w="140" w:type="dxa"/>
              <w:bottom w:w="100" w:type="dxa"/>
              <w:right w:w="140" w:type="dxa"/>
            </w:tcMar>
          </w:tcPr>
          <w:p w14:paraId="64EE21A0" w14:textId="77777777" w:rsidR="002F621D" w:rsidRPr="00365080" w:rsidRDefault="002F621D" w:rsidP="008E4801">
            <w:pPr>
              <w:spacing w:after="120"/>
              <w:jc w:val="center"/>
              <w:rPr>
                <w:lang w:val="es-AR"/>
              </w:rPr>
            </w:pPr>
            <w:r w:rsidRPr="00365080">
              <w:rPr>
                <w:b/>
                <w:bCs/>
                <w:color w:val="333333"/>
                <w:lang w:val="es-AR"/>
              </w:rPr>
              <w:t>100</w:t>
            </w:r>
          </w:p>
        </w:tc>
      </w:tr>
    </w:tbl>
    <w:p w14:paraId="71899403" w14:textId="77777777" w:rsidR="005F40DC" w:rsidRPr="00365080" w:rsidRDefault="005F40DC" w:rsidP="008E4801">
      <w:pPr>
        <w:spacing w:after="120"/>
        <w:rPr>
          <w:lang w:val="es-AR"/>
        </w:rPr>
      </w:pPr>
    </w:p>
    <w:p w14:paraId="11AF25E9" w14:textId="77777777" w:rsidR="005F40DC" w:rsidRPr="00365080" w:rsidRDefault="00590F36" w:rsidP="008E4801">
      <w:pPr>
        <w:spacing w:before="60" w:after="120"/>
        <w:rPr>
          <w:lang w:val="es-AR"/>
        </w:rPr>
      </w:pPr>
      <w:r w:rsidRPr="00365080">
        <w:rPr>
          <w:color w:val="333333"/>
          <w:lang w:val="es-AR"/>
        </w:rPr>
        <w:lastRenderedPageBreak/>
        <w:t>En caso de igualdad de puntuaciones entre propuestas, se dará preferencia a la propuesta que mejor contribuya al equilibrio regional entre las regiones de la OMS y a la representación de las comunidades más gravemente afectadas por el cambio climático.</w:t>
      </w:r>
    </w:p>
    <w:p w14:paraId="074E2860" w14:textId="77777777" w:rsidR="005F40DC" w:rsidRPr="00365080" w:rsidRDefault="005F40DC" w:rsidP="008E4801">
      <w:pPr>
        <w:spacing w:after="120"/>
        <w:rPr>
          <w:lang w:val="es-AR"/>
        </w:rPr>
      </w:pPr>
    </w:p>
    <w:p w14:paraId="5C6F9E59" w14:textId="4565FCBB" w:rsidR="005F40DC" w:rsidRPr="00365080" w:rsidRDefault="00590F36" w:rsidP="008E4801">
      <w:pPr>
        <w:pStyle w:val="Heading1"/>
        <w:rPr>
          <w:lang w:val="es-AR"/>
        </w:rPr>
      </w:pPr>
      <w:r w:rsidRPr="00365080">
        <w:rPr>
          <w:lang w:val="es-AR"/>
        </w:rPr>
        <w:t>7. Orientaciones presupuestarias</w:t>
      </w:r>
    </w:p>
    <w:p w14:paraId="411AB45E" w14:textId="7D312646" w:rsidR="005F40DC" w:rsidRPr="00365080" w:rsidRDefault="00590F36" w:rsidP="008E4801">
      <w:pPr>
        <w:spacing w:before="60" w:after="120"/>
        <w:rPr>
          <w:lang w:val="es-AR"/>
        </w:rPr>
      </w:pPr>
      <w:r w:rsidRPr="00365080">
        <w:rPr>
          <w:color w:val="333333"/>
          <w:lang w:val="es-AR"/>
        </w:rPr>
        <w:t xml:space="preserve">Cada equipo seleccionado recibirá una subvención de investigación de la OMS/HRP para apoyar la implementación del protocolo de estudio acordado. El monto máximo de la subvención por equipo es de </w:t>
      </w:r>
      <w:r w:rsidRPr="00B93BE2">
        <w:rPr>
          <w:b/>
          <w:bCs/>
          <w:color w:val="333333"/>
          <w:lang w:val="es-AR"/>
        </w:rPr>
        <w:t>USD 55.000</w:t>
      </w:r>
      <w:r w:rsidRPr="00365080">
        <w:rPr>
          <w:color w:val="333333"/>
          <w:lang w:val="es-AR"/>
        </w:rPr>
        <w:t xml:space="preserve"> para la duración completa del estudio. Los montos finales de las subvenciones se negociarán con los equipos seleccionados tras el taller de desarrollo de protocolo y serán proporcionales al alcance y al contexto del trabajo propuesto. Los equipos deben indicar en el formulario de solicitud si pueden obtener financiamiento complementario para la implementación del estudio.</w:t>
      </w:r>
    </w:p>
    <w:p w14:paraId="785AE0C8" w14:textId="03CB1093" w:rsidR="00BB64DB" w:rsidRPr="00365080" w:rsidRDefault="00590F36" w:rsidP="008E4801">
      <w:pPr>
        <w:spacing w:before="60" w:after="120"/>
        <w:rPr>
          <w:lang w:val="es-AR"/>
        </w:rPr>
      </w:pPr>
      <w:r w:rsidRPr="00365080">
        <w:rPr>
          <w:color w:val="333333"/>
          <w:lang w:val="es-AR"/>
        </w:rPr>
        <w:t>Las propuestas deben presentar un presupuesto detallado y una justificación presupuestaria utilizando la plantilla proporcionada en el sitio web de la OMS/HRP donde se publicó esta convocatoria. Los presupuestos deben reflejar las actividades planificadas y los recursos necesarios para implementarlas.</w:t>
      </w:r>
    </w:p>
    <w:p w14:paraId="143FA35C" w14:textId="516E4E11" w:rsidR="005F40DC" w:rsidRPr="00365080" w:rsidRDefault="00590F36" w:rsidP="008E4801">
      <w:pPr>
        <w:spacing w:before="60" w:after="120"/>
        <w:rPr>
          <w:lang w:val="es-AR"/>
        </w:rPr>
      </w:pPr>
      <w:r w:rsidRPr="00365080">
        <w:rPr>
          <w:color w:val="333333"/>
          <w:lang w:val="es-AR"/>
        </w:rPr>
        <w:t>Las categorías presupuestarias elegibles incluyen:</w:t>
      </w:r>
    </w:p>
    <w:p w14:paraId="686ACC2C" w14:textId="77777777" w:rsidR="005F40DC" w:rsidRPr="00365080" w:rsidRDefault="00590F36" w:rsidP="008E4801">
      <w:pPr>
        <w:pStyle w:val="ListParagraph"/>
        <w:numPr>
          <w:ilvl w:val="0"/>
          <w:numId w:val="3"/>
        </w:numPr>
        <w:spacing w:before="40" w:after="120"/>
        <w:rPr>
          <w:lang w:val="es-AR"/>
        </w:rPr>
      </w:pPr>
      <w:r w:rsidRPr="00365080">
        <w:rPr>
          <w:color w:val="333333"/>
          <w:lang w:val="es-AR"/>
        </w:rPr>
        <w:t>Costos de personal (tiempo del personal de investigación, estipendios e incentivos para investigadores/as comunitarios/as)</w:t>
      </w:r>
    </w:p>
    <w:p w14:paraId="6427A653" w14:textId="77777777" w:rsidR="005F40DC" w:rsidRPr="00365080" w:rsidRDefault="00590F36" w:rsidP="008E4801">
      <w:pPr>
        <w:pStyle w:val="ListParagraph"/>
        <w:numPr>
          <w:ilvl w:val="0"/>
          <w:numId w:val="3"/>
        </w:numPr>
        <w:spacing w:before="40" w:after="120"/>
        <w:rPr>
          <w:lang w:val="es-AR"/>
        </w:rPr>
      </w:pPr>
      <w:r w:rsidRPr="00365080">
        <w:rPr>
          <w:color w:val="333333"/>
          <w:lang w:val="es-AR"/>
        </w:rPr>
        <w:t>Servicios e insumos (materiales de recolección de datos, transcripción, traducción y software)</w:t>
      </w:r>
    </w:p>
    <w:p w14:paraId="60249F08" w14:textId="77777777" w:rsidR="005F40DC" w:rsidRPr="00365080" w:rsidRDefault="00590F36" w:rsidP="008E4801">
      <w:pPr>
        <w:pStyle w:val="ListParagraph"/>
        <w:numPr>
          <w:ilvl w:val="0"/>
          <w:numId w:val="3"/>
        </w:numPr>
        <w:spacing w:before="40" w:after="120"/>
        <w:rPr>
          <w:lang w:val="es-AR"/>
        </w:rPr>
      </w:pPr>
      <w:r w:rsidRPr="00365080">
        <w:rPr>
          <w:color w:val="333333"/>
          <w:lang w:val="es-AR"/>
        </w:rPr>
        <w:t>Costos de participantes (transporte, cuidado de niños/as y otros costos para facilitar la participación comunitaria)</w:t>
      </w:r>
    </w:p>
    <w:p w14:paraId="77F5F0C9" w14:textId="2A35191E" w:rsidR="005F40DC" w:rsidRPr="00365080" w:rsidRDefault="00590F36" w:rsidP="008E4801">
      <w:pPr>
        <w:pStyle w:val="ListParagraph"/>
        <w:numPr>
          <w:ilvl w:val="0"/>
          <w:numId w:val="3"/>
        </w:numPr>
        <w:spacing w:before="40" w:after="120"/>
        <w:rPr>
          <w:lang w:val="es-AR"/>
        </w:rPr>
      </w:pPr>
      <w:r w:rsidRPr="00365080">
        <w:rPr>
          <w:color w:val="333333"/>
          <w:lang w:val="es-AR"/>
        </w:rPr>
        <w:t>Viajes locales y trabajo de campo (sin viajes internacionales)</w:t>
      </w:r>
    </w:p>
    <w:p w14:paraId="31234B07" w14:textId="77777777" w:rsidR="005F40DC" w:rsidRPr="00365080" w:rsidRDefault="00590F36" w:rsidP="008E4801">
      <w:pPr>
        <w:pStyle w:val="ListParagraph"/>
        <w:numPr>
          <w:ilvl w:val="0"/>
          <w:numId w:val="3"/>
        </w:numPr>
        <w:spacing w:before="40" w:after="120"/>
        <w:rPr>
          <w:lang w:val="es-AR"/>
        </w:rPr>
      </w:pPr>
      <w:r w:rsidRPr="00365080">
        <w:rPr>
          <w:color w:val="333333"/>
          <w:lang w:val="es-AR"/>
        </w:rPr>
        <w:t>Actividades de difusión y traducción del conocimiento</w:t>
      </w:r>
    </w:p>
    <w:p w14:paraId="320216B2" w14:textId="77777777" w:rsidR="005F40DC" w:rsidRPr="00365080" w:rsidRDefault="00590F36" w:rsidP="008E4801">
      <w:pPr>
        <w:pStyle w:val="ListParagraph"/>
        <w:numPr>
          <w:ilvl w:val="0"/>
          <w:numId w:val="3"/>
        </w:numPr>
        <w:spacing w:before="40" w:after="120"/>
        <w:rPr>
          <w:lang w:val="es-AR"/>
        </w:rPr>
      </w:pPr>
      <w:r w:rsidRPr="00365080">
        <w:rPr>
          <w:color w:val="333333"/>
          <w:lang w:val="es-AR"/>
        </w:rPr>
        <w:t>Costos indirectos (gastos generales institucionales), hasta un máximo del 13% de los costos directos</w:t>
      </w:r>
    </w:p>
    <w:p w14:paraId="5EC51EC5" w14:textId="5FE54452" w:rsidR="005F40DC" w:rsidRPr="00365080" w:rsidRDefault="00590F36" w:rsidP="008E4801">
      <w:pPr>
        <w:spacing w:before="60" w:after="120"/>
        <w:rPr>
          <w:lang w:val="es-AR"/>
        </w:rPr>
      </w:pPr>
      <w:r w:rsidRPr="00365080">
        <w:rPr>
          <w:color w:val="333333"/>
          <w:lang w:val="es-AR"/>
        </w:rPr>
        <w:t>Los costos no elegibles para reembolso incluyen: viajes internacionales, compras de equipos que superen USD 2.000 por artículo sin justificación previa, y costos incurridos antes de la firma del acuerdo de subvención. No más del 15% de la subvención total puede asignarse a instituciones o personas con sede en países de ingreso alto (según la clasificación del Banco Mundial</w:t>
      </w:r>
      <w:r w:rsidR="008273BA" w:rsidRPr="00365080">
        <w:rPr>
          <w:rStyle w:val="FootnoteReference"/>
          <w:color w:val="333333"/>
          <w:lang w:val="es-AR"/>
        </w:rPr>
        <w:footnoteReference w:id="4"/>
      </w:r>
      <w:r w:rsidRPr="00365080">
        <w:rPr>
          <w:color w:val="333333"/>
          <w:lang w:val="es-AR"/>
        </w:rPr>
        <w:t>). Esta restricción se aplica a la totalidad del presupuesto del proyecto, incluidos los acuerdos de subcontratación o consultoría.</w:t>
      </w:r>
    </w:p>
    <w:p w14:paraId="191D4F12" w14:textId="5EE709E2" w:rsidR="005F40DC" w:rsidRPr="00365080" w:rsidRDefault="00590F36" w:rsidP="00100FC7">
      <w:pPr>
        <w:spacing w:before="60" w:after="120"/>
        <w:rPr>
          <w:lang w:val="es-AR"/>
        </w:rPr>
      </w:pPr>
      <w:r w:rsidRPr="00365080">
        <w:rPr>
          <w:color w:val="333333"/>
          <w:lang w:val="es-AR"/>
        </w:rPr>
        <w:t>Todos los equipos tendrán acceso a los recursos de fortalecimiento de capacidades de investigación apoyados por la OMS/HRP, incluidos software de análisis de datos, cursos de capacitación y herramientas, sin costo para el presupuesto del proyecto. Los costos de viaje relacionados con el taller de desarrollo de protocolo serán cubiertos por la OMS/HRP.</w:t>
      </w:r>
    </w:p>
    <w:p w14:paraId="146F308C" w14:textId="5550A735" w:rsidR="005F40DC" w:rsidRPr="00365080" w:rsidRDefault="00590F36" w:rsidP="008E4801">
      <w:pPr>
        <w:pStyle w:val="Heading1"/>
        <w:rPr>
          <w:lang w:val="es-AR"/>
        </w:rPr>
      </w:pPr>
      <w:r w:rsidRPr="00365080">
        <w:rPr>
          <w:lang w:val="es-AR"/>
        </w:rPr>
        <w:t>8. Procedimiento de solicitud</w:t>
      </w:r>
    </w:p>
    <w:p w14:paraId="08A61785" w14:textId="273355D8" w:rsidR="005F40DC" w:rsidRPr="00365080" w:rsidRDefault="00590F36" w:rsidP="008E4801">
      <w:pPr>
        <w:pStyle w:val="Heading2"/>
        <w:pBdr>
          <w:bottom w:val="single" w:sz="2" w:space="4" w:color="CCCCCC"/>
        </w:pBdr>
        <w:spacing w:after="120"/>
        <w:rPr>
          <w:lang w:val="es-AR"/>
        </w:rPr>
      </w:pPr>
      <w:r w:rsidRPr="00365080">
        <w:rPr>
          <w:lang w:val="es-AR"/>
        </w:rPr>
        <w:t>8.1 Cómo postular</w:t>
      </w:r>
    </w:p>
    <w:p w14:paraId="66E106AE" w14:textId="7164E097" w:rsidR="005F40DC" w:rsidRPr="00365080" w:rsidRDefault="00590F36" w:rsidP="008E4801">
      <w:pPr>
        <w:spacing w:before="60" w:after="120"/>
        <w:rPr>
          <w:lang w:val="es-AR"/>
        </w:rPr>
      </w:pPr>
      <w:r w:rsidRPr="00365080">
        <w:rPr>
          <w:color w:val="333333"/>
          <w:lang w:val="es-AR"/>
        </w:rPr>
        <w:t xml:space="preserve">Los equipos interesados deben presentar una propuesta completa utilizando el formulario de solicitud en </w:t>
      </w:r>
      <w:hyperlink r:id="rId12" w:history="1">
        <w:r w:rsidRPr="00365080">
          <w:rPr>
            <w:rStyle w:val="Hyperlink"/>
            <w:lang w:val="es-AR"/>
          </w:rPr>
          <w:t>este enlace</w:t>
        </w:r>
      </w:hyperlink>
      <w:r w:rsidRPr="00365080">
        <w:rPr>
          <w:color w:val="333333"/>
          <w:lang w:val="es-AR"/>
        </w:rPr>
        <w:t xml:space="preserve">. Todas las propuestas deben enviarse antes del </w:t>
      </w:r>
      <w:r w:rsidR="005B35CD" w:rsidRPr="00065267">
        <w:rPr>
          <w:b/>
          <w:bCs/>
          <w:strike/>
          <w:color w:val="333333"/>
          <w:lang w:val="es-AR"/>
        </w:rPr>
        <w:t>12</w:t>
      </w:r>
      <w:r w:rsidRPr="00065267">
        <w:rPr>
          <w:b/>
          <w:bCs/>
          <w:strike/>
          <w:color w:val="333333"/>
          <w:lang w:val="es-AR"/>
        </w:rPr>
        <w:t xml:space="preserve"> de abril</w:t>
      </w:r>
      <w:r w:rsidRPr="00365080">
        <w:rPr>
          <w:b/>
          <w:bCs/>
          <w:color w:val="333333"/>
          <w:lang w:val="es-AR"/>
        </w:rPr>
        <w:t xml:space="preserve"> </w:t>
      </w:r>
      <w:r w:rsidR="00065267" w:rsidRPr="00065267">
        <w:rPr>
          <w:b/>
          <w:bCs/>
          <w:color w:val="FF0000"/>
          <w:lang w:val="es-AR"/>
        </w:rPr>
        <w:t xml:space="preserve">26 de abril </w:t>
      </w:r>
      <w:r w:rsidRPr="00065267">
        <w:rPr>
          <w:b/>
          <w:bCs/>
          <w:color w:val="FF0000"/>
          <w:lang w:val="es-AR"/>
        </w:rPr>
        <w:t>de 2026, 23:59 GMT+1</w:t>
      </w:r>
      <w:r w:rsidRPr="00365080">
        <w:rPr>
          <w:color w:val="333333"/>
          <w:lang w:val="es-AR"/>
        </w:rPr>
        <w:t>, a través de la plataforma en línea. No se aceptarán presentaciones por correo electrónico. Las presentaciones recibidas después de la fecha límite no serán aceptadas. Todas las presentaciones recibirán un acuse de recibo automático del sistema.</w:t>
      </w:r>
      <w:r w:rsidR="008273BA" w:rsidRPr="00365080">
        <w:rPr>
          <w:lang w:val="es-AR"/>
        </w:rPr>
        <w:t xml:space="preserve"> </w:t>
      </w:r>
    </w:p>
    <w:p w14:paraId="61CA3858" w14:textId="5853E8D2" w:rsidR="005F40DC" w:rsidRPr="00365080" w:rsidRDefault="00590F36" w:rsidP="008E4801">
      <w:pPr>
        <w:spacing w:before="60" w:after="120"/>
        <w:rPr>
          <w:color w:val="333333"/>
          <w:lang w:val="es-AR"/>
        </w:rPr>
      </w:pPr>
      <w:r w:rsidRPr="00365080">
        <w:rPr>
          <w:color w:val="333333"/>
          <w:lang w:val="es-AR"/>
        </w:rPr>
        <w:t xml:space="preserve">Todos/as los/las solicitantes recibirán una respuesta escrita confirmando si su propuesta ha sido seleccionada o no. Las notificaciones se enviarán el </w:t>
      </w:r>
      <w:r w:rsidR="005B35CD" w:rsidRPr="00065267">
        <w:rPr>
          <w:b/>
          <w:bCs/>
          <w:strike/>
          <w:color w:val="333333"/>
          <w:lang w:val="es-AR"/>
        </w:rPr>
        <w:t>11</w:t>
      </w:r>
      <w:r w:rsidRPr="00065267">
        <w:rPr>
          <w:b/>
          <w:bCs/>
          <w:strike/>
          <w:color w:val="333333"/>
          <w:lang w:val="es-AR"/>
        </w:rPr>
        <w:t xml:space="preserve"> de mayo</w:t>
      </w:r>
      <w:r w:rsidRPr="00365080">
        <w:rPr>
          <w:b/>
          <w:bCs/>
          <w:color w:val="333333"/>
          <w:lang w:val="es-AR"/>
        </w:rPr>
        <w:t xml:space="preserve"> </w:t>
      </w:r>
      <w:r w:rsidR="00065267" w:rsidRPr="00065267">
        <w:rPr>
          <w:b/>
          <w:bCs/>
          <w:color w:val="FF0000"/>
          <w:lang w:val="es-AR"/>
        </w:rPr>
        <w:t xml:space="preserve">25 de mayo </w:t>
      </w:r>
      <w:r w:rsidRPr="00065267">
        <w:rPr>
          <w:b/>
          <w:bCs/>
          <w:color w:val="FF0000"/>
          <w:lang w:val="es-AR"/>
        </w:rPr>
        <w:t>de 2026</w:t>
      </w:r>
      <w:r w:rsidRPr="00365080">
        <w:rPr>
          <w:color w:val="333333"/>
          <w:lang w:val="es-AR"/>
        </w:rPr>
        <w:t xml:space="preserve">. Los equipos cuyas propuestas no sean seleccionadas también serán notificados en esa fecha y, cuando </w:t>
      </w:r>
      <w:r w:rsidR="005470B9">
        <w:rPr>
          <w:color w:val="333333"/>
          <w:lang w:val="es-AR"/>
        </w:rPr>
        <w:t xml:space="preserve">se solicite y en tanto </w:t>
      </w:r>
      <w:r w:rsidRPr="00365080">
        <w:rPr>
          <w:color w:val="333333"/>
          <w:lang w:val="es-AR"/>
        </w:rPr>
        <w:t>sea posible, recibirán una breve retroalimentación sobre la evaluación de su propuesta.</w:t>
      </w:r>
    </w:p>
    <w:p w14:paraId="40398DD0" w14:textId="77777777" w:rsidR="00155739" w:rsidRPr="00365080" w:rsidRDefault="00155739" w:rsidP="008E4801">
      <w:pPr>
        <w:spacing w:before="60" w:after="120"/>
        <w:rPr>
          <w:lang w:val="es-A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55464" w:rsidRPr="00065267" w14:paraId="15876A23" w14:textId="77777777">
        <w:tc>
          <w:tcPr>
            <w:tcW w:w="9026" w:type="dxa"/>
            <w:tcBorders>
              <w:top w:val="single" w:sz="4" w:space="0" w:color="006BB6"/>
              <w:left w:val="single" w:sz="12" w:space="0" w:color="006BB6"/>
              <w:bottom w:val="none" w:sz="0" w:space="0" w:color="FFFFFF"/>
              <w:right w:val="none" w:sz="0" w:space="0" w:color="FFFFFF"/>
            </w:tcBorders>
            <w:shd w:val="clear" w:color="auto" w:fill="EBF4FB"/>
            <w:tcMar>
              <w:top w:w="120" w:type="dxa"/>
              <w:left w:w="160" w:type="dxa"/>
              <w:bottom w:w="120" w:type="dxa"/>
              <w:right w:w="160" w:type="dxa"/>
            </w:tcMar>
          </w:tcPr>
          <w:p w14:paraId="25E080D4" w14:textId="77777777" w:rsidR="005F40DC" w:rsidRPr="00365080" w:rsidRDefault="00590F36" w:rsidP="008E4801">
            <w:pPr>
              <w:spacing w:after="120"/>
              <w:rPr>
                <w:lang w:val="es-AR"/>
              </w:rPr>
            </w:pPr>
            <w:r w:rsidRPr="00365080">
              <w:rPr>
                <w:b/>
                <w:bCs/>
                <w:color w:val="006BB6"/>
                <w:lang w:val="es-AR"/>
              </w:rPr>
              <w:t>Importante: las propuestas son visiones de investigación, no protocolos finales</w:t>
            </w:r>
          </w:p>
          <w:p w14:paraId="30BB1E55" w14:textId="7AFBF165" w:rsidR="005F40DC" w:rsidRPr="00365080" w:rsidRDefault="00590F36" w:rsidP="008E4801">
            <w:pPr>
              <w:spacing w:before="40" w:after="120"/>
              <w:rPr>
                <w:lang w:val="es-AR"/>
              </w:rPr>
            </w:pPr>
            <w:r w:rsidRPr="00365080">
              <w:rPr>
                <w:color w:val="333333"/>
                <w:lang w:val="es-AR"/>
              </w:rPr>
              <w:t xml:space="preserve">Los equipos seleccionados desarrollarán colectivamente un único protocolo de investigación compartido en el Taller de </w:t>
            </w:r>
            <w:r w:rsidR="007425EF" w:rsidRPr="00365080">
              <w:rPr>
                <w:color w:val="333333"/>
                <w:lang w:val="es-AR"/>
              </w:rPr>
              <w:t>d</w:t>
            </w:r>
            <w:r w:rsidRPr="00365080">
              <w:rPr>
                <w:color w:val="333333"/>
                <w:lang w:val="es-AR"/>
              </w:rPr>
              <w:t xml:space="preserve">esarrollo de </w:t>
            </w:r>
            <w:r w:rsidR="007425EF" w:rsidRPr="00365080">
              <w:rPr>
                <w:color w:val="333333"/>
                <w:lang w:val="es-AR"/>
              </w:rPr>
              <w:t>p</w:t>
            </w:r>
            <w:r w:rsidRPr="00365080">
              <w:rPr>
                <w:color w:val="333333"/>
                <w:lang w:val="es-AR"/>
              </w:rPr>
              <w:t>rotocolo (</w:t>
            </w:r>
            <w:r w:rsidR="005470B9">
              <w:rPr>
                <w:color w:val="333333"/>
                <w:lang w:val="es-AR"/>
              </w:rPr>
              <w:t>s</w:t>
            </w:r>
            <w:r w:rsidRPr="00365080">
              <w:rPr>
                <w:color w:val="333333"/>
                <w:lang w:val="es-AR"/>
              </w:rPr>
              <w:t xml:space="preserve">ección 4), </w:t>
            </w:r>
            <w:r w:rsidR="0038139E">
              <w:rPr>
                <w:color w:val="333333"/>
                <w:lang w:val="es-AR"/>
              </w:rPr>
              <w:t>a realizarse</w:t>
            </w:r>
            <w:r w:rsidRPr="00365080">
              <w:rPr>
                <w:color w:val="333333"/>
                <w:lang w:val="es-AR"/>
              </w:rPr>
              <w:t xml:space="preserve"> durante semana </w:t>
            </w:r>
            <w:r w:rsidR="0038139E">
              <w:rPr>
                <w:color w:val="333333"/>
                <w:lang w:val="es-AR"/>
              </w:rPr>
              <w:t>en</w:t>
            </w:r>
            <w:r w:rsidR="00626C94">
              <w:rPr>
                <w:color w:val="333333"/>
                <w:lang w:val="es-AR"/>
              </w:rPr>
              <w:t xml:space="preserve"> j</w:t>
            </w:r>
            <w:r w:rsidR="0038139E">
              <w:rPr>
                <w:color w:val="333333"/>
                <w:lang w:val="es-AR"/>
              </w:rPr>
              <w:t>ulio</w:t>
            </w:r>
            <w:r w:rsidR="00626C94">
              <w:rPr>
                <w:color w:val="333333"/>
                <w:lang w:val="es-AR"/>
              </w:rPr>
              <w:t xml:space="preserve"> de 2026</w:t>
            </w:r>
            <w:r w:rsidRPr="00365080">
              <w:rPr>
                <w:color w:val="333333"/>
                <w:lang w:val="es-AR"/>
              </w:rPr>
              <w:t>. Los/las solicitantes deben centrar su propuesta en demostrar la idoneidad del equipo, las alianzas comunitarias y la visión de investigación, y no en presentar una metodología completamente finalizada.</w:t>
            </w:r>
          </w:p>
        </w:tc>
      </w:tr>
    </w:tbl>
    <w:p w14:paraId="06FF9098" w14:textId="77777777" w:rsidR="005F40DC" w:rsidRPr="00365080" w:rsidRDefault="005F40DC" w:rsidP="008E4801">
      <w:pPr>
        <w:spacing w:after="120"/>
        <w:rPr>
          <w:lang w:val="es-A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55464" w:rsidRPr="00065267" w14:paraId="54FCB8E8" w14:textId="77777777">
        <w:tc>
          <w:tcPr>
            <w:tcW w:w="0" w:type="auto"/>
            <w:tcBorders>
              <w:top w:val="single" w:sz="4" w:space="0" w:color="006BB6"/>
              <w:left w:val="single" w:sz="12" w:space="0" w:color="006BB6"/>
              <w:bottom w:val="none" w:sz="0" w:space="0" w:color="FFFFFF"/>
              <w:right w:val="none" w:sz="0" w:space="0" w:color="FFFFFF"/>
            </w:tcBorders>
            <w:shd w:val="clear" w:color="auto" w:fill="EBF4FB"/>
            <w:tcMar>
              <w:top w:w="100" w:type="dxa"/>
              <w:left w:w="160" w:type="dxa"/>
              <w:bottom w:w="100" w:type="dxa"/>
              <w:right w:w="160" w:type="dxa"/>
            </w:tcMar>
          </w:tcPr>
          <w:p w14:paraId="155ABC76" w14:textId="36CFA9FB" w:rsidR="005F40DC" w:rsidRPr="00365080" w:rsidRDefault="00590F36" w:rsidP="008E4801">
            <w:pPr>
              <w:spacing w:after="120"/>
              <w:rPr>
                <w:lang w:val="es-AR"/>
              </w:rPr>
            </w:pPr>
            <w:r w:rsidRPr="00365080">
              <w:rPr>
                <w:b/>
                <w:bCs/>
                <w:color w:val="006BB6"/>
                <w:lang w:val="es-AR"/>
              </w:rPr>
              <w:t xml:space="preserve">Idioma de presentación: </w:t>
            </w:r>
            <w:r w:rsidRPr="00365080">
              <w:rPr>
                <w:color w:val="333333"/>
                <w:lang w:val="es-AR"/>
              </w:rPr>
              <w:t xml:space="preserve">Las propuestas pueden presentarse en inglés, francés o español. El formulario de solicitud está disponible en los </w:t>
            </w:r>
            <w:r w:rsidR="007425EF" w:rsidRPr="00365080">
              <w:rPr>
                <w:color w:val="333333"/>
                <w:lang w:val="es-AR"/>
              </w:rPr>
              <w:t>tres</w:t>
            </w:r>
            <w:r w:rsidRPr="00365080">
              <w:rPr>
                <w:color w:val="333333"/>
                <w:lang w:val="es-AR"/>
              </w:rPr>
              <w:t xml:space="preserve"> idiomas.</w:t>
            </w:r>
          </w:p>
        </w:tc>
      </w:tr>
    </w:tbl>
    <w:p w14:paraId="7E4E8567" w14:textId="77777777" w:rsidR="005F40DC" w:rsidRPr="00365080" w:rsidRDefault="005F40DC" w:rsidP="008E4801">
      <w:pPr>
        <w:spacing w:after="120"/>
        <w:rPr>
          <w:lang w:val="es-AR"/>
        </w:rPr>
      </w:pPr>
    </w:p>
    <w:p w14:paraId="696C1554" w14:textId="77777777" w:rsidR="00100FC7" w:rsidRPr="00365080" w:rsidRDefault="00100FC7" w:rsidP="00100FC7">
      <w:pPr>
        <w:spacing w:before="40" w:after="120"/>
        <w:rPr>
          <w:color w:val="333333"/>
          <w:lang w:val="es-AR"/>
        </w:rPr>
      </w:pPr>
      <w:r w:rsidRPr="00365080">
        <w:rPr>
          <w:color w:val="333333"/>
          <w:lang w:val="es-AR"/>
        </w:rPr>
        <w:t xml:space="preserve">La propuesta completa debe presentarse a través de la plataforma en línea. La plataforma incluye el formulario de solicitud (Partes I a V), que cubre todas las secciones de la propuesta, incluida la confirmación provisional del aval institucional. Además, los siguientes documentos </w:t>
      </w:r>
      <w:r w:rsidRPr="00F626C4">
        <w:rPr>
          <w:color w:val="333333"/>
          <w:u w:val="single"/>
          <w:lang w:val="es-AR"/>
        </w:rPr>
        <w:t>deben cargarse directamente en la plataforma</w:t>
      </w:r>
      <w:r w:rsidRPr="00365080">
        <w:rPr>
          <w:color w:val="333333"/>
          <w:lang w:val="es-AR"/>
        </w:rPr>
        <w:t xml:space="preserve"> antes de la presentación:</w:t>
      </w:r>
    </w:p>
    <w:p w14:paraId="786689EE" w14:textId="589DD9E5" w:rsidR="00100FC7" w:rsidRPr="00365080" w:rsidRDefault="00100FC7" w:rsidP="00100FC7">
      <w:pPr>
        <w:pStyle w:val="ListParagraph"/>
        <w:numPr>
          <w:ilvl w:val="0"/>
          <w:numId w:val="3"/>
        </w:numPr>
        <w:spacing w:before="40" w:after="120"/>
        <w:rPr>
          <w:color w:val="333333"/>
          <w:lang w:val="es-AR"/>
        </w:rPr>
      </w:pPr>
      <w:r w:rsidRPr="00F626C4">
        <w:rPr>
          <w:i/>
          <w:iCs/>
          <w:color w:val="333333"/>
          <w:u w:val="single"/>
          <w:lang w:val="es-AR"/>
        </w:rPr>
        <w:t>Presupuesto</w:t>
      </w:r>
      <w:r w:rsidRPr="00365080">
        <w:rPr>
          <w:color w:val="333333"/>
          <w:lang w:val="es-AR"/>
        </w:rPr>
        <w:t xml:space="preserve">: </w:t>
      </w:r>
      <w:r w:rsidR="00F626C4">
        <w:rPr>
          <w:color w:val="333333"/>
          <w:lang w:val="es-AR"/>
        </w:rPr>
        <w:t>un presupuesto para la</w:t>
      </w:r>
      <w:r w:rsidR="00995D42">
        <w:rPr>
          <w:color w:val="333333"/>
          <w:lang w:val="es-AR"/>
        </w:rPr>
        <w:t xml:space="preserve"> </w:t>
      </w:r>
      <w:r w:rsidR="00F626C4">
        <w:rPr>
          <w:color w:val="333333"/>
          <w:lang w:val="es-AR"/>
        </w:rPr>
        <w:t xml:space="preserve">implementación completa del estudio usando </w:t>
      </w:r>
      <w:r w:rsidRPr="00365080">
        <w:rPr>
          <w:color w:val="333333"/>
          <w:lang w:val="es-AR"/>
        </w:rPr>
        <w:t xml:space="preserve">la plantilla Excel </w:t>
      </w:r>
      <w:r w:rsidR="00995D42">
        <w:rPr>
          <w:color w:val="333333"/>
          <w:lang w:val="es-AR"/>
        </w:rPr>
        <w:t>provista en el sitio web de la OMS/HRP</w:t>
      </w:r>
      <w:r w:rsidRPr="00365080">
        <w:rPr>
          <w:color w:val="333333"/>
          <w:lang w:val="es-AR"/>
        </w:rPr>
        <w:t>.</w:t>
      </w:r>
    </w:p>
    <w:p w14:paraId="10C6785C" w14:textId="603C360E" w:rsidR="00100FC7" w:rsidRPr="00365080" w:rsidRDefault="00100FC7" w:rsidP="00100FC7">
      <w:pPr>
        <w:pStyle w:val="ListParagraph"/>
        <w:numPr>
          <w:ilvl w:val="0"/>
          <w:numId w:val="3"/>
        </w:numPr>
        <w:spacing w:before="40" w:after="120"/>
        <w:rPr>
          <w:color w:val="333333"/>
          <w:lang w:val="es-AR"/>
        </w:rPr>
      </w:pPr>
      <w:r w:rsidRPr="00995D42">
        <w:rPr>
          <w:i/>
          <w:iCs/>
          <w:color w:val="333333"/>
          <w:u w:val="single"/>
          <w:lang w:val="es-AR"/>
        </w:rPr>
        <w:t>CV</w:t>
      </w:r>
      <w:r w:rsidRPr="00365080">
        <w:rPr>
          <w:color w:val="333333"/>
          <w:lang w:val="es-AR"/>
        </w:rPr>
        <w:t xml:space="preserve">: </w:t>
      </w:r>
      <w:r w:rsidR="00995D42">
        <w:rPr>
          <w:color w:val="333333"/>
          <w:lang w:val="es-AR"/>
        </w:rPr>
        <w:t>un breve</w:t>
      </w:r>
      <w:r w:rsidRPr="00365080">
        <w:rPr>
          <w:color w:val="333333"/>
          <w:lang w:val="es-AR"/>
        </w:rPr>
        <w:t xml:space="preserve"> CV para el/la investigador/a principal y los miembros clave del equipo, utilizando la plantilla </w:t>
      </w:r>
      <w:r w:rsidR="00D4728D">
        <w:rPr>
          <w:color w:val="333333"/>
          <w:lang w:val="es-AR"/>
        </w:rPr>
        <w:t>provista</w:t>
      </w:r>
      <w:r w:rsidRPr="00365080">
        <w:rPr>
          <w:color w:val="333333"/>
          <w:lang w:val="es-AR"/>
        </w:rPr>
        <w:t xml:space="preserve"> en el sitio web de la OMS/HRP.</w:t>
      </w:r>
    </w:p>
    <w:p w14:paraId="43D13B43" w14:textId="198CE17A" w:rsidR="005F40DC" w:rsidRPr="00365080" w:rsidRDefault="00100FC7" w:rsidP="00100FC7">
      <w:pPr>
        <w:pStyle w:val="ListParagraph"/>
        <w:numPr>
          <w:ilvl w:val="0"/>
          <w:numId w:val="3"/>
        </w:numPr>
        <w:spacing w:before="40" w:after="120"/>
        <w:rPr>
          <w:lang w:val="es-AR"/>
        </w:rPr>
      </w:pPr>
      <w:r w:rsidRPr="00995D42">
        <w:rPr>
          <w:i/>
          <w:iCs/>
          <w:color w:val="333333"/>
          <w:u w:val="single"/>
          <w:lang w:val="es-AR"/>
        </w:rPr>
        <w:t>Declaración de conflicto de intereses</w:t>
      </w:r>
      <w:r w:rsidRPr="00365080">
        <w:rPr>
          <w:color w:val="333333"/>
          <w:lang w:val="es-AR"/>
        </w:rPr>
        <w:t xml:space="preserve">: </w:t>
      </w:r>
      <w:r w:rsidR="00995D42">
        <w:rPr>
          <w:color w:val="333333"/>
          <w:lang w:val="es-AR"/>
        </w:rPr>
        <w:t>un formulario completo para el/la investigador/a principal y coinvestigador/a</w:t>
      </w:r>
      <w:r w:rsidR="00D4728D">
        <w:rPr>
          <w:color w:val="333333"/>
          <w:lang w:val="es-AR"/>
        </w:rPr>
        <w:t xml:space="preserve"> usando el </w:t>
      </w:r>
      <w:r w:rsidRPr="00365080">
        <w:rPr>
          <w:color w:val="333333"/>
          <w:lang w:val="es-AR"/>
        </w:rPr>
        <w:t xml:space="preserve">formulario </w:t>
      </w:r>
      <w:r w:rsidR="00D4728D">
        <w:rPr>
          <w:color w:val="333333"/>
          <w:lang w:val="es-AR"/>
        </w:rPr>
        <w:t>provisto en e</w:t>
      </w:r>
      <w:r w:rsidRPr="00365080">
        <w:rPr>
          <w:color w:val="333333"/>
          <w:lang w:val="es-AR"/>
        </w:rPr>
        <w:t>l sitio web de la OMS/HRP.</w:t>
      </w:r>
    </w:p>
    <w:p w14:paraId="6F2B8CA1" w14:textId="21AB18DD" w:rsidR="005F40DC" w:rsidRPr="00365080" w:rsidRDefault="00590F36" w:rsidP="008E4801">
      <w:pPr>
        <w:pStyle w:val="Heading2"/>
        <w:pBdr>
          <w:bottom w:val="single" w:sz="2" w:space="4" w:color="CCCCCC"/>
        </w:pBdr>
        <w:spacing w:after="120"/>
        <w:rPr>
          <w:lang w:val="es-AR"/>
        </w:rPr>
      </w:pPr>
      <w:r w:rsidRPr="00365080">
        <w:rPr>
          <w:lang w:val="es-AR"/>
        </w:rPr>
        <w:t>8.2 Preguntas y aclaraciones</w:t>
      </w:r>
    </w:p>
    <w:p w14:paraId="74BEF8B7" w14:textId="29988A9E" w:rsidR="005F40DC" w:rsidRPr="00365080" w:rsidRDefault="00590F36" w:rsidP="008E4801">
      <w:pPr>
        <w:spacing w:before="60" w:after="120"/>
        <w:rPr>
          <w:lang w:val="es-AR"/>
        </w:rPr>
      </w:pPr>
      <w:r w:rsidRPr="00365080">
        <w:rPr>
          <w:color w:val="333333"/>
          <w:lang w:val="es-AR"/>
        </w:rPr>
        <w:t xml:space="preserve">Un período abierto para preguntas se realizará del </w:t>
      </w:r>
      <w:r w:rsidR="005B35CD">
        <w:rPr>
          <w:b/>
          <w:bCs/>
          <w:color w:val="333333"/>
          <w:lang w:val="es-AR"/>
        </w:rPr>
        <w:t xml:space="preserve">14 de marzo al </w:t>
      </w:r>
      <w:r w:rsidR="00065267" w:rsidRPr="00065267">
        <w:rPr>
          <w:b/>
          <w:bCs/>
          <w:color w:val="FF0000"/>
          <w:lang w:val="es-AR"/>
        </w:rPr>
        <w:t xml:space="preserve">24 de abril </w:t>
      </w:r>
      <w:r w:rsidR="005B35CD" w:rsidRPr="00065267">
        <w:rPr>
          <w:b/>
          <w:bCs/>
          <w:strike/>
          <w:color w:val="333333"/>
          <w:lang w:val="es-AR"/>
        </w:rPr>
        <w:t>10 de abril</w:t>
      </w:r>
      <w:r w:rsidRPr="00065267">
        <w:rPr>
          <w:b/>
          <w:bCs/>
          <w:strike/>
          <w:color w:val="333333"/>
          <w:lang w:val="es-AR"/>
        </w:rPr>
        <w:t xml:space="preserve"> </w:t>
      </w:r>
      <w:r w:rsidRPr="00365080">
        <w:rPr>
          <w:b/>
          <w:bCs/>
          <w:color w:val="333333"/>
          <w:lang w:val="es-AR"/>
        </w:rPr>
        <w:t>de 2026</w:t>
      </w:r>
      <w:r w:rsidRPr="00365080">
        <w:rPr>
          <w:color w:val="333333"/>
          <w:lang w:val="es-AR"/>
        </w:rPr>
        <w:t xml:space="preserve">. Las preguntas deben enviarse por correo electrónico a </w:t>
      </w:r>
      <w:hyperlink r:id="rId13" w:history="1">
        <w:r w:rsidR="00BC73B8" w:rsidRPr="00365080">
          <w:rPr>
            <w:rStyle w:val="Hyperlink"/>
            <w:lang w:val="es-AR"/>
          </w:rPr>
          <w:t>srhmph@who.int</w:t>
        </w:r>
      </w:hyperlink>
      <w:r w:rsidR="00BC73B8" w:rsidRPr="00365080">
        <w:rPr>
          <w:color w:val="333333"/>
          <w:lang w:val="es-AR"/>
        </w:rPr>
        <w:t xml:space="preserve"> </w:t>
      </w:r>
      <w:r w:rsidRPr="00365080">
        <w:rPr>
          <w:color w:val="333333"/>
          <w:lang w:val="es-AR"/>
        </w:rPr>
        <w:t>con el asunto “</w:t>
      </w:r>
      <w:r w:rsidRPr="00365080">
        <w:rPr>
          <w:b/>
          <w:bCs/>
          <w:color w:val="333333"/>
          <w:lang w:val="es-AR"/>
        </w:rPr>
        <w:t>SDSR-Clima &amp; SDSR – Pregunta</w:t>
      </w:r>
      <w:r w:rsidRPr="00365080">
        <w:rPr>
          <w:color w:val="333333"/>
          <w:lang w:val="es-AR"/>
        </w:rPr>
        <w:t xml:space="preserve">”. Las respuestas a las preguntas frecuentes se publicarán en el sitio web de la OMS/HRP y se compartirán con todos/as los/las solicitantes. Las respuestas individuales a preguntas enviadas después del </w:t>
      </w:r>
      <w:r w:rsidR="005B35CD">
        <w:rPr>
          <w:color w:val="333333"/>
          <w:lang w:val="es-AR"/>
        </w:rPr>
        <w:t>10 de abril</w:t>
      </w:r>
      <w:r w:rsidRPr="00365080">
        <w:rPr>
          <w:color w:val="333333"/>
          <w:lang w:val="es-AR"/>
        </w:rPr>
        <w:t xml:space="preserve"> de 2026 no pueden garantizarse.</w:t>
      </w:r>
      <w:r w:rsidR="00BC73B8" w:rsidRPr="00365080">
        <w:rPr>
          <w:lang w:val="es-AR"/>
        </w:rPr>
        <w:t xml:space="preserve"> </w:t>
      </w:r>
    </w:p>
    <w:p w14:paraId="366BB82F" w14:textId="77777777" w:rsidR="005F40DC" w:rsidRPr="00365080" w:rsidRDefault="00590F36" w:rsidP="008E4801">
      <w:pPr>
        <w:pStyle w:val="Heading1"/>
        <w:rPr>
          <w:lang w:val="es-AR"/>
        </w:rPr>
      </w:pPr>
      <w:r w:rsidRPr="00365080">
        <w:rPr>
          <w:lang w:val="es-AR"/>
        </w:rPr>
        <w:t>9. Cronograma</w:t>
      </w:r>
    </w:p>
    <w:p w14:paraId="5D85A589" w14:textId="77777777" w:rsidR="005F40DC" w:rsidRPr="00365080" w:rsidRDefault="005F40DC" w:rsidP="008E4801">
      <w:pPr>
        <w:spacing w:after="120"/>
        <w:rPr>
          <w:lang w:val="es-A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0"/>
        <w:gridCol w:w="3826"/>
      </w:tblGrid>
      <w:tr w:rsidR="0078037C" w:rsidRPr="00365080" w14:paraId="4D3CFCFB" w14:textId="77777777">
        <w:trPr>
          <w:tblHeader/>
        </w:trPr>
        <w:tc>
          <w:tcPr>
            <w:tcW w:w="5200" w:type="dxa"/>
            <w:tcBorders>
              <w:top w:val="none" w:sz="0" w:space="0" w:color="FFFFFF"/>
              <w:left w:val="none" w:sz="0" w:space="0" w:color="FFFFFF"/>
              <w:bottom w:val="none" w:sz="0" w:space="0" w:color="FFFFFF"/>
              <w:right w:val="none" w:sz="0" w:space="0" w:color="FFFFFF"/>
            </w:tcBorders>
            <w:shd w:val="clear" w:color="auto" w:fill="006BB6"/>
            <w:tcMar>
              <w:top w:w="80" w:type="dxa"/>
              <w:left w:w="120" w:type="dxa"/>
              <w:bottom w:w="80" w:type="dxa"/>
              <w:right w:w="120" w:type="dxa"/>
            </w:tcMar>
          </w:tcPr>
          <w:p w14:paraId="6B2C5707" w14:textId="789FFF58" w:rsidR="005F40DC" w:rsidRPr="00365080" w:rsidRDefault="00590F36" w:rsidP="008E4801">
            <w:pPr>
              <w:spacing w:after="120"/>
              <w:rPr>
                <w:lang w:val="es-AR"/>
              </w:rPr>
            </w:pPr>
            <w:r w:rsidRPr="00365080">
              <w:rPr>
                <w:b/>
                <w:bCs/>
                <w:color w:val="FFFFFF"/>
                <w:lang w:val="es-AR"/>
              </w:rPr>
              <w:t>Hito</w:t>
            </w:r>
            <w:r w:rsidR="002F4DBF">
              <w:rPr>
                <w:b/>
                <w:bCs/>
                <w:color w:val="FFFFFF"/>
                <w:lang w:val="es-AR"/>
              </w:rPr>
              <w:t>*</w:t>
            </w:r>
          </w:p>
        </w:tc>
        <w:tc>
          <w:tcPr>
            <w:tcW w:w="3826" w:type="dxa"/>
            <w:tcBorders>
              <w:top w:val="none" w:sz="0" w:space="0" w:color="FFFFFF"/>
              <w:left w:val="none" w:sz="0" w:space="0" w:color="FFFFFF"/>
              <w:bottom w:val="none" w:sz="0" w:space="0" w:color="FFFFFF"/>
              <w:right w:val="none" w:sz="0" w:space="0" w:color="FFFFFF"/>
            </w:tcBorders>
            <w:shd w:val="clear" w:color="auto" w:fill="006BB6"/>
            <w:tcMar>
              <w:top w:w="80" w:type="dxa"/>
              <w:left w:w="120" w:type="dxa"/>
              <w:bottom w:w="80" w:type="dxa"/>
              <w:right w:w="120" w:type="dxa"/>
            </w:tcMar>
          </w:tcPr>
          <w:p w14:paraId="1F1394B7" w14:textId="77777777" w:rsidR="005F40DC" w:rsidRPr="00365080" w:rsidRDefault="00590F36" w:rsidP="008E4801">
            <w:pPr>
              <w:spacing w:after="120"/>
              <w:rPr>
                <w:lang w:val="es-AR"/>
              </w:rPr>
            </w:pPr>
            <w:r w:rsidRPr="00365080">
              <w:rPr>
                <w:b/>
                <w:bCs/>
                <w:color w:val="FFFFFF"/>
                <w:lang w:val="es-AR"/>
              </w:rPr>
              <w:t>Fecha</w:t>
            </w:r>
          </w:p>
        </w:tc>
      </w:tr>
      <w:tr w:rsidR="0078037C" w:rsidRPr="00365080" w14:paraId="16F4BB1D" w14:textId="77777777">
        <w:tc>
          <w:tcPr>
            <w:tcW w:w="5200"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37C2147B" w14:textId="77777777" w:rsidR="005F40DC" w:rsidRPr="00365080" w:rsidRDefault="00590F36" w:rsidP="008E4801">
            <w:pPr>
              <w:spacing w:after="120"/>
              <w:rPr>
                <w:lang w:val="es-AR"/>
              </w:rPr>
            </w:pPr>
            <w:r w:rsidRPr="00365080">
              <w:rPr>
                <w:color w:val="333333"/>
                <w:lang w:val="es-AR"/>
              </w:rPr>
              <w:t>Publicación de la convocatoria de propuestas</w:t>
            </w:r>
          </w:p>
        </w:tc>
        <w:tc>
          <w:tcPr>
            <w:tcW w:w="3826"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2B9890B8" w14:textId="15270B63" w:rsidR="005F40DC" w:rsidRPr="00365080" w:rsidRDefault="005B35CD" w:rsidP="008E4801">
            <w:pPr>
              <w:spacing w:after="120"/>
              <w:rPr>
                <w:lang w:val="es-AR"/>
              </w:rPr>
            </w:pPr>
            <w:r>
              <w:rPr>
                <w:color w:val="333333"/>
                <w:lang w:val="es-AR"/>
              </w:rPr>
              <w:t>13</w:t>
            </w:r>
            <w:r w:rsidR="00590F36" w:rsidRPr="00365080">
              <w:rPr>
                <w:color w:val="333333"/>
                <w:lang w:val="es-AR"/>
              </w:rPr>
              <w:t xml:space="preserve"> </w:t>
            </w:r>
            <w:r w:rsidR="00AB29F2">
              <w:rPr>
                <w:color w:val="333333"/>
                <w:lang w:val="es-AR"/>
              </w:rPr>
              <w:t>de marzo de</w:t>
            </w:r>
            <w:r w:rsidR="00590F36" w:rsidRPr="00365080">
              <w:rPr>
                <w:color w:val="333333"/>
                <w:lang w:val="es-AR"/>
              </w:rPr>
              <w:t xml:space="preserve"> 2026</w:t>
            </w:r>
          </w:p>
        </w:tc>
      </w:tr>
      <w:tr w:rsidR="0078037C" w:rsidRPr="00065267" w14:paraId="6F580EC2" w14:textId="77777777">
        <w:tc>
          <w:tcPr>
            <w:tcW w:w="52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45BAF9F6" w14:textId="77777777" w:rsidR="005F40DC" w:rsidRPr="00365080" w:rsidRDefault="00590F36" w:rsidP="008E4801">
            <w:pPr>
              <w:spacing w:after="120"/>
              <w:rPr>
                <w:lang w:val="es-AR"/>
              </w:rPr>
            </w:pPr>
            <w:r w:rsidRPr="00365080">
              <w:rPr>
                <w:color w:val="333333"/>
                <w:lang w:val="es-AR"/>
              </w:rPr>
              <w:t>Período abierto para preguntas</w:t>
            </w:r>
          </w:p>
        </w:tc>
        <w:tc>
          <w:tcPr>
            <w:tcW w:w="3826"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31143593" w14:textId="5AAD07D8" w:rsidR="005F40DC" w:rsidRPr="00065267" w:rsidRDefault="00590F36" w:rsidP="008E4801">
            <w:pPr>
              <w:spacing w:after="120"/>
              <w:rPr>
                <w:color w:val="FF0000"/>
                <w:lang w:val="es-AR"/>
              </w:rPr>
            </w:pPr>
            <w:r w:rsidRPr="00365080">
              <w:rPr>
                <w:color w:val="333333"/>
                <w:lang w:val="es-AR"/>
              </w:rPr>
              <w:t>1</w:t>
            </w:r>
            <w:r w:rsidR="005B35CD">
              <w:rPr>
                <w:color w:val="333333"/>
                <w:lang w:val="es-AR"/>
              </w:rPr>
              <w:t>4 de marzo</w:t>
            </w:r>
            <w:r w:rsidR="002F4DBF">
              <w:rPr>
                <w:color w:val="333333"/>
                <w:lang w:val="es-AR"/>
              </w:rPr>
              <w:t xml:space="preserve"> al </w:t>
            </w:r>
            <w:r w:rsidR="002F4DBF" w:rsidRPr="00065267">
              <w:rPr>
                <w:strike/>
                <w:color w:val="333333"/>
                <w:lang w:val="es-AR"/>
              </w:rPr>
              <w:t>10 de abril</w:t>
            </w:r>
            <w:r w:rsidR="00AB29F2" w:rsidRPr="00065267">
              <w:rPr>
                <w:strike/>
                <w:color w:val="333333"/>
                <w:lang w:val="es-AR"/>
              </w:rPr>
              <w:t xml:space="preserve"> de</w:t>
            </w:r>
            <w:r w:rsidRPr="00065267">
              <w:rPr>
                <w:strike/>
                <w:color w:val="333333"/>
                <w:lang w:val="es-AR"/>
              </w:rPr>
              <w:t xml:space="preserve"> 2026</w:t>
            </w:r>
            <w:r w:rsidR="00065267">
              <w:rPr>
                <w:color w:val="FF0000"/>
                <w:lang w:val="es-AR"/>
              </w:rPr>
              <w:t xml:space="preserve"> 24 de abril de 2026</w:t>
            </w:r>
          </w:p>
        </w:tc>
      </w:tr>
      <w:tr w:rsidR="0078037C" w:rsidRPr="00365080" w14:paraId="253EE218" w14:textId="77777777">
        <w:tc>
          <w:tcPr>
            <w:tcW w:w="5200"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203B17D3" w14:textId="77777777" w:rsidR="005F40DC" w:rsidRPr="00365080" w:rsidRDefault="00590F36" w:rsidP="008E4801">
            <w:pPr>
              <w:spacing w:after="120"/>
              <w:rPr>
                <w:lang w:val="es-AR"/>
              </w:rPr>
            </w:pPr>
            <w:r w:rsidRPr="00365080">
              <w:rPr>
                <w:color w:val="333333"/>
                <w:lang w:val="es-AR"/>
              </w:rPr>
              <w:t>Fecha límite de presentación</w:t>
            </w:r>
          </w:p>
        </w:tc>
        <w:tc>
          <w:tcPr>
            <w:tcW w:w="3826"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160DA9FC" w14:textId="1441ACDC" w:rsidR="005F40DC" w:rsidRPr="00365080" w:rsidRDefault="002F4DBF" w:rsidP="008E4801">
            <w:pPr>
              <w:spacing w:after="120"/>
              <w:rPr>
                <w:lang w:val="es-AR"/>
              </w:rPr>
            </w:pPr>
            <w:r w:rsidRPr="002D1D56">
              <w:rPr>
                <w:strike/>
                <w:color w:val="333333"/>
                <w:lang w:val="es-AR"/>
              </w:rPr>
              <w:t>12 de</w:t>
            </w:r>
            <w:r w:rsidR="00AB29F2" w:rsidRPr="002D1D56">
              <w:rPr>
                <w:strike/>
                <w:color w:val="333333"/>
                <w:lang w:val="es-AR"/>
              </w:rPr>
              <w:t xml:space="preserve"> abril de</w:t>
            </w:r>
            <w:r w:rsidR="00590F36" w:rsidRPr="002D1D56">
              <w:rPr>
                <w:strike/>
                <w:color w:val="333333"/>
                <w:lang w:val="es-AR"/>
              </w:rPr>
              <w:t xml:space="preserve"> 2026</w:t>
            </w:r>
            <w:r w:rsidR="002D1D56">
              <w:rPr>
                <w:color w:val="333333"/>
                <w:lang w:val="es-AR"/>
              </w:rPr>
              <w:t xml:space="preserve"> </w:t>
            </w:r>
            <w:r w:rsidR="002D1D56" w:rsidRPr="002D1D56">
              <w:rPr>
                <w:color w:val="FF0000"/>
                <w:lang w:val="es-AR"/>
              </w:rPr>
              <w:t>26 de abril de 2026</w:t>
            </w:r>
          </w:p>
        </w:tc>
      </w:tr>
      <w:tr w:rsidR="0078037C" w:rsidRPr="00065267" w14:paraId="58639824" w14:textId="77777777">
        <w:tc>
          <w:tcPr>
            <w:tcW w:w="52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7874795F" w14:textId="77777777" w:rsidR="005F40DC" w:rsidRPr="00365080" w:rsidRDefault="00590F36" w:rsidP="008E4801">
            <w:pPr>
              <w:spacing w:after="120"/>
              <w:rPr>
                <w:lang w:val="es-AR"/>
              </w:rPr>
            </w:pPr>
            <w:r w:rsidRPr="00365080">
              <w:rPr>
                <w:color w:val="333333"/>
                <w:lang w:val="es-AR"/>
              </w:rPr>
              <w:t>Evaluación de propuestas</w:t>
            </w:r>
          </w:p>
        </w:tc>
        <w:tc>
          <w:tcPr>
            <w:tcW w:w="3826"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755CB35C" w14:textId="77777777" w:rsidR="002D1D56" w:rsidRPr="002D1D56" w:rsidRDefault="002F4DBF" w:rsidP="008E4801">
            <w:pPr>
              <w:spacing w:after="120"/>
              <w:rPr>
                <w:strike/>
                <w:color w:val="333333"/>
                <w:lang w:val="es-AR"/>
              </w:rPr>
            </w:pPr>
            <w:r w:rsidRPr="002D1D56">
              <w:rPr>
                <w:strike/>
                <w:color w:val="333333"/>
                <w:lang w:val="es-AR"/>
              </w:rPr>
              <w:t>13 de abril al 8 de mayo</w:t>
            </w:r>
            <w:r w:rsidR="00AB29F2" w:rsidRPr="002D1D56">
              <w:rPr>
                <w:strike/>
                <w:color w:val="333333"/>
                <w:lang w:val="es-AR"/>
              </w:rPr>
              <w:t xml:space="preserve"> de</w:t>
            </w:r>
            <w:r w:rsidR="00590F36" w:rsidRPr="002D1D56">
              <w:rPr>
                <w:strike/>
                <w:color w:val="333333"/>
                <w:lang w:val="es-AR"/>
              </w:rPr>
              <w:t xml:space="preserve"> 2026</w:t>
            </w:r>
            <w:r w:rsidR="002D1D56" w:rsidRPr="002D1D56">
              <w:rPr>
                <w:strike/>
                <w:color w:val="333333"/>
                <w:lang w:val="es-AR"/>
              </w:rPr>
              <w:t xml:space="preserve"> </w:t>
            </w:r>
          </w:p>
          <w:p w14:paraId="27613CBB" w14:textId="0C2B54B1" w:rsidR="005F40DC" w:rsidRPr="00365080" w:rsidRDefault="002D1D56" w:rsidP="008E4801">
            <w:pPr>
              <w:spacing w:after="120"/>
              <w:rPr>
                <w:lang w:val="es-AR"/>
              </w:rPr>
            </w:pPr>
            <w:r w:rsidRPr="002D1D56">
              <w:rPr>
                <w:color w:val="FF0000"/>
                <w:lang w:val="es-AR"/>
              </w:rPr>
              <w:t>27 de abril al 22 de mayo de 2026</w:t>
            </w:r>
          </w:p>
        </w:tc>
      </w:tr>
      <w:tr w:rsidR="0078037C" w:rsidRPr="002D1D56" w14:paraId="6A6A316A" w14:textId="77777777">
        <w:tc>
          <w:tcPr>
            <w:tcW w:w="5200"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7FD07E7B" w14:textId="77777777" w:rsidR="005F40DC" w:rsidRPr="00365080" w:rsidRDefault="00590F36" w:rsidP="008E4801">
            <w:pPr>
              <w:spacing w:after="120"/>
              <w:rPr>
                <w:lang w:val="es-AR"/>
              </w:rPr>
            </w:pPr>
            <w:r w:rsidRPr="00365080">
              <w:rPr>
                <w:color w:val="333333"/>
                <w:lang w:val="es-AR"/>
              </w:rPr>
              <w:t>Anuncio de propuestas seleccionadas</w:t>
            </w:r>
          </w:p>
        </w:tc>
        <w:tc>
          <w:tcPr>
            <w:tcW w:w="3826"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10D51647" w14:textId="77777777" w:rsidR="002D1D56" w:rsidRPr="002D1D56" w:rsidRDefault="002F4DBF" w:rsidP="008E4801">
            <w:pPr>
              <w:spacing w:after="120"/>
              <w:rPr>
                <w:strike/>
                <w:color w:val="333333"/>
                <w:lang w:val="es-AR"/>
              </w:rPr>
            </w:pPr>
            <w:r w:rsidRPr="002D1D56">
              <w:rPr>
                <w:strike/>
                <w:color w:val="333333"/>
                <w:lang w:val="es-AR"/>
              </w:rPr>
              <w:t>11</w:t>
            </w:r>
            <w:r w:rsidR="00590F36" w:rsidRPr="002D1D56">
              <w:rPr>
                <w:strike/>
                <w:color w:val="333333"/>
                <w:lang w:val="es-AR"/>
              </w:rPr>
              <w:t xml:space="preserve"> </w:t>
            </w:r>
            <w:r w:rsidR="00AB29F2" w:rsidRPr="002D1D56">
              <w:rPr>
                <w:strike/>
                <w:color w:val="333333"/>
                <w:lang w:val="es-AR"/>
              </w:rPr>
              <w:t>de mayo de</w:t>
            </w:r>
            <w:r w:rsidR="00590F36" w:rsidRPr="002D1D56">
              <w:rPr>
                <w:strike/>
                <w:color w:val="333333"/>
                <w:lang w:val="es-AR"/>
              </w:rPr>
              <w:t xml:space="preserve"> 2026</w:t>
            </w:r>
            <w:r w:rsidR="002D1D56" w:rsidRPr="002D1D56">
              <w:rPr>
                <w:strike/>
                <w:color w:val="333333"/>
                <w:lang w:val="es-AR"/>
              </w:rPr>
              <w:t xml:space="preserve"> </w:t>
            </w:r>
          </w:p>
          <w:p w14:paraId="7C9139FA" w14:textId="29AA99A5" w:rsidR="005F40DC" w:rsidRPr="00365080" w:rsidRDefault="002D1D56" w:rsidP="008E4801">
            <w:pPr>
              <w:spacing w:after="120"/>
              <w:rPr>
                <w:lang w:val="es-AR"/>
              </w:rPr>
            </w:pPr>
            <w:r w:rsidRPr="002D1D56">
              <w:rPr>
                <w:color w:val="FF0000"/>
                <w:lang w:val="es-AR"/>
              </w:rPr>
              <w:t>25 de mayo de 2026</w:t>
            </w:r>
          </w:p>
        </w:tc>
      </w:tr>
      <w:tr w:rsidR="0078037C" w:rsidRPr="00065267" w14:paraId="4953C035" w14:textId="77777777">
        <w:tc>
          <w:tcPr>
            <w:tcW w:w="52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06F6AA9E" w14:textId="2D13BC78" w:rsidR="005F40DC" w:rsidRPr="00365080" w:rsidRDefault="00590F36" w:rsidP="008E4801">
            <w:pPr>
              <w:spacing w:after="120"/>
              <w:rPr>
                <w:lang w:val="es-AR"/>
              </w:rPr>
            </w:pPr>
            <w:r w:rsidRPr="00365080">
              <w:rPr>
                <w:color w:val="333333"/>
                <w:lang w:val="es-AR"/>
              </w:rPr>
              <w:lastRenderedPageBreak/>
              <w:t>Taller de desarrollo de protocolo</w:t>
            </w:r>
          </w:p>
        </w:tc>
        <w:tc>
          <w:tcPr>
            <w:tcW w:w="3826"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3FFC3395" w14:textId="0CAD8A51" w:rsidR="005F40DC" w:rsidRPr="00365080" w:rsidRDefault="00AB29F2" w:rsidP="008E4801">
            <w:pPr>
              <w:spacing w:after="120"/>
              <w:rPr>
                <w:lang w:val="es-AR"/>
              </w:rPr>
            </w:pPr>
            <w:r>
              <w:rPr>
                <w:color w:val="333333"/>
                <w:lang w:val="es-AR"/>
              </w:rPr>
              <w:t xml:space="preserve">Una semana </w:t>
            </w:r>
            <w:r w:rsidR="002F4DBF">
              <w:rPr>
                <w:color w:val="333333"/>
                <w:lang w:val="es-AR"/>
              </w:rPr>
              <w:t>en</w:t>
            </w:r>
            <w:r>
              <w:rPr>
                <w:color w:val="333333"/>
                <w:lang w:val="es-AR"/>
              </w:rPr>
              <w:t xml:space="preserve"> julio de </w:t>
            </w:r>
            <w:r w:rsidR="00195AE7" w:rsidRPr="00365080">
              <w:rPr>
                <w:color w:val="333333"/>
                <w:lang w:val="es-AR"/>
              </w:rPr>
              <w:t>2026</w:t>
            </w:r>
          </w:p>
        </w:tc>
      </w:tr>
      <w:tr w:rsidR="0078037C" w:rsidRPr="00365080" w14:paraId="615082DB" w14:textId="77777777">
        <w:tc>
          <w:tcPr>
            <w:tcW w:w="5200"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2D018C5E" w14:textId="77777777" w:rsidR="005F40DC" w:rsidRPr="00365080" w:rsidRDefault="00590F36" w:rsidP="008E4801">
            <w:pPr>
              <w:spacing w:after="120"/>
              <w:rPr>
                <w:lang w:val="es-AR"/>
              </w:rPr>
            </w:pPr>
            <w:r w:rsidRPr="00365080">
              <w:rPr>
                <w:color w:val="333333"/>
                <w:lang w:val="es-AR"/>
              </w:rPr>
              <w:t>Presentación para revisión científica de HRP/OMS</w:t>
            </w:r>
          </w:p>
        </w:tc>
        <w:tc>
          <w:tcPr>
            <w:tcW w:w="3826"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2F72C732" w14:textId="06CDE79B" w:rsidR="005F40DC" w:rsidRPr="00365080" w:rsidRDefault="00590F36" w:rsidP="008E4801">
            <w:pPr>
              <w:spacing w:after="120"/>
              <w:rPr>
                <w:lang w:val="es-AR"/>
              </w:rPr>
            </w:pPr>
            <w:r w:rsidRPr="00365080">
              <w:rPr>
                <w:color w:val="333333"/>
                <w:lang w:val="es-AR"/>
              </w:rPr>
              <w:t xml:space="preserve">Julio – septiembre </w:t>
            </w:r>
            <w:r w:rsidR="00AB29F2">
              <w:rPr>
                <w:color w:val="333333"/>
                <w:lang w:val="es-AR"/>
              </w:rPr>
              <w:t xml:space="preserve">de </w:t>
            </w:r>
            <w:r w:rsidRPr="00365080">
              <w:rPr>
                <w:color w:val="333333"/>
                <w:lang w:val="es-AR"/>
              </w:rPr>
              <w:t>2026</w:t>
            </w:r>
          </w:p>
        </w:tc>
      </w:tr>
      <w:tr w:rsidR="0078037C" w:rsidRPr="00365080" w14:paraId="1B09CBA3" w14:textId="77777777">
        <w:tc>
          <w:tcPr>
            <w:tcW w:w="52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68B90684" w14:textId="77777777" w:rsidR="005F40DC" w:rsidRPr="00365080" w:rsidRDefault="00590F36" w:rsidP="008E4801">
            <w:pPr>
              <w:spacing w:after="120"/>
              <w:rPr>
                <w:lang w:val="es-AR"/>
              </w:rPr>
            </w:pPr>
            <w:r w:rsidRPr="00365080">
              <w:rPr>
                <w:color w:val="333333"/>
                <w:lang w:val="es-AR"/>
              </w:rPr>
              <w:t>Revisión ética (OMS y nacional/local)</w:t>
            </w:r>
          </w:p>
        </w:tc>
        <w:tc>
          <w:tcPr>
            <w:tcW w:w="3826"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1D3BD291" w14:textId="0A855515" w:rsidR="005F40DC" w:rsidRPr="00365080" w:rsidRDefault="00590F36" w:rsidP="008E4801">
            <w:pPr>
              <w:spacing w:after="120"/>
              <w:rPr>
                <w:lang w:val="es-AR"/>
              </w:rPr>
            </w:pPr>
            <w:r w:rsidRPr="00365080">
              <w:rPr>
                <w:color w:val="333333"/>
                <w:lang w:val="es-AR"/>
              </w:rPr>
              <w:t xml:space="preserve">Septiembre – diciembre </w:t>
            </w:r>
            <w:r w:rsidR="00AB29F2">
              <w:rPr>
                <w:color w:val="333333"/>
                <w:lang w:val="es-AR"/>
              </w:rPr>
              <w:t xml:space="preserve">de </w:t>
            </w:r>
            <w:r w:rsidRPr="00365080">
              <w:rPr>
                <w:color w:val="333333"/>
                <w:lang w:val="es-AR"/>
              </w:rPr>
              <w:t>2026</w:t>
            </w:r>
          </w:p>
        </w:tc>
      </w:tr>
      <w:tr w:rsidR="0078037C" w:rsidRPr="00365080" w14:paraId="6AE2C114" w14:textId="77777777">
        <w:tc>
          <w:tcPr>
            <w:tcW w:w="5200"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61D5E037" w14:textId="77777777" w:rsidR="005F40DC" w:rsidRPr="00365080" w:rsidRDefault="00590F36" w:rsidP="008E4801">
            <w:pPr>
              <w:spacing w:after="120"/>
              <w:rPr>
                <w:lang w:val="es-AR"/>
              </w:rPr>
            </w:pPr>
            <w:r w:rsidRPr="00365080">
              <w:rPr>
                <w:color w:val="333333"/>
                <w:lang w:val="es-AR"/>
              </w:rPr>
              <w:t>Inicio de la recolección de datos</w:t>
            </w:r>
          </w:p>
        </w:tc>
        <w:tc>
          <w:tcPr>
            <w:tcW w:w="3826"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65077A11" w14:textId="75836F99" w:rsidR="005F40DC" w:rsidRPr="00365080" w:rsidRDefault="00590F36" w:rsidP="008E4801">
            <w:pPr>
              <w:spacing w:after="120"/>
              <w:rPr>
                <w:lang w:val="es-AR"/>
              </w:rPr>
            </w:pPr>
            <w:r w:rsidRPr="00365080">
              <w:rPr>
                <w:color w:val="333333"/>
                <w:lang w:val="es-AR"/>
              </w:rPr>
              <w:t>D</w:t>
            </w:r>
            <w:r w:rsidR="00AB29F2">
              <w:rPr>
                <w:color w:val="333333"/>
                <w:lang w:val="es-AR"/>
              </w:rPr>
              <w:t>i</w:t>
            </w:r>
            <w:r w:rsidRPr="00365080">
              <w:rPr>
                <w:color w:val="333333"/>
                <w:lang w:val="es-AR"/>
              </w:rPr>
              <w:t>c</w:t>
            </w:r>
            <w:r w:rsidR="00AB29F2">
              <w:rPr>
                <w:color w:val="333333"/>
                <w:lang w:val="es-AR"/>
              </w:rPr>
              <w:t>iembre de</w:t>
            </w:r>
            <w:r w:rsidRPr="00365080">
              <w:rPr>
                <w:color w:val="333333"/>
                <w:lang w:val="es-AR"/>
              </w:rPr>
              <w:t xml:space="preserve"> 2026</w:t>
            </w:r>
          </w:p>
        </w:tc>
      </w:tr>
      <w:tr w:rsidR="0078037C" w:rsidRPr="00365080" w14:paraId="76BEBC15" w14:textId="77777777">
        <w:tc>
          <w:tcPr>
            <w:tcW w:w="52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1816137B" w14:textId="693217D7" w:rsidR="005F40DC" w:rsidRPr="00365080" w:rsidRDefault="00590F36" w:rsidP="008E4801">
            <w:pPr>
              <w:spacing w:after="120"/>
              <w:rPr>
                <w:lang w:val="es-AR"/>
              </w:rPr>
            </w:pPr>
            <w:r w:rsidRPr="00365080">
              <w:rPr>
                <w:color w:val="333333"/>
                <w:lang w:val="es-AR"/>
              </w:rPr>
              <w:t>Fin de la recolección de datos</w:t>
            </w:r>
          </w:p>
        </w:tc>
        <w:tc>
          <w:tcPr>
            <w:tcW w:w="3826"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21F608DD" w14:textId="4E666705" w:rsidR="005F40DC" w:rsidRPr="00365080" w:rsidRDefault="00F52282" w:rsidP="008E4801">
            <w:pPr>
              <w:spacing w:after="120"/>
              <w:rPr>
                <w:lang w:val="es-AR"/>
              </w:rPr>
            </w:pPr>
            <w:r w:rsidRPr="00365080">
              <w:rPr>
                <w:color w:val="333333"/>
                <w:lang w:val="es-AR"/>
              </w:rPr>
              <w:t>May</w:t>
            </w:r>
            <w:r w:rsidR="00AB29F2">
              <w:rPr>
                <w:color w:val="333333"/>
                <w:lang w:val="es-AR"/>
              </w:rPr>
              <w:t>o de</w:t>
            </w:r>
            <w:r w:rsidRPr="00365080">
              <w:rPr>
                <w:color w:val="333333"/>
                <w:lang w:val="es-AR"/>
              </w:rPr>
              <w:t xml:space="preserve"> 2027</w:t>
            </w:r>
          </w:p>
        </w:tc>
      </w:tr>
      <w:tr w:rsidR="0078037C" w:rsidRPr="00365080" w14:paraId="4F00CA91" w14:textId="77777777">
        <w:tc>
          <w:tcPr>
            <w:tcW w:w="5200"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0E425B82" w14:textId="77777777" w:rsidR="005F40DC" w:rsidRPr="00365080" w:rsidRDefault="00590F36" w:rsidP="008E4801">
            <w:pPr>
              <w:spacing w:after="120"/>
              <w:rPr>
                <w:lang w:val="es-AR"/>
              </w:rPr>
            </w:pPr>
            <w:r w:rsidRPr="00365080">
              <w:rPr>
                <w:color w:val="333333"/>
                <w:lang w:val="es-AR"/>
              </w:rPr>
              <w:t>Limpieza y análisis de datos</w:t>
            </w:r>
          </w:p>
        </w:tc>
        <w:tc>
          <w:tcPr>
            <w:tcW w:w="3826" w:type="dxa"/>
            <w:tcBorders>
              <w:top w:val="none" w:sz="0" w:space="0" w:color="FFFFFF"/>
              <w:left w:val="none" w:sz="0" w:space="0" w:color="FFFFFF"/>
              <w:bottom w:val="none" w:sz="0" w:space="0" w:color="FFFFFF"/>
              <w:right w:val="none" w:sz="0" w:space="0" w:color="FFFFFF"/>
            </w:tcBorders>
            <w:shd w:val="clear" w:color="auto" w:fill="D6E8F5"/>
            <w:tcMar>
              <w:top w:w="80" w:type="dxa"/>
              <w:left w:w="120" w:type="dxa"/>
              <w:bottom w:w="80" w:type="dxa"/>
              <w:right w:w="120" w:type="dxa"/>
            </w:tcMar>
          </w:tcPr>
          <w:p w14:paraId="22BD30AB" w14:textId="1AC02584" w:rsidR="005F40DC" w:rsidRPr="00365080" w:rsidRDefault="00F52282" w:rsidP="008E4801">
            <w:pPr>
              <w:spacing w:after="120"/>
              <w:rPr>
                <w:lang w:val="es-AR"/>
              </w:rPr>
            </w:pPr>
            <w:r w:rsidRPr="00365080">
              <w:rPr>
                <w:color w:val="333333"/>
                <w:lang w:val="es-AR"/>
              </w:rPr>
              <w:t>Jun</w:t>
            </w:r>
            <w:r w:rsidR="00AB29F2">
              <w:rPr>
                <w:color w:val="333333"/>
                <w:lang w:val="es-AR"/>
              </w:rPr>
              <w:t>io</w:t>
            </w:r>
            <w:r w:rsidRPr="00365080">
              <w:rPr>
                <w:color w:val="333333"/>
                <w:lang w:val="es-AR"/>
              </w:rPr>
              <w:t xml:space="preserve"> – </w:t>
            </w:r>
            <w:r w:rsidR="00AB29F2">
              <w:rPr>
                <w:color w:val="333333"/>
                <w:lang w:val="es-AR"/>
              </w:rPr>
              <w:t>agosto de</w:t>
            </w:r>
            <w:r w:rsidRPr="00365080">
              <w:rPr>
                <w:color w:val="333333"/>
                <w:lang w:val="es-AR"/>
              </w:rPr>
              <w:t xml:space="preserve"> 2027</w:t>
            </w:r>
          </w:p>
        </w:tc>
      </w:tr>
      <w:tr w:rsidR="0078037C" w:rsidRPr="00365080" w14:paraId="0FD4B873" w14:textId="77777777">
        <w:tc>
          <w:tcPr>
            <w:tcW w:w="52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6C67EA39" w14:textId="77777777" w:rsidR="005F40DC" w:rsidRPr="00365080" w:rsidRDefault="00590F36" w:rsidP="008E4801">
            <w:pPr>
              <w:spacing w:after="120"/>
              <w:rPr>
                <w:lang w:val="es-AR"/>
              </w:rPr>
            </w:pPr>
            <w:r w:rsidRPr="00365080">
              <w:rPr>
                <w:color w:val="333333"/>
                <w:lang w:val="es-AR"/>
              </w:rPr>
              <w:t>Actividades de difusión</w:t>
            </w:r>
          </w:p>
        </w:tc>
        <w:tc>
          <w:tcPr>
            <w:tcW w:w="3826"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69918CD5" w14:textId="5E33AB00" w:rsidR="005F40DC" w:rsidRPr="00365080" w:rsidRDefault="00F52282" w:rsidP="008E4801">
            <w:pPr>
              <w:spacing w:after="120"/>
              <w:rPr>
                <w:lang w:val="es-AR"/>
              </w:rPr>
            </w:pPr>
            <w:r w:rsidRPr="00365080">
              <w:rPr>
                <w:color w:val="333333"/>
                <w:lang w:val="es-AR"/>
              </w:rPr>
              <w:t xml:space="preserve">Septiembre – diciembre </w:t>
            </w:r>
            <w:r w:rsidR="00AB29F2">
              <w:rPr>
                <w:color w:val="333333"/>
                <w:lang w:val="es-AR"/>
              </w:rPr>
              <w:t xml:space="preserve">de </w:t>
            </w:r>
            <w:r w:rsidRPr="00365080">
              <w:rPr>
                <w:color w:val="333333"/>
                <w:lang w:val="es-AR"/>
              </w:rPr>
              <w:t>2027</w:t>
            </w:r>
          </w:p>
        </w:tc>
      </w:tr>
    </w:tbl>
    <w:p w14:paraId="6EB4CAEC" w14:textId="7EE82009" w:rsidR="005F40DC" w:rsidRPr="00365080" w:rsidRDefault="00C033B8" w:rsidP="008E4801">
      <w:pPr>
        <w:spacing w:after="120"/>
        <w:rPr>
          <w:sz w:val="16"/>
          <w:szCs w:val="16"/>
          <w:lang w:val="es-AR"/>
        </w:rPr>
      </w:pPr>
      <w:r w:rsidRPr="00365080">
        <w:rPr>
          <w:sz w:val="16"/>
          <w:szCs w:val="16"/>
          <w:lang w:val="es-AR"/>
        </w:rPr>
        <w:t>*Indicativo, sujeto a cambios</w:t>
      </w:r>
    </w:p>
    <w:p w14:paraId="4B2B1CDD" w14:textId="77777777" w:rsidR="003E63FD" w:rsidRPr="00365080" w:rsidRDefault="003E63FD" w:rsidP="008E4801">
      <w:pPr>
        <w:pStyle w:val="Heading1"/>
        <w:rPr>
          <w:lang w:val="es-AR"/>
        </w:rPr>
      </w:pPr>
    </w:p>
    <w:p w14:paraId="28D9B3F3" w14:textId="6AFB7101" w:rsidR="005F40DC" w:rsidRPr="00365080" w:rsidRDefault="00590F36" w:rsidP="008E4801">
      <w:pPr>
        <w:pStyle w:val="Heading1"/>
        <w:rPr>
          <w:lang w:val="es-AR"/>
        </w:rPr>
      </w:pPr>
      <w:r w:rsidRPr="00365080">
        <w:rPr>
          <w:lang w:val="es-AR"/>
        </w:rPr>
        <w:t>10. Apoyo proporcionado a los equipos seleccionados</w:t>
      </w:r>
    </w:p>
    <w:p w14:paraId="42D940A0" w14:textId="1914DA30" w:rsidR="005F40DC" w:rsidRPr="00365080" w:rsidRDefault="00590F36" w:rsidP="008E4801">
      <w:pPr>
        <w:spacing w:before="60" w:after="120"/>
        <w:rPr>
          <w:lang w:val="es-AR"/>
        </w:rPr>
      </w:pPr>
      <w:r w:rsidRPr="00365080">
        <w:rPr>
          <w:color w:val="333333"/>
          <w:lang w:val="es-AR"/>
        </w:rPr>
        <w:t>Todos los equipos seleccionados tendrán acceso al siguiente apoyo:</w:t>
      </w:r>
    </w:p>
    <w:p w14:paraId="239121AE" w14:textId="7328E817" w:rsidR="005F40DC" w:rsidRPr="00365080" w:rsidRDefault="00381B7E" w:rsidP="008E4801">
      <w:pPr>
        <w:pStyle w:val="ListParagraph"/>
        <w:numPr>
          <w:ilvl w:val="0"/>
          <w:numId w:val="3"/>
        </w:numPr>
        <w:spacing w:before="40" w:after="120"/>
        <w:rPr>
          <w:lang w:val="es-AR"/>
        </w:rPr>
      </w:pPr>
      <w:r w:rsidRPr="00365080">
        <w:rPr>
          <w:color w:val="333333"/>
          <w:lang w:val="es-AR"/>
        </w:rPr>
        <w:t xml:space="preserve">Apoyo para fortalecer las capacidades de investigación de los equipos, que puede incluir acceso a formación específica </w:t>
      </w:r>
    </w:p>
    <w:p w14:paraId="11C5C4BD" w14:textId="47B1AA1E" w:rsidR="005F40DC" w:rsidRPr="00365080" w:rsidRDefault="00590F36" w:rsidP="008E4801">
      <w:pPr>
        <w:pStyle w:val="ListParagraph"/>
        <w:numPr>
          <w:ilvl w:val="0"/>
          <w:numId w:val="3"/>
        </w:numPr>
        <w:spacing w:before="40" w:after="120"/>
        <w:rPr>
          <w:lang w:val="es-AR"/>
        </w:rPr>
      </w:pPr>
      <w:r w:rsidRPr="00365080">
        <w:rPr>
          <w:color w:val="333333"/>
          <w:lang w:val="es-AR"/>
        </w:rPr>
        <w:t>Acceso a software licenciado de análisis de datos</w:t>
      </w:r>
    </w:p>
    <w:p w14:paraId="6B1946CC" w14:textId="77777777" w:rsidR="005F40DC" w:rsidRPr="00365080" w:rsidRDefault="00590F36" w:rsidP="008E4801">
      <w:pPr>
        <w:pStyle w:val="ListParagraph"/>
        <w:numPr>
          <w:ilvl w:val="0"/>
          <w:numId w:val="3"/>
        </w:numPr>
        <w:spacing w:before="40" w:after="120"/>
        <w:rPr>
          <w:lang w:val="es-AR"/>
        </w:rPr>
      </w:pPr>
      <w:r w:rsidRPr="00365080">
        <w:rPr>
          <w:color w:val="333333"/>
          <w:lang w:val="es-AR"/>
        </w:rPr>
        <w:t>Vinculación con las oficinas de país de la OMS para apoyo durante la recolección de datos, la gestión ética y la difusión</w:t>
      </w:r>
    </w:p>
    <w:p w14:paraId="6827F0F3" w14:textId="77777777" w:rsidR="005F40DC" w:rsidRPr="00365080" w:rsidRDefault="00590F36" w:rsidP="008E4801">
      <w:pPr>
        <w:pStyle w:val="ListParagraph"/>
        <w:numPr>
          <w:ilvl w:val="0"/>
          <w:numId w:val="3"/>
        </w:numPr>
        <w:spacing w:before="40" w:after="120"/>
        <w:rPr>
          <w:lang w:val="es-AR"/>
        </w:rPr>
      </w:pPr>
      <w:r w:rsidRPr="00365080">
        <w:rPr>
          <w:color w:val="333333"/>
          <w:lang w:val="es-AR"/>
        </w:rPr>
        <w:t>Apoyo técnico en el desarrollo de herramientas de investigación orientadas a la comunidad y procesos de consentimiento</w:t>
      </w:r>
    </w:p>
    <w:p w14:paraId="08A9C1DB" w14:textId="01F31AAC" w:rsidR="003E63FD" w:rsidRPr="00365080" w:rsidRDefault="00590F36" w:rsidP="008E4801">
      <w:pPr>
        <w:pStyle w:val="ListParagraph"/>
        <w:numPr>
          <w:ilvl w:val="0"/>
          <w:numId w:val="3"/>
        </w:numPr>
        <w:spacing w:before="40" w:after="120"/>
        <w:rPr>
          <w:lang w:val="es-AR"/>
        </w:rPr>
      </w:pPr>
      <w:r w:rsidRPr="00365080">
        <w:rPr>
          <w:color w:val="333333"/>
          <w:lang w:val="es-AR"/>
        </w:rPr>
        <w:t>Intercambio transnacional facilitado con otros equipos seleccionados durante todo el período del estudio</w:t>
      </w:r>
    </w:p>
    <w:p w14:paraId="44FB5197" w14:textId="77777777" w:rsidR="00475D04" w:rsidRPr="00365080" w:rsidRDefault="00475D04" w:rsidP="008E4801">
      <w:pPr>
        <w:pStyle w:val="Heading1"/>
        <w:rPr>
          <w:lang w:val="es-AR"/>
        </w:rPr>
      </w:pPr>
    </w:p>
    <w:p w14:paraId="4000F6CC" w14:textId="5ABDFD97" w:rsidR="005F40DC" w:rsidRPr="00365080" w:rsidRDefault="00590F36" w:rsidP="008E4801">
      <w:pPr>
        <w:pStyle w:val="Heading1"/>
        <w:rPr>
          <w:lang w:val="es-AR"/>
        </w:rPr>
      </w:pPr>
      <w:r w:rsidRPr="00365080">
        <w:rPr>
          <w:lang w:val="es-AR"/>
        </w:rPr>
        <w:t>11. Aviso legal</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155464" w:rsidRPr="00065267" w14:paraId="4FDF36BF" w14:textId="77777777">
        <w:tc>
          <w:tcPr>
            <w:tcW w:w="0" w:type="auto"/>
            <w:tcBorders>
              <w:top w:val="single" w:sz="6" w:space="0" w:color="888888"/>
              <w:left w:val="single" w:sz="6" w:space="0" w:color="888888"/>
              <w:bottom w:val="single" w:sz="6" w:space="0" w:color="888888"/>
              <w:right w:val="single" w:sz="6" w:space="0" w:color="888888"/>
            </w:tcBorders>
            <w:shd w:val="clear" w:color="auto" w:fill="F5F5F5"/>
            <w:tcMar>
              <w:top w:w="160" w:type="dxa"/>
              <w:left w:w="200" w:type="dxa"/>
              <w:bottom w:w="160" w:type="dxa"/>
              <w:right w:w="200" w:type="dxa"/>
            </w:tcMar>
          </w:tcPr>
          <w:p w14:paraId="0008D724" w14:textId="77777777" w:rsidR="005F40DC" w:rsidRPr="00365080" w:rsidRDefault="00590F36" w:rsidP="008E4801">
            <w:pPr>
              <w:spacing w:after="120"/>
              <w:rPr>
                <w:lang w:val="es-AR"/>
              </w:rPr>
            </w:pPr>
            <w:r w:rsidRPr="00365080">
              <w:rPr>
                <w:color w:val="555555"/>
                <w:sz w:val="18"/>
                <w:szCs w:val="18"/>
                <w:lang w:val="es-AR"/>
              </w:rPr>
              <w:t>La OMS/HRP actúa de buena fe al publicar esta convocatoria de propuestas. Sin embargo, este documento no obliga a la OMS a contratar la realización de ningún trabajo, ni la compromete a pagar los costos incurridos en la preparación de una propuesta. La OMS/HRP se reserva el derecho de aceptar o rechazar cualquier propuesta, de anular el proceso y de rechazar todas las propuestas en cualquier momento antes de la adjudicación de una subvención, sin incurrir por ello en ninguna responsabilidad frente a los/las solicitantes afectados/as.</w:t>
            </w:r>
          </w:p>
          <w:p w14:paraId="6E322A2F" w14:textId="77777777" w:rsidR="005F40DC" w:rsidRPr="00365080" w:rsidRDefault="00590F36" w:rsidP="008E4801">
            <w:pPr>
              <w:spacing w:after="120"/>
              <w:rPr>
                <w:lang w:val="es-AR"/>
              </w:rPr>
            </w:pPr>
            <w:r w:rsidRPr="00365080">
              <w:rPr>
                <w:color w:val="555555"/>
                <w:sz w:val="18"/>
                <w:szCs w:val="18"/>
                <w:lang w:val="es-AR"/>
              </w:rPr>
              <w:t>La información proporcionada en las propuestas se utilizará únicamente para evaluar las solicitudes en el marco de esta convocatoria. La OMS tratará toda la información de las propuestas de conformidad con su Política de Divulgación de Información. El contenido de las propuestas podrá compartirse, con carácter confidencial, con evaluadores externos contratados para valorar la calidad técnica.</w:t>
            </w:r>
          </w:p>
          <w:p w14:paraId="1589506E" w14:textId="77777777" w:rsidR="005F40DC" w:rsidRPr="00365080" w:rsidRDefault="00590F36" w:rsidP="008E4801">
            <w:pPr>
              <w:spacing w:after="120"/>
              <w:rPr>
                <w:lang w:val="es-AR"/>
              </w:rPr>
            </w:pPr>
            <w:r w:rsidRPr="00365080">
              <w:rPr>
                <w:color w:val="555555"/>
                <w:sz w:val="18"/>
                <w:szCs w:val="18"/>
                <w:lang w:val="es-AR"/>
              </w:rPr>
              <w:t>Esta convocatoria no constituye una oferta contractual ni un compromiso por parte de la OMS. Toda subvención adjudicada en el marco de esta convocatoria se regirá por los términos de un acuerdo formal de subvención que se celebrará entre la OMS y la institución seleccionada.</w:t>
            </w:r>
          </w:p>
        </w:tc>
      </w:tr>
    </w:tbl>
    <w:p w14:paraId="41440C5D" w14:textId="77777777" w:rsidR="005F40DC" w:rsidRPr="00365080" w:rsidRDefault="005F40DC" w:rsidP="008E4801">
      <w:pPr>
        <w:spacing w:after="120"/>
        <w:rPr>
          <w:lang w:val="es-AR"/>
        </w:rPr>
      </w:pPr>
    </w:p>
    <w:p w14:paraId="081A7F11" w14:textId="77777777" w:rsidR="00AB29F2" w:rsidRDefault="00AB29F2" w:rsidP="008E4801">
      <w:pPr>
        <w:pStyle w:val="Heading1"/>
        <w:rPr>
          <w:lang w:val="es-AR"/>
        </w:rPr>
      </w:pPr>
    </w:p>
    <w:p w14:paraId="7FAA50B1" w14:textId="7F33FA69" w:rsidR="00C049A4" w:rsidRPr="00B140CC" w:rsidRDefault="00C049A4" w:rsidP="008E4801">
      <w:pPr>
        <w:pStyle w:val="Heading1"/>
      </w:pPr>
      <w:proofErr w:type="spellStart"/>
      <w:r w:rsidRPr="00B140CC">
        <w:t>Referencias</w:t>
      </w:r>
      <w:proofErr w:type="spellEnd"/>
    </w:p>
    <w:p w14:paraId="5025732B" w14:textId="77777777" w:rsidR="00D544EF" w:rsidRPr="00B140CC" w:rsidRDefault="00C049A4" w:rsidP="00D544EF">
      <w:pPr>
        <w:pStyle w:val="Bibliography"/>
      </w:pPr>
      <w:r w:rsidRPr="00365080">
        <w:rPr>
          <w:lang w:val="es-AR"/>
        </w:rPr>
        <w:fldChar w:fldCharType="begin"/>
      </w:r>
      <w:r w:rsidR="005B7E20" w:rsidRPr="00B140CC">
        <w:instrText xml:space="preserve"> ADDIN ZOTERO_BIBL {"uncited":[],"omitted":[],"custom":[]} CSL_BIBLIOGRAPHY </w:instrText>
      </w:r>
      <w:r w:rsidRPr="00365080">
        <w:rPr>
          <w:lang w:val="es-AR"/>
        </w:rPr>
        <w:fldChar w:fldCharType="separate"/>
      </w:r>
      <w:r w:rsidR="00D544EF" w:rsidRPr="00B140CC">
        <w:t>1. Climate change - Fact sheet [Internet]. [cited 2025 Mar 17]. https://www.who.int/news-room/fact-sheets/detail/climate-change-and-health. Accessed 17 Mar 2025</w:t>
      </w:r>
    </w:p>
    <w:p w14:paraId="47C019F4" w14:textId="77777777" w:rsidR="00D544EF" w:rsidRPr="00B140CC" w:rsidRDefault="00D544EF" w:rsidP="00D544EF">
      <w:pPr>
        <w:pStyle w:val="Bibliography"/>
      </w:pPr>
      <w:r w:rsidRPr="00B140CC">
        <w:t xml:space="preserve">2. World Health Organization. COP29 special report on climate change and health: Health is the argument for climate action. Geneva: World Health Organization; 2024. </w:t>
      </w:r>
    </w:p>
    <w:p w14:paraId="2FB07D9C" w14:textId="77777777" w:rsidR="00D544EF" w:rsidRPr="00B140CC" w:rsidRDefault="00D544EF" w:rsidP="00D544EF">
      <w:pPr>
        <w:pStyle w:val="Bibliography"/>
      </w:pPr>
      <w:r w:rsidRPr="00B140CC">
        <w:t>3. Arunda MO, Sorcher R, Canabarro APF, Svallfors S, Endler M, Gemzell-Danielsson K, et al. Climate change and sexual and reproductive health and rights research in low-income and middle-income countries: a scoping review. BMJ Public Health [Internet]. BMJ Publishing Group Ltd; 2024 [cited 2024 Sept 19];2. https://doi.org/10.1136/bmjph-2024-001090</w:t>
      </w:r>
    </w:p>
    <w:p w14:paraId="20CF8697" w14:textId="77777777" w:rsidR="00D544EF" w:rsidRPr="00B140CC" w:rsidRDefault="00D544EF" w:rsidP="00D544EF">
      <w:pPr>
        <w:pStyle w:val="Bibliography"/>
      </w:pPr>
      <w:r w:rsidRPr="00B140CC">
        <w:t>4. Conway F, Portela A, Filippi V, Chou D, Kovats S. Climate change, air pollution and maternal and newborn health: An overview of reviews of health outcomes. JOGH [Internet]. 2024 [cited 2024 Aug 5];14. https://doi.org/10.7189/jogh.14.04128</w:t>
      </w:r>
    </w:p>
    <w:p w14:paraId="546B1C2E" w14:textId="77777777" w:rsidR="00D544EF" w:rsidRPr="00B140CC" w:rsidRDefault="00D544EF" w:rsidP="00D544EF">
      <w:pPr>
        <w:pStyle w:val="Bibliography"/>
      </w:pPr>
      <w:r w:rsidRPr="00B140CC">
        <w:t>5. Logie CH, Toccalino D, MacKenzie F, Hasham A, Narasimhan M, Donkers H, et al. Associations between climate change-related factors and sexual health: A scoping review. Glob Public Health. Taylor &amp; Francis; 2024;19:2299718. https://doi.org/10.1080/17441692.2023.2299718</w:t>
      </w:r>
    </w:p>
    <w:p w14:paraId="2C24FBEF" w14:textId="77777777" w:rsidR="00D544EF" w:rsidRPr="00B140CC" w:rsidRDefault="00D544EF" w:rsidP="00D544EF">
      <w:pPr>
        <w:pStyle w:val="Bibliography"/>
      </w:pPr>
      <w:r w:rsidRPr="00B140CC">
        <w:t>6. World Health Organization, UNICEF, UNFPA, PMNCH. Protecting maternal, newborn and child health from the impacts of climate change: A call for action [Internet]. https://www.who.int/publications/i/item/9789240085350. Accessed 7 Aug 2024</w:t>
      </w:r>
    </w:p>
    <w:p w14:paraId="21E1D6E5" w14:textId="77777777" w:rsidR="00D544EF" w:rsidRPr="00B140CC" w:rsidRDefault="00D544EF" w:rsidP="00D544EF">
      <w:pPr>
        <w:pStyle w:val="Bibliography"/>
        <w:rPr>
          <w:lang w:val="pt-BR"/>
        </w:rPr>
      </w:pPr>
      <w:r w:rsidRPr="00B140CC">
        <w:t xml:space="preserve">7. Sexual and Reproductive Health and Rights and Climate Change Delphi Consensus Building Group. Research priorities in sexual and reproductive health and rights and climate change: results of a consensus building and prioritisation process. </w:t>
      </w:r>
      <w:r w:rsidRPr="00B140CC">
        <w:rPr>
          <w:lang w:val="pt-BR"/>
        </w:rPr>
        <w:t xml:space="preserve">PLOS Clim. </w:t>
      </w:r>
    </w:p>
    <w:p w14:paraId="6FFDC536" w14:textId="77777777" w:rsidR="00D544EF" w:rsidRPr="00B140CC" w:rsidRDefault="00D544EF" w:rsidP="00D544EF">
      <w:pPr>
        <w:pStyle w:val="Bibliography"/>
      </w:pPr>
      <w:r w:rsidRPr="00B140CC">
        <w:rPr>
          <w:lang w:val="pt-BR"/>
        </w:rPr>
        <w:t xml:space="preserve">8. Sorcher R, Arunda MO, Ajayi AI, Alger J, Ali M, Allen E, et al. </w:t>
      </w:r>
      <w:r w:rsidRPr="00B140CC">
        <w:t>Key considerations for research into how climate change affects sexual and reproductive health and rights. Lancet Planet Health. Elsevier; 2024;8:e347–8. https://doi.org/10.1016/S2542-5196(24)00093-7</w:t>
      </w:r>
    </w:p>
    <w:p w14:paraId="7583A765" w14:textId="77777777" w:rsidR="00D544EF" w:rsidRPr="00B140CC" w:rsidRDefault="00D544EF" w:rsidP="00D544EF">
      <w:pPr>
        <w:pStyle w:val="Bibliography"/>
      </w:pPr>
      <w:r w:rsidRPr="00B140CC">
        <w:t>9. Health at the heart of national adaptation planning: a global review of national adaptation plans and health national adaptation plans [Internet]. Geneva: World Health Organization; 2025. https://www.who.int/publications/i/item/9789240118447. Accessed 26 Feb 2026</w:t>
      </w:r>
    </w:p>
    <w:p w14:paraId="56B9B46B" w14:textId="77777777" w:rsidR="00D544EF" w:rsidRPr="00B140CC" w:rsidRDefault="00D544EF" w:rsidP="00D544EF">
      <w:pPr>
        <w:pStyle w:val="Bibliography"/>
      </w:pPr>
      <w:r w:rsidRPr="00B140CC">
        <w:t>10. Alagarajah J, Beeman A, Brown M, Aibe S, Fuchs NR, Gibbs T. Sexual and Reproductive Health and Rights in National Adaptation Plan &amp; Health National Adaptation Plans: A Global Review [Internet]. YLabs; 2024. https://climate-srhr.org/s/AGlobalReview-ClimatexSRHR-Ylabs.pdf</w:t>
      </w:r>
    </w:p>
    <w:p w14:paraId="2D4B47E9" w14:textId="77777777" w:rsidR="00D544EF" w:rsidRPr="00B140CC" w:rsidRDefault="00D544EF" w:rsidP="00D544EF">
      <w:pPr>
        <w:pStyle w:val="Bibliography"/>
      </w:pPr>
      <w:r w:rsidRPr="00B140CC">
        <w:t>11. Israel BA, Schulz AJ, Parker EA, Becker AB. Review of community-based research: assessing partnership approaches to improve public health. Annu Rev Public Health. 1998;19:173–202. https://doi.org/10.1146/annurev.publhealth.19.1.173</w:t>
      </w:r>
    </w:p>
    <w:p w14:paraId="3C1283B8" w14:textId="77777777" w:rsidR="00D544EF" w:rsidRPr="00B140CC" w:rsidRDefault="00D544EF" w:rsidP="00D544EF">
      <w:pPr>
        <w:pStyle w:val="Bibliography"/>
      </w:pPr>
      <w:r w:rsidRPr="00B140CC">
        <w:t xml:space="preserve">12. Minkler M, Wallerstein N, editors. Community-Based Participatory Research for Health: From Process to Outcomes. 2nd ed. San Francisco: Jossey-Bass; 2008. </w:t>
      </w:r>
    </w:p>
    <w:p w14:paraId="2D540E06" w14:textId="77777777" w:rsidR="00D544EF" w:rsidRPr="00B140CC" w:rsidRDefault="00D544EF" w:rsidP="00D544EF">
      <w:pPr>
        <w:pStyle w:val="Bibliography"/>
      </w:pPr>
      <w:r w:rsidRPr="00B140CC">
        <w:t>13. Wallerstein N, Duran B. Community-based participatory research contributions to intervention research: the intersection of science and practice to improve health equity. Am J Public Health. 2010;100 Suppl 1:S40-46. https://doi.org/10.2105/AJPH.2009.184036</w:t>
      </w:r>
    </w:p>
    <w:p w14:paraId="0CAAD067" w14:textId="77777777" w:rsidR="00D544EF" w:rsidRPr="00B140CC" w:rsidRDefault="00D544EF" w:rsidP="00D544EF">
      <w:pPr>
        <w:pStyle w:val="Bibliography"/>
      </w:pPr>
      <w:r w:rsidRPr="00B140CC">
        <w:t>14. Cargo M, Mercer SL. The value and challenges of participatory research: strengthening its practice. Annu Rev Public Health. 2008;29:325–50. https://doi.org/10.1146/annurev.publhealth.29.091307.083824</w:t>
      </w:r>
    </w:p>
    <w:p w14:paraId="1009B931" w14:textId="77777777" w:rsidR="00D544EF" w:rsidRPr="00B140CC" w:rsidRDefault="00D544EF" w:rsidP="00D544EF">
      <w:pPr>
        <w:pStyle w:val="Bibliography"/>
      </w:pPr>
      <w:r w:rsidRPr="00B140CC">
        <w:lastRenderedPageBreak/>
        <w:t>15. Wang C, Burris MA. Photovoice: concept, methodology, and use for participatory needs assessment. Health Educ Behav. 1997;24:369–87. https://doi.org/10.1177/109019819702400309</w:t>
      </w:r>
    </w:p>
    <w:p w14:paraId="60124200" w14:textId="77777777" w:rsidR="00D544EF" w:rsidRPr="00B140CC" w:rsidRDefault="00D544EF" w:rsidP="00D544EF">
      <w:pPr>
        <w:pStyle w:val="Bibliography"/>
      </w:pPr>
      <w:r w:rsidRPr="00B140CC">
        <w:t>16. Wang CC, Pies CA. Family, maternal, and child health through photovoice. Matern Child Health J. 2004;8:95–102. https://doi.org/10.1023/b:maci.0000025732.32293.4f</w:t>
      </w:r>
    </w:p>
    <w:p w14:paraId="377AD27E" w14:textId="77777777" w:rsidR="00D544EF" w:rsidRPr="00B140CC" w:rsidRDefault="00D544EF" w:rsidP="00D544EF">
      <w:pPr>
        <w:pStyle w:val="Bibliography"/>
      </w:pPr>
      <w:r w:rsidRPr="00B140CC">
        <w:t>17. Palmeiro-Silva Y, Nyamwanza A, Vu AN. Participatory research and community engagement in climate and health research. Bulletin of the World Health Organization; 2026;104:206–8. https://doi.org/10.2471/BLT.25.294164</w:t>
      </w:r>
    </w:p>
    <w:p w14:paraId="7DE9F31A" w14:textId="77777777" w:rsidR="00D544EF" w:rsidRPr="00B140CC" w:rsidRDefault="00D544EF" w:rsidP="00D544EF">
      <w:pPr>
        <w:pStyle w:val="Bibliography"/>
      </w:pPr>
      <w:r w:rsidRPr="00B140CC">
        <w:t>18. Duea SR, Zimmerman EB, Vaughn LM, Dias S, Harris J. A Guide to Selecting Participatory Research Methods Based on Project and Partnership Goals. J Particip Res Methods. 2022;3. https://doi.org/10.35844/001c.32605</w:t>
      </w:r>
    </w:p>
    <w:p w14:paraId="132029A7" w14:textId="77777777" w:rsidR="00D544EF" w:rsidRPr="00B140CC" w:rsidRDefault="00D544EF" w:rsidP="00D544EF">
      <w:pPr>
        <w:pStyle w:val="Bibliography"/>
      </w:pPr>
      <w:r w:rsidRPr="00B140CC">
        <w:t xml:space="preserve">19. Zampas C, Nihlén Å. The state of international human rights law on sexual and reproductive health: an overview. Health Hum Rights. 2025;27:291–304. </w:t>
      </w:r>
    </w:p>
    <w:p w14:paraId="53EAB339" w14:textId="77777777" w:rsidR="00D544EF" w:rsidRPr="00B140CC" w:rsidRDefault="00D544EF" w:rsidP="00D544EF">
      <w:pPr>
        <w:pStyle w:val="Bibliography"/>
      </w:pPr>
      <w:r w:rsidRPr="00B140CC">
        <w:t>20. UNFPA. Elevating rights and choices for all: guidance note for applying a human rights-based approach to programming [Internet]. New York: UNFPA; 2020. https://www.unfpa.org/sites/default/files/pub-pdf/2020_HRBA_guidance.pdf</w:t>
      </w:r>
    </w:p>
    <w:p w14:paraId="6DEA7D74" w14:textId="77777777" w:rsidR="00D544EF" w:rsidRPr="00B140CC" w:rsidRDefault="00D544EF" w:rsidP="00D544EF">
      <w:pPr>
        <w:pStyle w:val="Bibliography"/>
      </w:pPr>
      <w:r w:rsidRPr="00B140CC">
        <w:t>21. Kaijser A, Kronsell A. Climate change through the lens of intersectionality. Environ Polit. Routledge; 2014;23:417–33. https://doi.org/10.1080/09644016.2013.835203</w:t>
      </w:r>
    </w:p>
    <w:p w14:paraId="57DBAC9F" w14:textId="77777777" w:rsidR="00D544EF" w:rsidRPr="00B140CC" w:rsidRDefault="00D544EF" w:rsidP="00D544EF">
      <w:pPr>
        <w:pStyle w:val="Bibliography"/>
      </w:pPr>
      <w:r w:rsidRPr="00B140CC">
        <w:t>22. Larson E, George A, Morgan R, Poteat T. 10 Best resources on… intersectionality with an emphasis on low- and middle-income countries. Health Policy Plan. 2016;31:964–9. https://doi.org/10.1093/heapol/czw020</w:t>
      </w:r>
    </w:p>
    <w:p w14:paraId="217A35BE" w14:textId="77777777" w:rsidR="00D544EF" w:rsidRPr="00B140CC" w:rsidRDefault="00D544EF" w:rsidP="00D544EF">
      <w:pPr>
        <w:pStyle w:val="Bibliography"/>
      </w:pPr>
      <w:r w:rsidRPr="00B140CC">
        <w:t>23. Parry L, Radel C, Adamo SB, Clark N, Counterman M, Flores-Yeffal N, et al. The (in)visible health risks of climate change. Soc Sci Med. 2019;241:112448. https://doi.org/10.1016/j.socscimed.2019.112448</w:t>
      </w:r>
    </w:p>
    <w:p w14:paraId="686C75AA" w14:textId="77777777" w:rsidR="00D544EF" w:rsidRPr="00B140CC" w:rsidRDefault="00D544EF" w:rsidP="00D544EF">
      <w:pPr>
        <w:pStyle w:val="Bibliography"/>
      </w:pPr>
      <w:r w:rsidRPr="00B140CC">
        <w:t>24. Sasser JS. At the intersection of climate justice and reproductive justice. WIREs Clim Change. 2024;15:e860. https://doi.org/10.1002/wcc.860</w:t>
      </w:r>
    </w:p>
    <w:p w14:paraId="6A9B107E" w14:textId="23EAEB14" w:rsidR="005F40DC" w:rsidRPr="00B140CC" w:rsidRDefault="00C049A4" w:rsidP="00D544EF">
      <w:pPr>
        <w:pStyle w:val="Bibliography"/>
      </w:pPr>
      <w:r w:rsidRPr="00365080">
        <w:rPr>
          <w:lang w:val="es-AR"/>
        </w:rPr>
        <w:fldChar w:fldCharType="end"/>
      </w:r>
      <w:r w:rsidRPr="00B140CC">
        <w:br w:type="page"/>
      </w:r>
    </w:p>
    <w:p w14:paraId="382F27F7" w14:textId="77777777" w:rsidR="00C049A4" w:rsidRPr="00065267" w:rsidRDefault="00C049A4" w:rsidP="008E4801">
      <w:pPr>
        <w:pStyle w:val="Heading1"/>
      </w:pPr>
      <w:r w:rsidRPr="00065267">
        <w:lastRenderedPageBreak/>
        <w:t xml:space="preserve">Anexo 1: </w:t>
      </w:r>
      <w:proofErr w:type="spellStart"/>
      <w:r w:rsidRPr="00065267">
        <w:t>Orientaciones</w:t>
      </w:r>
      <w:proofErr w:type="spellEnd"/>
      <w:r w:rsidRPr="00065267">
        <w:t xml:space="preserve"> </w:t>
      </w:r>
      <w:proofErr w:type="spellStart"/>
      <w:r w:rsidRPr="00065267">
        <w:t>adicionales</w:t>
      </w:r>
      <w:proofErr w:type="spellEnd"/>
      <w:r w:rsidRPr="00065267">
        <w:t xml:space="preserve"> para </w:t>
      </w:r>
      <w:proofErr w:type="spellStart"/>
      <w:r w:rsidRPr="00065267">
        <w:t>los</w:t>
      </w:r>
      <w:proofErr w:type="spellEnd"/>
      <w:r w:rsidRPr="00065267">
        <w:t xml:space="preserve">/las </w:t>
      </w:r>
      <w:proofErr w:type="spellStart"/>
      <w:r w:rsidRPr="00065267">
        <w:t>solicitantes</w:t>
      </w:r>
      <w:proofErr w:type="spellEnd"/>
    </w:p>
    <w:p w14:paraId="041CEDF9" w14:textId="77777777" w:rsidR="00C049A4" w:rsidRPr="00365080" w:rsidRDefault="00C049A4" w:rsidP="008E4801">
      <w:pPr>
        <w:spacing w:before="60" w:after="120"/>
        <w:rPr>
          <w:lang w:val="es-AR"/>
        </w:rPr>
      </w:pPr>
      <w:r w:rsidRPr="00065267">
        <w:rPr>
          <w:color w:val="333333"/>
        </w:rPr>
        <w:t xml:space="preserve">Este </w:t>
      </w:r>
      <w:proofErr w:type="spellStart"/>
      <w:r w:rsidRPr="00065267">
        <w:rPr>
          <w:color w:val="333333"/>
        </w:rPr>
        <w:t>anexo</w:t>
      </w:r>
      <w:proofErr w:type="spellEnd"/>
      <w:r w:rsidRPr="00065267">
        <w:rPr>
          <w:color w:val="333333"/>
        </w:rPr>
        <w:t xml:space="preserve"> </w:t>
      </w:r>
      <w:proofErr w:type="spellStart"/>
      <w:r w:rsidRPr="00065267">
        <w:rPr>
          <w:color w:val="333333"/>
        </w:rPr>
        <w:t>proporciona</w:t>
      </w:r>
      <w:proofErr w:type="spellEnd"/>
      <w:r w:rsidRPr="00065267">
        <w:rPr>
          <w:color w:val="333333"/>
        </w:rPr>
        <w:t xml:space="preserve"> </w:t>
      </w:r>
      <w:proofErr w:type="spellStart"/>
      <w:r w:rsidRPr="00065267">
        <w:rPr>
          <w:color w:val="333333"/>
        </w:rPr>
        <w:t>orientación</w:t>
      </w:r>
      <w:proofErr w:type="spellEnd"/>
      <w:r w:rsidRPr="00065267">
        <w:rPr>
          <w:color w:val="333333"/>
        </w:rPr>
        <w:t xml:space="preserve"> </w:t>
      </w:r>
      <w:proofErr w:type="spellStart"/>
      <w:r w:rsidRPr="00065267">
        <w:rPr>
          <w:color w:val="333333"/>
        </w:rPr>
        <w:t>complementaria</w:t>
      </w:r>
      <w:proofErr w:type="spellEnd"/>
      <w:r w:rsidRPr="00065267">
        <w:rPr>
          <w:color w:val="333333"/>
        </w:rPr>
        <w:t xml:space="preserve"> </w:t>
      </w:r>
      <w:proofErr w:type="spellStart"/>
      <w:r w:rsidRPr="00065267">
        <w:rPr>
          <w:color w:val="333333"/>
        </w:rPr>
        <w:t>sobre</w:t>
      </w:r>
      <w:proofErr w:type="spellEnd"/>
      <w:r w:rsidRPr="00065267">
        <w:rPr>
          <w:color w:val="333333"/>
        </w:rPr>
        <w:t xml:space="preserve"> </w:t>
      </w:r>
      <w:proofErr w:type="spellStart"/>
      <w:r w:rsidRPr="00065267">
        <w:rPr>
          <w:color w:val="333333"/>
        </w:rPr>
        <w:t>los</w:t>
      </w:r>
      <w:proofErr w:type="spellEnd"/>
      <w:r w:rsidRPr="00065267">
        <w:rPr>
          <w:color w:val="333333"/>
        </w:rPr>
        <w:t xml:space="preserve"> </w:t>
      </w:r>
      <w:proofErr w:type="spellStart"/>
      <w:r w:rsidRPr="00065267">
        <w:rPr>
          <w:color w:val="333333"/>
        </w:rPr>
        <w:t>requisitos</w:t>
      </w:r>
      <w:proofErr w:type="spellEnd"/>
      <w:r w:rsidRPr="00065267">
        <w:rPr>
          <w:color w:val="333333"/>
        </w:rPr>
        <w:t xml:space="preserve"> </w:t>
      </w:r>
      <w:proofErr w:type="spellStart"/>
      <w:r w:rsidRPr="00065267">
        <w:rPr>
          <w:color w:val="333333"/>
        </w:rPr>
        <w:t>metodológicos</w:t>
      </w:r>
      <w:proofErr w:type="spellEnd"/>
      <w:r w:rsidRPr="00065267">
        <w:rPr>
          <w:color w:val="333333"/>
        </w:rPr>
        <w:t xml:space="preserve">. </w:t>
      </w:r>
      <w:r w:rsidRPr="00365080">
        <w:rPr>
          <w:color w:val="333333"/>
          <w:lang w:val="es-AR"/>
        </w:rPr>
        <w:t>Está concebido como un recurso y no añade requisitos más allá de los indicados en la sección 3.</w:t>
      </w:r>
    </w:p>
    <w:p w14:paraId="64E2289F" w14:textId="77777777" w:rsidR="00C049A4" w:rsidRPr="00365080" w:rsidRDefault="00C049A4" w:rsidP="008E4801">
      <w:pPr>
        <w:spacing w:after="120"/>
        <w:rPr>
          <w:lang w:val="es-AR"/>
        </w:rPr>
      </w:pPr>
    </w:p>
    <w:p w14:paraId="533D3A52" w14:textId="77777777" w:rsidR="00C049A4" w:rsidRPr="00365080" w:rsidRDefault="00C049A4" w:rsidP="008E4801">
      <w:pPr>
        <w:pStyle w:val="Heading2"/>
        <w:pBdr>
          <w:bottom w:val="single" w:sz="2" w:space="4" w:color="CCCCCC"/>
        </w:pBdr>
        <w:spacing w:after="120"/>
        <w:rPr>
          <w:lang w:val="es-AR"/>
        </w:rPr>
      </w:pPr>
      <w:r w:rsidRPr="00365080">
        <w:rPr>
          <w:lang w:val="es-AR"/>
        </w:rPr>
        <w:t>Investigación participativa: marcos de gobernanza</w:t>
      </w:r>
    </w:p>
    <w:p w14:paraId="6EF33E78" w14:textId="306CB712" w:rsidR="00C049A4" w:rsidRPr="00365080" w:rsidRDefault="00C049A4" w:rsidP="008E4801">
      <w:pPr>
        <w:spacing w:before="60" w:after="120"/>
        <w:rPr>
          <w:lang w:val="es-AR"/>
        </w:rPr>
      </w:pPr>
      <w:r w:rsidRPr="00365080">
        <w:rPr>
          <w:color w:val="333333"/>
          <w:lang w:val="es-AR"/>
        </w:rPr>
        <w:t>Las propuestas de investigación participativa describen cómo los socios comunitarios participan en la toma de decisiones a lo largo del ciclo de investigación. Una estructura de gobernanza sólida aborda: el rol y la autoridad de los miembros de la comunidad dentro del equipo de investigación; los mecanismos para resolver desacuerdos entre los socios de investigación y los comunitarios; la protección de la agenda de investigación frente a la captura comercial o institucional; y la negociación de la propiedad intelectual y la titularidad de los datos con los socios comunitarios. Puede encontrar recursos útiles en la sección de referencias.</w:t>
      </w:r>
    </w:p>
    <w:p w14:paraId="04B063E7" w14:textId="77777777" w:rsidR="00C049A4" w:rsidRPr="00365080" w:rsidRDefault="00C049A4" w:rsidP="008E4801">
      <w:pPr>
        <w:spacing w:after="120"/>
        <w:rPr>
          <w:lang w:val="es-AR"/>
        </w:rPr>
      </w:pPr>
    </w:p>
    <w:p w14:paraId="30B8A3E8" w14:textId="77777777" w:rsidR="00C049A4" w:rsidRPr="00365080" w:rsidRDefault="00C049A4" w:rsidP="008E4801">
      <w:pPr>
        <w:pStyle w:val="Heading2"/>
        <w:pBdr>
          <w:bottom w:val="single" w:sz="2" w:space="4" w:color="CCCCCC"/>
        </w:pBdr>
        <w:spacing w:after="120"/>
        <w:rPr>
          <w:lang w:val="es-AR"/>
        </w:rPr>
      </w:pPr>
      <w:r w:rsidRPr="00365080">
        <w:rPr>
          <w:lang w:val="es-AR"/>
        </w:rPr>
        <w:t>Opciones de integración de métodos mixtos</w:t>
      </w:r>
    </w:p>
    <w:p w14:paraId="3674CBE8" w14:textId="575EEABC" w:rsidR="00C049A4" w:rsidRPr="00365080" w:rsidRDefault="00FB10D6" w:rsidP="008E4801">
      <w:pPr>
        <w:spacing w:before="60" w:after="120"/>
        <w:rPr>
          <w:lang w:val="es-AR"/>
        </w:rPr>
      </w:pPr>
      <w:r w:rsidRPr="00365080">
        <w:rPr>
          <w:color w:val="333333"/>
          <w:lang w:val="es-AR"/>
        </w:rPr>
        <w:t xml:space="preserve">Las propuestas de métodos mixtos deben indicar qué diseño de métodos mixtos planean utilizar. A </w:t>
      </w:r>
      <w:proofErr w:type="gramStart"/>
      <w:r w:rsidRPr="00365080">
        <w:rPr>
          <w:color w:val="333333"/>
          <w:lang w:val="es-AR"/>
        </w:rPr>
        <w:t>continuación</w:t>
      </w:r>
      <w:proofErr w:type="gramEnd"/>
      <w:r w:rsidRPr="00365080">
        <w:rPr>
          <w:color w:val="333333"/>
          <w:lang w:val="es-AR"/>
        </w:rPr>
        <w:t xml:space="preserve"> se presentan algunos de los más frecuentemente utilizados en estudios de diseño de métodos mixtos:</w:t>
      </w:r>
    </w:p>
    <w:p w14:paraId="39BF47D7" w14:textId="77777777" w:rsidR="00C049A4" w:rsidRPr="00365080" w:rsidRDefault="00C049A4" w:rsidP="008E4801">
      <w:pPr>
        <w:pStyle w:val="ListParagraph"/>
        <w:numPr>
          <w:ilvl w:val="0"/>
          <w:numId w:val="3"/>
        </w:numPr>
        <w:spacing w:before="40" w:after="120"/>
        <w:rPr>
          <w:lang w:val="es-AR"/>
        </w:rPr>
      </w:pPr>
      <w:r w:rsidRPr="00365080">
        <w:rPr>
          <w:color w:val="333333"/>
          <w:lang w:val="es-AR"/>
        </w:rPr>
        <w:t>Diseño convergente: datos cualitativos y cuantitativos recopilados en paralelo, luego integrados en la etapa de interpretación</w:t>
      </w:r>
    </w:p>
    <w:p w14:paraId="7A33E4A9" w14:textId="77777777" w:rsidR="00C049A4" w:rsidRPr="00365080" w:rsidRDefault="00C049A4" w:rsidP="008E4801">
      <w:pPr>
        <w:pStyle w:val="ListParagraph"/>
        <w:numPr>
          <w:ilvl w:val="0"/>
          <w:numId w:val="3"/>
        </w:numPr>
        <w:spacing w:before="40" w:after="120"/>
        <w:rPr>
          <w:lang w:val="es-AR"/>
        </w:rPr>
      </w:pPr>
      <w:r w:rsidRPr="00365080">
        <w:rPr>
          <w:color w:val="333333"/>
          <w:lang w:val="es-AR"/>
        </w:rPr>
        <w:t>Diseño secuencial explicativo: datos cuantitativos recopilados primero; datos cualitativos utilizados luego para explicar o elaborar los hallazgos</w:t>
      </w:r>
    </w:p>
    <w:p w14:paraId="33D81444" w14:textId="77777777" w:rsidR="00C049A4" w:rsidRPr="00365080" w:rsidRDefault="00C049A4" w:rsidP="008E4801">
      <w:pPr>
        <w:pStyle w:val="ListParagraph"/>
        <w:numPr>
          <w:ilvl w:val="0"/>
          <w:numId w:val="3"/>
        </w:numPr>
        <w:spacing w:before="40" w:after="120"/>
        <w:rPr>
          <w:lang w:val="es-AR"/>
        </w:rPr>
      </w:pPr>
      <w:r w:rsidRPr="00365080">
        <w:rPr>
          <w:color w:val="333333"/>
          <w:lang w:val="es-AR"/>
        </w:rPr>
        <w:t>Diseño secuencial exploratorio: datos cualitativos recopilados primero para orientar el diseño de los instrumentos cuantitativos</w:t>
      </w:r>
    </w:p>
    <w:p w14:paraId="3DBFABAE" w14:textId="77777777" w:rsidR="001F0D22" w:rsidRPr="00365080" w:rsidRDefault="001F0D22" w:rsidP="001F0D22">
      <w:pPr>
        <w:spacing w:before="40" w:after="120"/>
        <w:rPr>
          <w:lang w:val="es-AR"/>
        </w:rPr>
      </w:pPr>
    </w:p>
    <w:p w14:paraId="1F6BA11E" w14:textId="77777777" w:rsidR="001F0D22" w:rsidRPr="00365080" w:rsidRDefault="001F0D22" w:rsidP="001F0D22">
      <w:pPr>
        <w:pStyle w:val="Heading2"/>
        <w:pBdr>
          <w:bottom w:val="single" w:sz="2" w:space="4" w:color="CCCCCC"/>
        </w:pBdr>
        <w:spacing w:after="120"/>
        <w:rPr>
          <w:lang w:val="es-AR"/>
        </w:rPr>
      </w:pPr>
      <w:r w:rsidRPr="00365080">
        <w:rPr>
          <w:lang w:val="es-AR"/>
        </w:rPr>
        <w:t>Fuentes de datos cuantitativos</w:t>
      </w:r>
    </w:p>
    <w:p w14:paraId="7F10AC26" w14:textId="2D72A52D" w:rsidR="001F0D22" w:rsidRPr="00365080" w:rsidRDefault="001F0D22" w:rsidP="001F0D22">
      <w:pPr>
        <w:spacing w:before="60" w:after="120"/>
        <w:rPr>
          <w:lang w:val="es-AR"/>
        </w:rPr>
      </w:pPr>
      <w:r w:rsidRPr="00365080">
        <w:rPr>
          <w:color w:val="333333"/>
          <w:lang w:val="es-AR"/>
        </w:rPr>
        <w:t xml:space="preserve">El componente cuantitativo del estudio puede basarse en cualquiera de los siguientes, según su disponibilidad y pertinencia en el </w:t>
      </w:r>
      <w:r w:rsidR="00A66493" w:rsidRPr="00365080">
        <w:rPr>
          <w:color w:val="333333"/>
          <w:lang w:val="es-AR"/>
        </w:rPr>
        <w:t>contexto</w:t>
      </w:r>
      <w:r w:rsidRPr="00365080">
        <w:rPr>
          <w:color w:val="333333"/>
          <w:lang w:val="es-AR"/>
        </w:rPr>
        <w:t xml:space="preserve"> del estudio:</w:t>
      </w:r>
    </w:p>
    <w:p w14:paraId="3DA92D1C" w14:textId="77777777" w:rsidR="001F0D22" w:rsidRPr="00365080" w:rsidRDefault="001F0D22" w:rsidP="001F0D22">
      <w:pPr>
        <w:pStyle w:val="ListParagraph"/>
        <w:numPr>
          <w:ilvl w:val="0"/>
          <w:numId w:val="3"/>
        </w:numPr>
        <w:spacing w:before="40" w:after="120"/>
        <w:rPr>
          <w:lang w:val="es-AR"/>
        </w:rPr>
      </w:pPr>
      <w:r w:rsidRPr="00365080">
        <w:rPr>
          <w:color w:val="333333"/>
          <w:lang w:val="es-AR"/>
        </w:rPr>
        <w:t>Estadísticas vitales nacionales y datos de registro civil</w:t>
      </w:r>
    </w:p>
    <w:p w14:paraId="1E345607" w14:textId="77777777" w:rsidR="001F0D22" w:rsidRPr="00365080" w:rsidRDefault="001F0D22" w:rsidP="001F0D22">
      <w:pPr>
        <w:pStyle w:val="ListParagraph"/>
        <w:numPr>
          <w:ilvl w:val="0"/>
          <w:numId w:val="3"/>
        </w:numPr>
        <w:spacing w:before="40" w:after="120"/>
        <w:rPr>
          <w:lang w:val="es-AR"/>
        </w:rPr>
      </w:pPr>
      <w:r w:rsidRPr="00365080">
        <w:rPr>
          <w:color w:val="333333"/>
          <w:lang w:val="es-AR"/>
        </w:rPr>
        <w:t>Evaluaciones armonizadas de establecimientos de salud</w:t>
      </w:r>
    </w:p>
    <w:p w14:paraId="58D50FA0" w14:textId="77777777" w:rsidR="001F0D22" w:rsidRPr="00365080" w:rsidRDefault="001F0D22" w:rsidP="001F0D22">
      <w:pPr>
        <w:pStyle w:val="ListParagraph"/>
        <w:numPr>
          <w:ilvl w:val="0"/>
          <w:numId w:val="3"/>
        </w:numPr>
        <w:spacing w:before="40" w:after="120"/>
        <w:rPr>
          <w:lang w:val="es-AR"/>
        </w:rPr>
      </w:pPr>
      <w:r w:rsidRPr="00365080">
        <w:rPr>
          <w:color w:val="333333"/>
          <w:lang w:val="es-AR"/>
        </w:rPr>
        <w:t>Registros médicos de los establecimientos de salud</w:t>
      </w:r>
    </w:p>
    <w:p w14:paraId="00C5591A" w14:textId="77777777" w:rsidR="001F0D22" w:rsidRPr="00365080" w:rsidRDefault="001F0D22" w:rsidP="001F0D22">
      <w:pPr>
        <w:pStyle w:val="ListParagraph"/>
        <w:numPr>
          <w:ilvl w:val="0"/>
          <w:numId w:val="3"/>
        </w:numPr>
        <w:spacing w:before="40" w:after="120"/>
        <w:rPr>
          <w:lang w:val="es-AR"/>
        </w:rPr>
      </w:pPr>
      <w:r w:rsidRPr="00365080">
        <w:rPr>
          <w:color w:val="333333"/>
          <w:lang w:val="es-AR"/>
        </w:rPr>
        <w:t>Encuestas nacionales existentes de hogares o demográficas que incluyan resultados de SDSR</w:t>
      </w:r>
    </w:p>
    <w:p w14:paraId="2DF7E41B" w14:textId="77777777" w:rsidR="001F0D22" w:rsidRPr="00365080" w:rsidRDefault="001F0D22" w:rsidP="001F0D22">
      <w:pPr>
        <w:pStyle w:val="ListParagraph"/>
        <w:numPr>
          <w:ilvl w:val="0"/>
          <w:numId w:val="3"/>
        </w:numPr>
        <w:spacing w:before="40" w:after="120"/>
        <w:rPr>
          <w:lang w:val="es-AR"/>
        </w:rPr>
      </w:pPr>
      <w:r w:rsidRPr="00365080">
        <w:rPr>
          <w:color w:val="333333"/>
          <w:lang w:val="es-AR"/>
        </w:rPr>
        <w:t>Encuestas a nivel comunitario diseñadas y administradas en asociación con el equipo de investigación</w:t>
      </w:r>
    </w:p>
    <w:p w14:paraId="0C226DB6" w14:textId="77777777" w:rsidR="00645F5F" w:rsidRPr="00365080" w:rsidRDefault="00645F5F" w:rsidP="008E4801">
      <w:pPr>
        <w:spacing w:after="120"/>
        <w:rPr>
          <w:b/>
          <w:bCs/>
          <w:color w:val="006BB6"/>
          <w:sz w:val="28"/>
          <w:szCs w:val="28"/>
          <w:lang w:val="es-AR"/>
        </w:rPr>
      </w:pPr>
      <w:r w:rsidRPr="00365080">
        <w:rPr>
          <w:lang w:val="es-AR"/>
        </w:rPr>
        <w:br w:type="page"/>
      </w:r>
    </w:p>
    <w:p w14:paraId="59D4A144" w14:textId="1B552359" w:rsidR="005F40DC" w:rsidRPr="00365080" w:rsidRDefault="00590F36" w:rsidP="008E4801">
      <w:pPr>
        <w:pStyle w:val="Heading1"/>
        <w:rPr>
          <w:lang w:val="es-AR"/>
        </w:rPr>
      </w:pPr>
      <w:r w:rsidRPr="00365080">
        <w:rPr>
          <w:lang w:val="es-AR"/>
        </w:rPr>
        <w:lastRenderedPageBreak/>
        <w:t>Anexo 2: Países prioritarios</w:t>
      </w:r>
    </w:p>
    <w:p w14:paraId="4D3B9255" w14:textId="50F64936" w:rsidR="005F40DC" w:rsidRPr="00365080" w:rsidRDefault="00590F36" w:rsidP="008E4801">
      <w:pPr>
        <w:spacing w:before="60" w:after="120"/>
        <w:rPr>
          <w:lang w:val="es-AR"/>
        </w:rPr>
      </w:pPr>
      <w:r w:rsidRPr="00365080">
        <w:rPr>
          <w:color w:val="333333"/>
          <w:lang w:val="es-AR"/>
        </w:rPr>
        <w:t>Los siguientes países han sido identificados como países que han incluido aspectos de SDSR en sus Planes Nacionales de Adaptación (PNA) o Planes Nacionales de Adaptación para la Salud (PNAS) a partir de 2024.</w:t>
      </w:r>
    </w:p>
    <w:p w14:paraId="01699E8D" w14:textId="77777777" w:rsidR="005F40DC" w:rsidRPr="00365080" w:rsidRDefault="005F40DC" w:rsidP="008E4801">
      <w:pPr>
        <w:spacing w:after="120"/>
        <w:rPr>
          <w:lang w:val="es-A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8"/>
        <w:gridCol w:w="3009"/>
        <w:gridCol w:w="3009"/>
      </w:tblGrid>
      <w:tr w:rsidR="0078037C" w:rsidRPr="00365080" w14:paraId="3BB9F36E" w14:textId="77777777">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4BF42844" w14:textId="77777777" w:rsidR="005F40DC" w:rsidRPr="00365080" w:rsidRDefault="00590F36" w:rsidP="008E4801">
            <w:pPr>
              <w:spacing w:after="120"/>
              <w:rPr>
                <w:lang w:val="es-AR"/>
              </w:rPr>
            </w:pPr>
            <w:r w:rsidRPr="00365080">
              <w:rPr>
                <w:color w:val="333333"/>
                <w:lang w:val="es-AR"/>
              </w:rPr>
              <w:t>Bangladesh</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70B99683" w14:textId="4A320F32" w:rsidR="005F40DC" w:rsidRPr="00365080" w:rsidRDefault="00BF48AD" w:rsidP="008E4801">
            <w:pPr>
              <w:spacing w:after="120"/>
              <w:rPr>
                <w:lang w:val="es-AR"/>
              </w:rPr>
            </w:pPr>
            <w:r w:rsidRPr="00365080">
              <w:rPr>
                <w:color w:val="333333"/>
                <w:lang w:val="es-AR"/>
              </w:rPr>
              <w:t>Granada</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1AD014C8" w14:textId="4A8FE0D0" w:rsidR="005F40DC" w:rsidRPr="00365080" w:rsidRDefault="001770C7" w:rsidP="008E4801">
            <w:pPr>
              <w:spacing w:after="120"/>
              <w:rPr>
                <w:lang w:val="es-AR"/>
              </w:rPr>
            </w:pPr>
            <w:r w:rsidRPr="00365080">
              <w:rPr>
                <w:color w:val="333333"/>
                <w:lang w:val="es-AR"/>
              </w:rPr>
              <w:t>Perú</w:t>
            </w:r>
          </w:p>
        </w:tc>
      </w:tr>
      <w:tr w:rsidR="0078037C" w:rsidRPr="00365080" w14:paraId="1BA40CB2" w14:textId="77777777">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67BC9455" w14:textId="3F6EF14A" w:rsidR="005F40DC" w:rsidRPr="00365080" w:rsidRDefault="00024BB1" w:rsidP="008E4801">
            <w:pPr>
              <w:spacing w:after="120"/>
              <w:rPr>
                <w:lang w:val="es-AR"/>
              </w:rPr>
            </w:pPr>
            <w:r w:rsidRPr="00365080">
              <w:rPr>
                <w:color w:val="333333"/>
                <w:lang w:val="es-AR"/>
              </w:rPr>
              <w:t>Benín</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489364C2" w14:textId="77777777" w:rsidR="005F40DC" w:rsidRPr="00365080" w:rsidRDefault="00590F36" w:rsidP="008E4801">
            <w:pPr>
              <w:spacing w:after="120"/>
              <w:rPr>
                <w:lang w:val="es-AR"/>
              </w:rPr>
            </w:pPr>
            <w:r w:rsidRPr="00365080">
              <w:rPr>
                <w:color w:val="333333"/>
                <w:lang w:val="es-AR"/>
              </w:rPr>
              <w:t>Guatemala</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598D452F" w14:textId="77777777" w:rsidR="005F40DC" w:rsidRPr="00365080" w:rsidRDefault="00590F36" w:rsidP="008E4801">
            <w:pPr>
              <w:spacing w:after="120"/>
              <w:rPr>
                <w:lang w:val="es-AR"/>
              </w:rPr>
            </w:pPr>
            <w:r w:rsidRPr="00365080">
              <w:rPr>
                <w:color w:val="333333"/>
                <w:lang w:val="es-AR"/>
              </w:rPr>
              <w:t>Serbia</w:t>
            </w:r>
          </w:p>
        </w:tc>
      </w:tr>
      <w:tr w:rsidR="0078037C" w:rsidRPr="00365080" w14:paraId="2A63D8C9" w14:textId="77777777">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7F87BC5C" w14:textId="24488797" w:rsidR="005F40DC" w:rsidRPr="00365080" w:rsidRDefault="00590F36" w:rsidP="008E4801">
            <w:pPr>
              <w:spacing w:after="120"/>
              <w:rPr>
                <w:lang w:val="es-AR"/>
              </w:rPr>
            </w:pPr>
            <w:r w:rsidRPr="00365080">
              <w:rPr>
                <w:color w:val="333333"/>
                <w:lang w:val="es-AR"/>
              </w:rPr>
              <w:t xml:space="preserve">Bosnia </w:t>
            </w:r>
            <w:r w:rsidR="00024BB1">
              <w:rPr>
                <w:color w:val="333333"/>
                <w:lang w:val="es-AR"/>
              </w:rPr>
              <w:t>y</w:t>
            </w:r>
            <w:r w:rsidRPr="00365080">
              <w:rPr>
                <w:color w:val="333333"/>
                <w:lang w:val="es-AR"/>
              </w:rPr>
              <w:t xml:space="preserve"> Herzegovina</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1552225D" w14:textId="5DF8B600" w:rsidR="005F40DC" w:rsidRPr="00365080" w:rsidRDefault="00BF48AD" w:rsidP="008E4801">
            <w:pPr>
              <w:spacing w:after="120"/>
              <w:rPr>
                <w:lang w:val="es-AR"/>
              </w:rPr>
            </w:pPr>
            <w:r w:rsidRPr="00365080">
              <w:rPr>
                <w:color w:val="333333"/>
                <w:lang w:val="es-AR"/>
              </w:rPr>
              <w:t>Kenia</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0AFD16E4" w14:textId="660C73A4" w:rsidR="005F40DC" w:rsidRPr="00365080" w:rsidRDefault="00590F36" w:rsidP="008E4801">
            <w:pPr>
              <w:spacing w:after="120"/>
              <w:rPr>
                <w:lang w:val="es-AR"/>
              </w:rPr>
            </w:pPr>
            <w:r w:rsidRPr="00365080">
              <w:rPr>
                <w:color w:val="333333"/>
                <w:lang w:val="es-AR"/>
              </w:rPr>
              <w:t>Sierra Leon</w:t>
            </w:r>
            <w:r w:rsidR="001770C7">
              <w:rPr>
                <w:color w:val="333333"/>
                <w:lang w:val="es-AR"/>
              </w:rPr>
              <w:t>a</w:t>
            </w:r>
          </w:p>
        </w:tc>
      </w:tr>
      <w:tr w:rsidR="0078037C" w:rsidRPr="00365080" w14:paraId="32B7021C" w14:textId="77777777">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53805416" w14:textId="77EFC6F1" w:rsidR="005F40DC" w:rsidRPr="00365080" w:rsidRDefault="00024BB1" w:rsidP="008E4801">
            <w:pPr>
              <w:spacing w:after="120"/>
              <w:rPr>
                <w:lang w:val="es-AR"/>
              </w:rPr>
            </w:pPr>
            <w:r w:rsidRPr="00365080">
              <w:rPr>
                <w:color w:val="333333"/>
                <w:lang w:val="es-AR"/>
              </w:rPr>
              <w:t>Brasil</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7D26AB40" w14:textId="77777777" w:rsidR="005F40DC" w:rsidRPr="00365080" w:rsidRDefault="00590F36" w:rsidP="008E4801">
            <w:pPr>
              <w:spacing w:after="120"/>
              <w:rPr>
                <w:lang w:val="es-AR"/>
              </w:rPr>
            </w:pPr>
            <w:r w:rsidRPr="00365080">
              <w:rPr>
                <w:color w:val="333333"/>
                <w:lang w:val="es-AR"/>
              </w:rPr>
              <w:t>Kiribati</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4F84BF98" w14:textId="53D8076E" w:rsidR="005F40DC" w:rsidRPr="00365080" w:rsidRDefault="00590F36" w:rsidP="008E4801">
            <w:pPr>
              <w:spacing w:after="120"/>
              <w:rPr>
                <w:lang w:val="es-AR"/>
              </w:rPr>
            </w:pPr>
            <w:r w:rsidRPr="00365080">
              <w:rPr>
                <w:color w:val="333333"/>
                <w:lang w:val="es-AR"/>
              </w:rPr>
              <w:t>S</w:t>
            </w:r>
            <w:r w:rsidR="001770C7">
              <w:rPr>
                <w:color w:val="333333"/>
                <w:lang w:val="es-AR"/>
              </w:rPr>
              <w:t>udáfrica</w:t>
            </w:r>
          </w:p>
        </w:tc>
      </w:tr>
      <w:tr w:rsidR="0078037C" w:rsidRPr="00365080" w14:paraId="6F6AC859" w14:textId="77777777">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31D8C87C" w14:textId="77777777" w:rsidR="005F40DC" w:rsidRPr="00365080" w:rsidRDefault="00590F36" w:rsidP="008E4801">
            <w:pPr>
              <w:spacing w:after="120"/>
              <w:rPr>
                <w:lang w:val="es-AR"/>
              </w:rPr>
            </w:pPr>
            <w:r w:rsidRPr="00365080">
              <w:rPr>
                <w:color w:val="333333"/>
                <w:lang w:val="es-AR"/>
              </w:rPr>
              <w:t>Burkina Faso</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64900E7E" w14:textId="77777777" w:rsidR="005F40DC" w:rsidRPr="00365080" w:rsidRDefault="00590F36" w:rsidP="008E4801">
            <w:pPr>
              <w:spacing w:after="120"/>
              <w:rPr>
                <w:lang w:val="es-AR"/>
              </w:rPr>
            </w:pPr>
            <w:r w:rsidRPr="00365080">
              <w:rPr>
                <w:color w:val="333333"/>
                <w:lang w:val="es-AR"/>
              </w:rPr>
              <w:t>Liberia</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0588E2A0" w14:textId="58BE7B37" w:rsidR="005F40DC" w:rsidRPr="00365080" w:rsidRDefault="00590F36" w:rsidP="008E4801">
            <w:pPr>
              <w:spacing w:after="120"/>
              <w:rPr>
                <w:lang w:val="es-AR"/>
              </w:rPr>
            </w:pPr>
            <w:r w:rsidRPr="00365080">
              <w:rPr>
                <w:color w:val="333333"/>
                <w:lang w:val="es-AR"/>
              </w:rPr>
              <w:t>Sud</w:t>
            </w:r>
            <w:r w:rsidR="001770C7">
              <w:rPr>
                <w:color w:val="333333"/>
                <w:lang w:val="es-AR"/>
              </w:rPr>
              <w:t>á</w:t>
            </w:r>
            <w:r w:rsidRPr="00365080">
              <w:rPr>
                <w:color w:val="333333"/>
                <w:lang w:val="es-AR"/>
              </w:rPr>
              <w:t>n</w:t>
            </w:r>
          </w:p>
        </w:tc>
      </w:tr>
      <w:tr w:rsidR="0078037C" w:rsidRPr="00365080" w14:paraId="7F5B82FB" w14:textId="77777777">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6E94EF52" w14:textId="680B3238" w:rsidR="005F40DC" w:rsidRPr="00365080" w:rsidRDefault="00590F36" w:rsidP="008E4801">
            <w:pPr>
              <w:spacing w:after="120"/>
              <w:rPr>
                <w:lang w:val="es-AR"/>
              </w:rPr>
            </w:pPr>
            <w:r w:rsidRPr="00365080">
              <w:rPr>
                <w:color w:val="333333"/>
                <w:lang w:val="es-AR"/>
              </w:rPr>
              <w:t>Cambo</w:t>
            </w:r>
            <w:r w:rsidR="00024BB1">
              <w:rPr>
                <w:color w:val="333333"/>
                <w:lang w:val="es-AR"/>
              </w:rPr>
              <w:t>y</w:t>
            </w:r>
            <w:r w:rsidRPr="00365080">
              <w:rPr>
                <w:color w:val="333333"/>
                <w:lang w:val="es-AR"/>
              </w:rPr>
              <w:t>a</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62AE19B1" w14:textId="77777777" w:rsidR="005F40DC" w:rsidRPr="00365080" w:rsidRDefault="00590F36" w:rsidP="008E4801">
            <w:pPr>
              <w:spacing w:after="120"/>
              <w:rPr>
                <w:lang w:val="es-AR"/>
              </w:rPr>
            </w:pPr>
            <w:r w:rsidRPr="00365080">
              <w:rPr>
                <w:color w:val="333333"/>
                <w:lang w:val="es-AR"/>
              </w:rPr>
              <w:t>Moldova</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4C1C93B6" w14:textId="1E89CD44" w:rsidR="005F40DC" w:rsidRPr="00365080" w:rsidRDefault="00590F36" w:rsidP="008E4801">
            <w:pPr>
              <w:spacing w:after="120"/>
              <w:rPr>
                <w:lang w:val="es-AR"/>
              </w:rPr>
            </w:pPr>
            <w:r w:rsidRPr="00365080">
              <w:rPr>
                <w:color w:val="333333"/>
                <w:lang w:val="es-AR"/>
              </w:rPr>
              <w:t>Surinam</w:t>
            </w:r>
          </w:p>
        </w:tc>
      </w:tr>
      <w:tr w:rsidR="0078037C" w:rsidRPr="00365080" w14:paraId="4D76C2EC" w14:textId="77777777">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74BCDD87" w14:textId="511463B1" w:rsidR="005F40DC" w:rsidRPr="00365080" w:rsidRDefault="00BF48AD" w:rsidP="008E4801">
            <w:pPr>
              <w:spacing w:after="120"/>
              <w:rPr>
                <w:lang w:val="es-AR"/>
              </w:rPr>
            </w:pPr>
            <w:r>
              <w:rPr>
                <w:color w:val="333333"/>
                <w:lang w:val="es-AR"/>
              </w:rPr>
              <w:t>República centroafricana</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0C8B781C" w14:textId="77777777" w:rsidR="005F40DC" w:rsidRPr="00365080" w:rsidRDefault="00590F36" w:rsidP="008E4801">
            <w:pPr>
              <w:spacing w:after="120"/>
              <w:rPr>
                <w:lang w:val="es-AR"/>
              </w:rPr>
            </w:pPr>
            <w:r w:rsidRPr="00365080">
              <w:rPr>
                <w:color w:val="333333"/>
                <w:lang w:val="es-AR"/>
              </w:rPr>
              <w:t>Mozambique</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5D8B8B95" w14:textId="64EB1F23" w:rsidR="005F40DC" w:rsidRPr="00365080" w:rsidRDefault="00590F36" w:rsidP="008E4801">
            <w:pPr>
              <w:spacing w:after="120"/>
              <w:rPr>
                <w:lang w:val="es-AR"/>
              </w:rPr>
            </w:pPr>
            <w:r w:rsidRPr="00365080">
              <w:rPr>
                <w:color w:val="333333"/>
                <w:lang w:val="es-AR"/>
              </w:rPr>
              <w:t>Tailand</w:t>
            </w:r>
            <w:r w:rsidR="001770C7">
              <w:rPr>
                <w:color w:val="333333"/>
                <w:lang w:val="es-AR"/>
              </w:rPr>
              <w:t>ia</w:t>
            </w:r>
          </w:p>
        </w:tc>
      </w:tr>
      <w:tr w:rsidR="0078037C" w:rsidRPr="00365080" w14:paraId="0EE5CC49" w14:textId="77777777">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6020B1DF" w14:textId="77777777" w:rsidR="005F40DC" w:rsidRPr="00365080" w:rsidRDefault="00590F36" w:rsidP="008E4801">
            <w:pPr>
              <w:spacing w:after="120"/>
              <w:rPr>
                <w:lang w:val="es-AR"/>
              </w:rPr>
            </w:pPr>
            <w:r w:rsidRPr="00365080">
              <w:rPr>
                <w:color w:val="333333"/>
                <w:lang w:val="es-AR"/>
              </w:rPr>
              <w:t>Chad</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6154A58E" w14:textId="77777777" w:rsidR="005F40DC" w:rsidRPr="00365080" w:rsidRDefault="00590F36" w:rsidP="008E4801">
            <w:pPr>
              <w:spacing w:after="120"/>
              <w:rPr>
                <w:lang w:val="es-AR"/>
              </w:rPr>
            </w:pPr>
            <w:r w:rsidRPr="00365080">
              <w:rPr>
                <w:color w:val="333333"/>
                <w:lang w:val="es-AR"/>
              </w:rPr>
              <w:t>Nepal</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076027DC" w14:textId="77777777" w:rsidR="005F40DC" w:rsidRPr="00365080" w:rsidRDefault="00590F36" w:rsidP="008E4801">
            <w:pPr>
              <w:spacing w:after="120"/>
              <w:rPr>
                <w:lang w:val="es-AR"/>
              </w:rPr>
            </w:pPr>
            <w:r w:rsidRPr="00365080">
              <w:rPr>
                <w:color w:val="333333"/>
                <w:lang w:val="es-AR"/>
              </w:rPr>
              <w:t>Timor-Leste</w:t>
            </w:r>
          </w:p>
        </w:tc>
      </w:tr>
      <w:tr w:rsidR="0078037C" w:rsidRPr="00365080" w14:paraId="5429CF28" w14:textId="77777777">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20DACA30" w14:textId="77777777" w:rsidR="005F40DC" w:rsidRPr="00365080" w:rsidRDefault="00590F36" w:rsidP="008E4801">
            <w:pPr>
              <w:spacing w:after="120"/>
              <w:rPr>
                <w:lang w:val="es-AR"/>
              </w:rPr>
            </w:pPr>
            <w:r w:rsidRPr="00365080">
              <w:rPr>
                <w:color w:val="333333"/>
                <w:lang w:val="es-AR"/>
              </w:rPr>
              <w:t>Costa Rica</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048B59B9" w14:textId="28E2E823" w:rsidR="005F40DC" w:rsidRPr="00365080" w:rsidRDefault="001770C7" w:rsidP="008E4801">
            <w:pPr>
              <w:spacing w:after="120"/>
              <w:rPr>
                <w:lang w:val="es-AR"/>
              </w:rPr>
            </w:pPr>
            <w:r w:rsidRPr="00365080">
              <w:rPr>
                <w:color w:val="333333"/>
                <w:lang w:val="es-AR"/>
              </w:rPr>
              <w:t>Níger</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70FDD037" w14:textId="1801B760" w:rsidR="005F40DC" w:rsidRPr="00365080" w:rsidRDefault="00590F36" w:rsidP="008E4801">
            <w:pPr>
              <w:spacing w:after="120"/>
              <w:rPr>
                <w:lang w:val="es-AR"/>
              </w:rPr>
            </w:pPr>
            <w:r w:rsidRPr="00365080">
              <w:rPr>
                <w:color w:val="333333"/>
                <w:lang w:val="es-AR"/>
              </w:rPr>
              <w:t xml:space="preserve">Trinidad </w:t>
            </w:r>
            <w:r w:rsidR="001770C7">
              <w:rPr>
                <w:color w:val="333333"/>
                <w:lang w:val="es-AR"/>
              </w:rPr>
              <w:t>y</w:t>
            </w:r>
            <w:r w:rsidRPr="00365080">
              <w:rPr>
                <w:color w:val="333333"/>
                <w:lang w:val="es-AR"/>
              </w:rPr>
              <w:t xml:space="preserve"> Tobago</w:t>
            </w:r>
          </w:p>
        </w:tc>
      </w:tr>
      <w:tr w:rsidR="0078037C" w:rsidRPr="00365080" w14:paraId="43F57BDE" w14:textId="77777777">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62FD1110" w14:textId="1190FEA9" w:rsidR="005F40DC" w:rsidRPr="00365080" w:rsidRDefault="00BF48AD" w:rsidP="008E4801">
            <w:pPr>
              <w:spacing w:after="120"/>
              <w:rPr>
                <w:lang w:val="es-AR"/>
              </w:rPr>
            </w:pPr>
            <w:r w:rsidRPr="00BF48AD">
              <w:rPr>
                <w:color w:val="333333"/>
                <w:lang w:val="es-AR"/>
              </w:rPr>
              <w:t>República Democrática del Congo</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2184835B" w14:textId="77777777" w:rsidR="005F40DC" w:rsidRPr="00365080" w:rsidRDefault="00590F36" w:rsidP="008E4801">
            <w:pPr>
              <w:spacing w:after="120"/>
              <w:rPr>
                <w:lang w:val="es-AR"/>
              </w:rPr>
            </w:pPr>
            <w:r w:rsidRPr="00365080">
              <w:rPr>
                <w:color w:val="333333"/>
                <w:lang w:val="es-AR"/>
              </w:rPr>
              <w:t>Nigeria</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73B00D27" w14:textId="6FDFF136" w:rsidR="005F40DC" w:rsidRPr="00365080" w:rsidRDefault="007249CD" w:rsidP="008E4801">
            <w:pPr>
              <w:spacing w:after="120"/>
              <w:rPr>
                <w:lang w:val="es-AR"/>
              </w:rPr>
            </w:pPr>
            <w:r w:rsidRPr="007249CD">
              <w:rPr>
                <w:color w:val="333333"/>
                <w:lang w:val="es-AR"/>
              </w:rPr>
              <w:t xml:space="preserve">República Unida de </w:t>
            </w:r>
            <w:proofErr w:type="spellStart"/>
            <w:r w:rsidRPr="007249CD">
              <w:rPr>
                <w:color w:val="333333"/>
                <w:lang w:val="es-AR"/>
              </w:rPr>
              <w:t>Tanzanía</w:t>
            </w:r>
            <w:proofErr w:type="spellEnd"/>
          </w:p>
        </w:tc>
      </w:tr>
      <w:tr w:rsidR="0078037C" w:rsidRPr="00365080" w14:paraId="3E5BC35B" w14:textId="77777777">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3B9DC04D" w14:textId="3AB8C76A" w:rsidR="005F40DC" w:rsidRPr="00365080" w:rsidRDefault="00590F36" w:rsidP="008E4801">
            <w:pPr>
              <w:spacing w:after="120"/>
              <w:rPr>
                <w:lang w:val="es-AR"/>
              </w:rPr>
            </w:pPr>
            <w:r w:rsidRPr="00365080">
              <w:rPr>
                <w:color w:val="333333"/>
                <w:lang w:val="es-AR"/>
              </w:rPr>
              <w:t>Etiop</w:t>
            </w:r>
            <w:r w:rsidR="00BF48AD">
              <w:rPr>
                <w:color w:val="333333"/>
                <w:lang w:val="es-AR"/>
              </w:rPr>
              <w:t>í</w:t>
            </w:r>
            <w:r w:rsidRPr="00365080">
              <w:rPr>
                <w:color w:val="333333"/>
                <w:lang w:val="es-AR"/>
              </w:rPr>
              <w:t>a</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2DE71CD8" w14:textId="14D0C37D" w:rsidR="005F40DC" w:rsidRPr="00365080" w:rsidRDefault="001770C7" w:rsidP="008E4801">
            <w:pPr>
              <w:spacing w:after="120"/>
              <w:rPr>
                <w:lang w:val="es-AR"/>
              </w:rPr>
            </w:pPr>
            <w:r>
              <w:rPr>
                <w:color w:val="333333"/>
                <w:lang w:val="es-AR"/>
              </w:rPr>
              <w:t>territorio Palestino o</w:t>
            </w:r>
            <w:r w:rsidR="00590F36" w:rsidRPr="00365080">
              <w:rPr>
                <w:color w:val="333333"/>
                <w:lang w:val="es-AR"/>
              </w:rPr>
              <w:t>cup</w:t>
            </w:r>
            <w:r>
              <w:rPr>
                <w:color w:val="333333"/>
                <w:lang w:val="es-AR"/>
              </w:rPr>
              <w:t>ado y Jerusalén Oriental</w:t>
            </w:r>
          </w:p>
        </w:tc>
        <w:tc>
          <w:tcPr>
            <w:tcW w:w="3008" w:type="dxa"/>
            <w:tcBorders>
              <w:top w:val="none" w:sz="0" w:space="0" w:color="FFFFFF"/>
              <w:left w:val="none" w:sz="0" w:space="0" w:color="FFFFFF"/>
              <w:bottom w:val="none" w:sz="0" w:space="0" w:color="FFFFFF"/>
              <w:right w:val="none" w:sz="0" w:space="0" w:color="FFFFFF"/>
            </w:tcBorders>
            <w:shd w:val="clear" w:color="auto" w:fill="D6E8F5"/>
            <w:tcMar>
              <w:top w:w="60" w:type="dxa"/>
              <w:left w:w="120" w:type="dxa"/>
              <w:bottom w:w="60" w:type="dxa"/>
              <w:right w:w="120" w:type="dxa"/>
            </w:tcMar>
          </w:tcPr>
          <w:p w14:paraId="164A6044" w14:textId="77777777" w:rsidR="005F40DC" w:rsidRPr="00365080" w:rsidRDefault="00590F36" w:rsidP="008E4801">
            <w:pPr>
              <w:spacing w:after="120"/>
              <w:rPr>
                <w:lang w:val="es-AR"/>
              </w:rPr>
            </w:pPr>
            <w:r w:rsidRPr="00365080">
              <w:rPr>
                <w:color w:val="333333"/>
                <w:lang w:val="es-AR"/>
              </w:rPr>
              <w:t>Uruguay</w:t>
            </w:r>
          </w:p>
        </w:tc>
      </w:tr>
      <w:tr w:rsidR="0078037C" w:rsidRPr="00365080" w14:paraId="1904B932" w14:textId="77777777">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61624BCE" w14:textId="360D430B" w:rsidR="005F40DC" w:rsidRPr="00365080" w:rsidRDefault="00590F36" w:rsidP="008E4801">
            <w:pPr>
              <w:spacing w:after="120"/>
              <w:rPr>
                <w:lang w:val="es-AR"/>
              </w:rPr>
            </w:pPr>
            <w:r w:rsidRPr="00365080">
              <w:rPr>
                <w:color w:val="333333"/>
                <w:lang w:val="es-AR"/>
              </w:rPr>
              <w:t>Fi</w:t>
            </w:r>
            <w:r w:rsidR="00BF48AD">
              <w:rPr>
                <w:color w:val="333333"/>
                <w:lang w:val="es-AR"/>
              </w:rPr>
              <w:t>y</w:t>
            </w:r>
            <w:r w:rsidRPr="00365080">
              <w:rPr>
                <w:color w:val="333333"/>
                <w:lang w:val="es-AR"/>
              </w:rPr>
              <w:t>i</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1302FE32" w14:textId="13E7F17C" w:rsidR="005F40DC" w:rsidRPr="00365080" w:rsidRDefault="001770C7" w:rsidP="008E4801">
            <w:pPr>
              <w:spacing w:after="120"/>
              <w:rPr>
                <w:lang w:val="es-AR"/>
              </w:rPr>
            </w:pPr>
            <w:r w:rsidRPr="00365080">
              <w:rPr>
                <w:color w:val="333333"/>
                <w:lang w:val="es-AR"/>
              </w:rPr>
              <w:t>Pakistán</w:t>
            </w:r>
          </w:p>
        </w:tc>
        <w:tc>
          <w:tcPr>
            <w:tcW w:w="3008"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120" w:type="dxa"/>
            </w:tcMar>
          </w:tcPr>
          <w:p w14:paraId="74DE8E44" w14:textId="77777777" w:rsidR="005F40DC" w:rsidRPr="00365080" w:rsidRDefault="00590F36" w:rsidP="008E4801">
            <w:pPr>
              <w:spacing w:after="120"/>
              <w:rPr>
                <w:lang w:val="es-AR"/>
              </w:rPr>
            </w:pPr>
            <w:r w:rsidRPr="00365080">
              <w:rPr>
                <w:color w:val="333333"/>
                <w:lang w:val="es-AR"/>
              </w:rPr>
              <w:t>Zambia</w:t>
            </w:r>
          </w:p>
        </w:tc>
      </w:tr>
    </w:tbl>
    <w:p w14:paraId="65417B9E" w14:textId="77777777" w:rsidR="005F40DC" w:rsidRPr="00365080" w:rsidRDefault="005F40DC" w:rsidP="008E4801">
      <w:pPr>
        <w:spacing w:after="120"/>
        <w:rPr>
          <w:lang w:val="es-AR"/>
        </w:rPr>
      </w:pPr>
    </w:p>
    <w:p w14:paraId="1C304F0B" w14:textId="77777777" w:rsidR="005F40DC" w:rsidRPr="00231B6A" w:rsidRDefault="00590F36" w:rsidP="008E4801">
      <w:pPr>
        <w:spacing w:before="60" w:after="120"/>
        <w:rPr>
          <w:sz w:val="18"/>
          <w:szCs w:val="18"/>
          <w:lang w:val="es-AR"/>
        </w:rPr>
      </w:pPr>
      <w:r w:rsidRPr="00B140CC">
        <w:rPr>
          <w:i/>
          <w:iCs/>
          <w:color w:val="333333"/>
          <w:sz w:val="18"/>
          <w:szCs w:val="18"/>
        </w:rPr>
        <w:t xml:space="preserve">Fuente: </w:t>
      </w:r>
      <w:proofErr w:type="spellStart"/>
      <w:r w:rsidRPr="00B140CC">
        <w:rPr>
          <w:i/>
          <w:iCs/>
          <w:color w:val="333333"/>
          <w:sz w:val="18"/>
          <w:szCs w:val="18"/>
        </w:rPr>
        <w:t>Alagarajah</w:t>
      </w:r>
      <w:proofErr w:type="spellEnd"/>
      <w:r w:rsidRPr="00B140CC">
        <w:rPr>
          <w:i/>
          <w:iCs/>
          <w:color w:val="333333"/>
          <w:sz w:val="18"/>
          <w:szCs w:val="18"/>
        </w:rPr>
        <w:t xml:space="preserve"> J, Beeman A, Brown M, </w:t>
      </w:r>
      <w:proofErr w:type="spellStart"/>
      <w:r w:rsidRPr="00B140CC">
        <w:rPr>
          <w:i/>
          <w:iCs/>
          <w:color w:val="333333"/>
          <w:sz w:val="18"/>
          <w:szCs w:val="18"/>
        </w:rPr>
        <w:t>Aibe</w:t>
      </w:r>
      <w:proofErr w:type="spellEnd"/>
      <w:r w:rsidRPr="00B140CC">
        <w:rPr>
          <w:i/>
          <w:iCs/>
          <w:color w:val="333333"/>
          <w:sz w:val="18"/>
          <w:szCs w:val="18"/>
        </w:rPr>
        <w:t xml:space="preserve"> S, Fuchs NR, Gibbs T. Sexual and Reproductive Health and Rights in National Adaptation Plans and Health National Adaptation Plans: A Global Review. </w:t>
      </w:r>
      <w:r w:rsidRPr="00231B6A">
        <w:rPr>
          <w:i/>
          <w:iCs/>
          <w:color w:val="333333"/>
          <w:sz w:val="18"/>
          <w:szCs w:val="18"/>
          <w:lang w:val="es-AR"/>
        </w:rPr>
        <w:t xml:space="preserve">2024: </w:t>
      </w:r>
      <w:proofErr w:type="spellStart"/>
      <w:r w:rsidRPr="00231B6A">
        <w:rPr>
          <w:i/>
          <w:iCs/>
          <w:color w:val="333333"/>
          <w:sz w:val="18"/>
          <w:szCs w:val="18"/>
          <w:lang w:val="es-AR"/>
        </w:rPr>
        <w:t>YLabs</w:t>
      </w:r>
      <w:proofErr w:type="spellEnd"/>
      <w:r w:rsidRPr="00231B6A">
        <w:rPr>
          <w:i/>
          <w:iCs/>
          <w:color w:val="333333"/>
          <w:sz w:val="18"/>
          <w:szCs w:val="18"/>
          <w:lang w:val="es-AR"/>
        </w:rPr>
        <w:t>.</w:t>
      </w:r>
    </w:p>
    <w:p w14:paraId="04550907" w14:textId="77777777" w:rsidR="005F40DC" w:rsidRPr="00365080" w:rsidRDefault="005F40DC" w:rsidP="008E4801">
      <w:pPr>
        <w:spacing w:after="120"/>
        <w:rPr>
          <w:lang w:val="es-AR"/>
        </w:rPr>
      </w:pPr>
    </w:p>
    <w:p w14:paraId="399998A3" w14:textId="0A5F28BB" w:rsidR="005F40DC" w:rsidRPr="00365080" w:rsidRDefault="005F40DC" w:rsidP="008E4801">
      <w:pPr>
        <w:spacing w:after="120"/>
        <w:rPr>
          <w:lang w:val="es-AR"/>
        </w:rPr>
      </w:pPr>
    </w:p>
    <w:p w14:paraId="4E5F58E5" w14:textId="2612CD91" w:rsidR="005F40DC" w:rsidRPr="00365080" w:rsidRDefault="005F40DC" w:rsidP="008E4801">
      <w:pPr>
        <w:spacing w:after="120"/>
        <w:rPr>
          <w:lang w:val="es-AR"/>
        </w:rPr>
      </w:pPr>
    </w:p>
    <w:sectPr w:rsidR="005F40DC" w:rsidRPr="00365080">
      <w:headerReference w:type="default" r:id="rId14"/>
      <w:footerReference w:type="default" r:id="rId15"/>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A6F26" w14:textId="77777777" w:rsidR="00FF0CD5" w:rsidRDefault="00FF0CD5">
      <w:r>
        <w:separator/>
      </w:r>
    </w:p>
  </w:endnote>
  <w:endnote w:type="continuationSeparator" w:id="0">
    <w:p w14:paraId="7F38992F" w14:textId="77777777" w:rsidR="00FF0CD5" w:rsidRDefault="00FF0CD5">
      <w:r>
        <w:continuationSeparator/>
      </w:r>
    </w:p>
  </w:endnote>
  <w:endnote w:type="continuationNotice" w:id="1">
    <w:p w14:paraId="3D979EDA" w14:textId="77777777" w:rsidR="00FF0CD5" w:rsidRDefault="00FF0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3026"/>
    </w:tblGrid>
    <w:tr w:rsidR="009774C0" w14:paraId="57AA5606" w14:textId="77777777">
      <w:tc>
        <w:tcPr>
          <w:tcW w:w="6000" w:type="dxa"/>
          <w:tcBorders>
            <w:top w:val="single" w:sz="2" w:space="0" w:color="CCCCCC"/>
            <w:left w:val="none" w:sz="0" w:space="0" w:color="FFFFFF"/>
            <w:bottom w:val="none" w:sz="0" w:space="0" w:color="FFFFFF"/>
            <w:right w:val="none" w:sz="0" w:space="0" w:color="FFFFFF"/>
          </w:tcBorders>
          <w:tcMar>
            <w:top w:w="60" w:type="dxa"/>
            <w:left w:w="0" w:type="dxa"/>
            <w:bottom w:w="0" w:type="dxa"/>
            <w:right w:w="0" w:type="dxa"/>
          </w:tcMar>
        </w:tcPr>
        <w:p w14:paraId="3D0F1086" w14:textId="77777777" w:rsidR="005F40DC" w:rsidRDefault="00590F36">
          <w:r>
            <w:rPr>
              <w:color w:val="666666"/>
              <w:sz w:val="14"/>
              <w:szCs w:val="14"/>
            </w:rPr>
            <w:t xml:space="preserve">UNDP/UNFPA/UNICEF/WHO/World Bank Special </w:t>
          </w:r>
          <w:proofErr w:type="spellStart"/>
          <w:r>
            <w:rPr>
              <w:color w:val="666666"/>
              <w:sz w:val="14"/>
              <w:szCs w:val="14"/>
            </w:rPr>
            <w:t>Programme</w:t>
          </w:r>
          <w:proofErr w:type="spellEnd"/>
          <w:r>
            <w:rPr>
              <w:color w:val="666666"/>
              <w:sz w:val="14"/>
              <w:szCs w:val="14"/>
            </w:rPr>
            <w:t xml:space="preserve"> of Research (HRP)</w:t>
          </w:r>
        </w:p>
      </w:tc>
      <w:tc>
        <w:tcPr>
          <w:tcW w:w="3026" w:type="dxa"/>
          <w:tcBorders>
            <w:top w:val="single" w:sz="2" w:space="0" w:color="CCCCCC"/>
            <w:left w:val="none" w:sz="0" w:space="0" w:color="FFFFFF"/>
            <w:bottom w:val="none" w:sz="0" w:space="0" w:color="FFFFFF"/>
            <w:right w:val="none" w:sz="0" w:space="0" w:color="FFFFFF"/>
          </w:tcBorders>
          <w:tcMar>
            <w:top w:w="60" w:type="dxa"/>
            <w:left w:w="0" w:type="dxa"/>
            <w:bottom w:w="0" w:type="dxa"/>
            <w:right w:w="0" w:type="dxa"/>
          </w:tcMar>
        </w:tcPr>
        <w:p w14:paraId="05F9B53B" w14:textId="31EFCE25" w:rsidR="005F40DC" w:rsidRDefault="0083106E">
          <w:pPr>
            <w:jc w:val="right"/>
          </w:pPr>
          <w:r>
            <w:rPr>
              <w:color w:val="666666"/>
              <w:sz w:val="14"/>
              <w:szCs w:val="14"/>
            </w:rPr>
            <w:t>Call for proposals climate-SRHR 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EB612" w14:textId="77777777" w:rsidR="00FF0CD5" w:rsidRDefault="00FF0CD5">
      <w:r>
        <w:separator/>
      </w:r>
    </w:p>
  </w:footnote>
  <w:footnote w:type="continuationSeparator" w:id="0">
    <w:p w14:paraId="4958C2DC" w14:textId="77777777" w:rsidR="00FF0CD5" w:rsidRDefault="00FF0CD5">
      <w:r>
        <w:continuationSeparator/>
      </w:r>
    </w:p>
  </w:footnote>
  <w:footnote w:type="continuationNotice" w:id="1">
    <w:p w14:paraId="26740A59" w14:textId="77777777" w:rsidR="00FF0CD5" w:rsidRDefault="00FF0CD5"/>
  </w:footnote>
  <w:footnote w:id="2">
    <w:p w14:paraId="054017A4" w14:textId="0761FB30" w:rsidR="008273BA" w:rsidRDefault="008273BA">
      <w:pPr>
        <w:pStyle w:val="FootnoteText"/>
      </w:pPr>
      <w:r>
        <w:rPr>
          <w:rStyle w:val="FootnoteReference"/>
        </w:rPr>
        <w:footnoteRef/>
      </w:r>
      <w:r>
        <w:t xml:space="preserve"> </w:t>
      </w:r>
      <w:hyperlink r:id="rId1" w:history="1">
        <w:r w:rsidRPr="00FD2206">
          <w:rPr>
            <w:rStyle w:val="Hyperlink"/>
            <w:sz w:val="18"/>
            <w:szCs w:val="18"/>
          </w:rPr>
          <w:t>https://blogs.worldbank.org/en/opendata/world-bank-country-classifications-by-income-level-for-2024-2025</w:t>
        </w:r>
      </w:hyperlink>
    </w:p>
  </w:footnote>
  <w:footnote w:id="3">
    <w:p w14:paraId="0C7E5296" w14:textId="1DD7B7B2" w:rsidR="008273BA" w:rsidRDefault="008273BA">
      <w:pPr>
        <w:pStyle w:val="FootnoteText"/>
      </w:pPr>
      <w:r>
        <w:rPr>
          <w:rStyle w:val="FootnoteReference"/>
        </w:rPr>
        <w:footnoteRef/>
      </w:r>
      <w:r>
        <w:t xml:space="preserve"> </w:t>
      </w:r>
      <w:hyperlink r:id="rId2" w:history="1">
        <w:r w:rsidRPr="002837E0">
          <w:rPr>
            <w:rStyle w:val="Hyperlink"/>
            <w:sz w:val="18"/>
            <w:szCs w:val="18"/>
          </w:rPr>
          <w:t>https://www.who.int/about/who-we-are/regional-offices</w:t>
        </w:r>
      </w:hyperlink>
    </w:p>
  </w:footnote>
  <w:footnote w:id="4">
    <w:p w14:paraId="797AEF9A" w14:textId="12E27D35" w:rsidR="008273BA" w:rsidRPr="008273BA" w:rsidRDefault="008273BA">
      <w:pPr>
        <w:pStyle w:val="FootnoteText"/>
        <w:rPr>
          <w:sz w:val="16"/>
          <w:szCs w:val="16"/>
        </w:rPr>
      </w:pPr>
      <w:r w:rsidRPr="008273BA">
        <w:rPr>
          <w:rStyle w:val="FootnoteReference"/>
          <w:sz w:val="16"/>
          <w:szCs w:val="16"/>
        </w:rPr>
        <w:footnoteRef/>
      </w:r>
      <w:r w:rsidRPr="008273BA">
        <w:rPr>
          <w:sz w:val="16"/>
          <w:szCs w:val="16"/>
        </w:rPr>
        <w:t xml:space="preserve"> </w:t>
      </w:r>
      <w:hyperlink r:id="rId3" w:history="1">
        <w:r w:rsidRPr="008273BA">
          <w:rPr>
            <w:rStyle w:val="Hyperlink"/>
            <w:sz w:val="16"/>
            <w:szCs w:val="16"/>
          </w:rPr>
          <w:t>https://blogs.worldbank.org/en/opendata/world-bank-country-classifications-by-income-level-for-2024-2025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51C3" w14:textId="48C9A167" w:rsidR="006015F8" w:rsidRDefault="006015F8" w:rsidP="006015F8">
    <w:pPr>
      <w:pStyle w:val="Header"/>
      <w:rPr>
        <w:rFonts w:ascii="Cambria" w:hAnsi="Cambria"/>
        <w:noProof/>
        <w:lang w:val="en-GB"/>
      </w:rPr>
    </w:pPr>
    <w:r w:rsidRPr="00F258D7">
      <w:rPr>
        <w:rFonts w:ascii="Cambria" w:hAnsi="Cambria"/>
        <w:noProof/>
        <w:lang w:val="en-GB"/>
      </w:rPr>
      <w:drawing>
        <wp:anchor distT="0" distB="0" distL="114300" distR="114300" simplePos="0" relativeHeight="251658240" behindDoc="1" locked="0" layoutInCell="1" allowOverlap="1" wp14:anchorId="2D50F958" wp14:editId="15E08AA8">
          <wp:simplePos x="0" y="0"/>
          <wp:positionH relativeFrom="column">
            <wp:posOffset>4695825</wp:posOffset>
          </wp:positionH>
          <wp:positionV relativeFrom="paragraph">
            <wp:posOffset>-147320</wp:posOffset>
          </wp:positionV>
          <wp:extent cx="1325880" cy="590550"/>
          <wp:effectExtent l="0" t="0" r="7620" b="0"/>
          <wp:wrapTight wrapText="bothSides">
            <wp:wrapPolygon edited="0">
              <wp:start x="0" y="0"/>
              <wp:lineTo x="0" y="20903"/>
              <wp:lineTo x="21414" y="20903"/>
              <wp:lineTo x="21414" y="0"/>
              <wp:lineTo x="0" y="0"/>
            </wp:wrapPolygon>
          </wp:wrapTight>
          <wp:docPr id="3" name="Picture 3" descr="A white background with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ue and black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5880" cy="590550"/>
                  </a:xfrm>
                  <a:prstGeom prst="rect">
                    <a:avLst/>
                  </a:prstGeom>
                </pic:spPr>
              </pic:pic>
            </a:graphicData>
          </a:graphic>
        </wp:anchor>
      </w:drawing>
    </w:r>
    <w:r w:rsidRPr="00F258D7">
      <w:rPr>
        <w:rFonts w:ascii="Cambria" w:hAnsi="Cambria"/>
        <w:noProof/>
        <w:lang w:val="en-GB"/>
      </w:rPr>
      <w:drawing>
        <wp:inline distT="0" distB="0" distL="0" distR="0" wp14:anchorId="71743E7E" wp14:editId="4B482227">
          <wp:extent cx="1516380" cy="464796"/>
          <wp:effectExtent l="0" t="0" r="0" b="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16909" cy="464958"/>
                  </a:xfrm>
                  <a:prstGeom prst="rect">
                    <a:avLst/>
                  </a:prstGeom>
                </pic:spPr>
              </pic:pic>
            </a:graphicData>
          </a:graphic>
        </wp:inline>
      </w:drawing>
    </w:r>
    <w:r w:rsidRPr="00B803D2">
      <w:rPr>
        <w:rFonts w:ascii="Cambria" w:hAnsi="Cambria"/>
        <w:noProof/>
        <w:lang w:val="en-GB"/>
      </w:rPr>
      <w:t xml:space="preserve"> </w:t>
    </w:r>
  </w:p>
  <w:p w14:paraId="596CA578" w14:textId="6D502C59" w:rsidR="00054D6D" w:rsidRDefault="00054D6D">
    <w:pPr>
      <w:pStyle w:val="Header"/>
      <w:rPr>
        <w:color w:val="A5C9EB" w:themeColor="text2" w:themeTint="40"/>
      </w:rPr>
    </w:pPr>
    <w:r w:rsidRPr="00054D6D">
      <w:rPr>
        <w:color w:val="A5C9EB" w:themeColor="text2" w:themeTint="40"/>
      </w:rPr>
      <w:t>______________________________________________________________________________________</w:t>
    </w:r>
  </w:p>
  <w:p w14:paraId="11F41AD6" w14:textId="77777777" w:rsidR="00F32438" w:rsidRDefault="00F324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033EC"/>
    <w:multiLevelType w:val="hybridMultilevel"/>
    <w:tmpl w:val="3F90DD88"/>
    <w:lvl w:ilvl="0" w:tplc="5F4C54C0">
      <w:start w:val="1"/>
      <w:numFmt w:val="bullet"/>
      <w:lvlText w:val="●"/>
      <w:lvlJc w:val="left"/>
      <w:pPr>
        <w:ind w:left="720" w:hanging="360"/>
      </w:pPr>
    </w:lvl>
    <w:lvl w:ilvl="1" w:tplc="B398482C">
      <w:start w:val="1"/>
      <w:numFmt w:val="bullet"/>
      <w:lvlText w:val="○"/>
      <w:lvlJc w:val="left"/>
      <w:pPr>
        <w:ind w:left="1440" w:hanging="360"/>
      </w:pPr>
    </w:lvl>
    <w:lvl w:ilvl="2" w:tplc="18303894">
      <w:start w:val="1"/>
      <w:numFmt w:val="bullet"/>
      <w:lvlText w:val="■"/>
      <w:lvlJc w:val="left"/>
      <w:pPr>
        <w:ind w:left="2160" w:hanging="360"/>
      </w:pPr>
    </w:lvl>
    <w:lvl w:ilvl="3" w:tplc="DEC4AF5A">
      <w:start w:val="1"/>
      <w:numFmt w:val="bullet"/>
      <w:lvlText w:val="●"/>
      <w:lvlJc w:val="left"/>
      <w:pPr>
        <w:ind w:left="2880" w:hanging="360"/>
      </w:pPr>
    </w:lvl>
    <w:lvl w:ilvl="4" w:tplc="9AA8A35C">
      <w:start w:val="1"/>
      <w:numFmt w:val="bullet"/>
      <w:lvlText w:val="○"/>
      <w:lvlJc w:val="left"/>
      <w:pPr>
        <w:ind w:left="3600" w:hanging="360"/>
      </w:pPr>
    </w:lvl>
    <w:lvl w:ilvl="5" w:tplc="771CFB04">
      <w:start w:val="1"/>
      <w:numFmt w:val="bullet"/>
      <w:lvlText w:val="■"/>
      <w:lvlJc w:val="left"/>
      <w:pPr>
        <w:ind w:left="4320" w:hanging="360"/>
      </w:pPr>
    </w:lvl>
    <w:lvl w:ilvl="6" w:tplc="65060912">
      <w:start w:val="1"/>
      <w:numFmt w:val="bullet"/>
      <w:lvlText w:val="●"/>
      <w:lvlJc w:val="left"/>
      <w:pPr>
        <w:ind w:left="5040" w:hanging="360"/>
      </w:pPr>
    </w:lvl>
    <w:lvl w:ilvl="7" w:tplc="498851B0">
      <w:start w:val="1"/>
      <w:numFmt w:val="bullet"/>
      <w:lvlText w:val="●"/>
      <w:lvlJc w:val="left"/>
      <w:pPr>
        <w:ind w:left="5760" w:hanging="360"/>
      </w:pPr>
    </w:lvl>
    <w:lvl w:ilvl="8" w:tplc="4EDA620C">
      <w:start w:val="1"/>
      <w:numFmt w:val="bullet"/>
      <w:lvlText w:val="●"/>
      <w:lvlJc w:val="left"/>
      <w:pPr>
        <w:ind w:left="6480" w:hanging="360"/>
      </w:pPr>
    </w:lvl>
  </w:abstractNum>
  <w:abstractNum w:abstractNumId="1" w15:restartNumberingAfterBreak="0">
    <w:nsid w:val="52610825"/>
    <w:multiLevelType w:val="hybridMultilevel"/>
    <w:tmpl w:val="32844F98"/>
    <w:lvl w:ilvl="0" w:tplc="109EE7FE">
      <w:start w:val="1"/>
      <w:numFmt w:val="bullet"/>
      <w:lvlText w:val="•"/>
      <w:lvlJc w:val="left"/>
      <w:pPr>
        <w:ind w:left="720" w:hanging="360"/>
      </w:pPr>
    </w:lvl>
    <w:lvl w:ilvl="1" w:tplc="79623CEE">
      <w:numFmt w:val="decimal"/>
      <w:lvlText w:val=""/>
      <w:lvlJc w:val="left"/>
    </w:lvl>
    <w:lvl w:ilvl="2" w:tplc="E8581404">
      <w:numFmt w:val="decimal"/>
      <w:lvlText w:val=""/>
      <w:lvlJc w:val="left"/>
    </w:lvl>
    <w:lvl w:ilvl="3" w:tplc="43C2DA54">
      <w:numFmt w:val="decimal"/>
      <w:lvlText w:val=""/>
      <w:lvlJc w:val="left"/>
    </w:lvl>
    <w:lvl w:ilvl="4" w:tplc="56D820B2">
      <w:numFmt w:val="decimal"/>
      <w:lvlText w:val=""/>
      <w:lvlJc w:val="left"/>
    </w:lvl>
    <w:lvl w:ilvl="5" w:tplc="9162D270">
      <w:numFmt w:val="decimal"/>
      <w:lvlText w:val=""/>
      <w:lvlJc w:val="left"/>
    </w:lvl>
    <w:lvl w:ilvl="6" w:tplc="92F445B4">
      <w:numFmt w:val="decimal"/>
      <w:lvlText w:val=""/>
      <w:lvlJc w:val="left"/>
    </w:lvl>
    <w:lvl w:ilvl="7" w:tplc="8BEA15EA">
      <w:numFmt w:val="decimal"/>
      <w:lvlText w:val=""/>
      <w:lvlJc w:val="left"/>
    </w:lvl>
    <w:lvl w:ilvl="8" w:tplc="1C924DEC">
      <w:numFmt w:val="decimal"/>
      <w:lvlText w:val=""/>
      <w:lvlJc w:val="left"/>
    </w:lvl>
  </w:abstractNum>
  <w:abstractNum w:abstractNumId="2" w15:restartNumberingAfterBreak="0">
    <w:nsid w:val="728079A0"/>
    <w:multiLevelType w:val="hybridMultilevel"/>
    <w:tmpl w:val="887ECC38"/>
    <w:lvl w:ilvl="0" w:tplc="031CB5E4">
      <w:start w:val="1"/>
      <w:numFmt w:val="decimal"/>
      <w:lvlText w:val="%1."/>
      <w:lvlJc w:val="left"/>
      <w:pPr>
        <w:ind w:left="720" w:hanging="360"/>
      </w:pPr>
    </w:lvl>
    <w:lvl w:ilvl="1" w:tplc="73CAA922">
      <w:numFmt w:val="decimal"/>
      <w:lvlText w:val=""/>
      <w:lvlJc w:val="left"/>
    </w:lvl>
    <w:lvl w:ilvl="2" w:tplc="FFBED22C">
      <w:numFmt w:val="decimal"/>
      <w:lvlText w:val=""/>
      <w:lvlJc w:val="left"/>
    </w:lvl>
    <w:lvl w:ilvl="3" w:tplc="6F64CF1E">
      <w:numFmt w:val="decimal"/>
      <w:lvlText w:val=""/>
      <w:lvlJc w:val="left"/>
    </w:lvl>
    <w:lvl w:ilvl="4" w:tplc="57D02D5C">
      <w:numFmt w:val="decimal"/>
      <w:lvlText w:val=""/>
      <w:lvlJc w:val="left"/>
    </w:lvl>
    <w:lvl w:ilvl="5" w:tplc="714264A6">
      <w:numFmt w:val="decimal"/>
      <w:lvlText w:val=""/>
      <w:lvlJc w:val="left"/>
    </w:lvl>
    <w:lvl w:ilvl="6" w:tplc="A224E1B8">
      <w:numFmt w:val="decimal"/>
      <w:lvlText w:val=""/>
      <w:lvlJc w:val="left"/>
    </w:lvl>
    <w:lvl w:ilvl="7" w:tplc="061A8AE6">
      <w:numFmt w:val="decimal"/>
      <w:lvlText w:val=""/>
      <w:lvlJc w:val="left"/>
    </w:lvl>
    <w:lvl w:ilvl="8" w:tplc="3C44904C">
      <w:numFmt w:val="decimal"/>
      <w:lvlText w:val=""/>
      <w:lvlJc w:val="left"/>
    </w:lvl>
  </w:abstractNum>
  <w:abstractNum w:abstractNumId="3" w15:restartNumberingAfterBreak="0">
    <w:nsid w:val="743027C5"/>
    <w:multiLevelType w:val="hybridMultilevel"/>
    <w:tmpl w:val="B600D18C"/>
    <w:lvl w:ilvl="0" w:tplc="83526F2E">
      <w:start w:val="1"/>
      <w:numFmt w:val="bullet"/>
      <w:lvlText w:val="–"/>
      <w:lvlJc w:val="left"/>
      <w:pPr>
        <w:ind w:left="1080" w:hanging="360"/>
      </w:pPr>
    </w:lvl>
    <w:lvl w:ilvl="1" w:tplc="AC364550">
      <w:numFmt w:val="decimal"/>
      <w:lvlText w:val=""/>
      <w:lvlJc w:val="left"/>
    </w:lvl>
    <w:lvl w:ilvl="2" w:tplc="5BCAADCE">
      <w:numFmt w:val="decimal"/>
      <w:lvlText w:val=""/>
      <w:lvlJc w:val="left"/>
    </w:lvl>
    <w:lvl w:ilvl="3" w:tplc="46CEBD88">
      <w:numFmt w:val="decimal"/>
      <w:lvlText w:val=""/>
      <w:lvlJc w:val="left"/>
    </w:lvl>
    <w:lvl w:ilvl="4" w:tplc="BB180BB6">
      <w:numFmt w:val="decimal"/>
      <w:lvlText w:val=""/>
      <w:lvlJc w:val="left"/>
    </w:lvl>
    <w:lvl w:ilvl="5" w:tplc="A2F65A70">
      <w:numFmt w:val="decimal"/>
      <w:lvlText w:val=""/>
      <w:lvlJc w:val="left"/>
    </w:lvl>
    <w:lvl w:ilvl="6" w:tplc="FF4A52E4">
      <w:numFmt w:val="decimal"/>
      <w:lvlText w:val=""/>
      <w:lvlJc w:val="left"/>
    </w:lvl>
    <w:lvl w:ilvl="7" w:tplc="44C8FA32">
      <w:numFmt w:val="decimal"/>
      <w:lvlText w:val=""/>
      <w:lvlJc w:val="left"/>
    </w:lvl>
    <w:lvl w:ilvl="8" w:tplc="E776480E">
      <w:numFmt w:val="decimal"/>
      <w:lvlText w:val=""/>
      <w:lvlJc w:val="left"/>
    </w:lvl>
  </w:abstractNum>
  <w:num w:numId="1" w16cid:durableId="2045446194">
    <w:abstractNumId w:val="0"/>
    <w:lvlOverride w:ilvl="0">
      <w:startOverride w:val="1"/>
    </w:lvlOverride>
  </w:num>
  <w:num w:numId="2" w16cid:durableId="2142528343">
    <w:abstractNumId w:val="2"/>
    <w:lvlOverride w:ilvl="0">
      <w:startOverride w:val="1"/>
    </w:lvlOverride>
  </w:num>
  <w:num w:numId="3" w16cid:durableId="114616594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0DC"/>
    <w:rsid w:val="00015A66"/>
    <w:rsid w:val="00020B40"/>
    <w:rsid w:val="00024BB1"/>
    <w:rsid w:val="0002695F"/>
    <w:rsid w:val="000320BE"/>
    <w:rsid w:val="00040B21"/>
    <w:rsid w:val="00040E4F"/>
    <w:rsid w:val="00052B55"/>
    <w:rsid w:val="00054D6D"/>
    <w:rsid w:val="00054F6D"/>
    <w:rsid w:val="00065267"/>
    <w:rsid w:val="00075404"/>
    <w:rsid w:val="00080DAF"/>
    <w:rsid w:val="00094B7F"/>
    <w:rsid w:val="000A4ECB"/>
    <w:rsid w:val="000B0E2C"/>
    <w:rsid w:val="000B6E7C"/>
    <w:rsid w:val="000C2735"/>
    <w:rsid w:val="000C58EE"/>
    <w:rsid w:val="000D5004"/>
    <w:rsid w:val="000D5ACE"/>
    <w:rsid w:val="000E6DB5"/>
    <w:rsid w:val="000F7A52"/>
    <w:rsid w:val="00100FC7"/>
    <w:rsid w:val="00155464"/>
    <w:rsid w:val="00155739"/>
    <w:rsid w:val="00161D4F"/>
    <w:rsid w:val="00166E7F"/>
    <w:rsid w:val="001770C7"/>
    <w:rsid w:val="001773FA"/>
    <w:rsid w:val="001901FA"/>
    <w:rsid w:val="00195AE7"/>
    <w:rsid w:val="001A4524"/>
    <w:rsid w:val="001B36FC"/>
    <w:rsid w:val="001C1433"/>
    <w:rsid w:val="001C7425"/>
    <w:rsid w:val="001F0D22"/>
    <w:rsid w:val="00231B6A"/>
    <w:rsid w:val="00244F2D"/>
    <w:rsid w:val="0025119C"/>
    <w:rsid w:val="00256DFA"/>
    <w:rsid w:val="00265C70"/>
    <w:rsid w:val="00266314"/>
    <w:rsid w:val="00282EB7"/>
    <w:rsid w:val="002837E0"/>
    <w:rsid w:val="002875C4"/>
    <w:rsid w:val="002940F4"/>
    <w:rsid w:val="00295547"/>
    <w:rsid w:val="002A380A"/>
    <w:rsid w:val="002A76C9"/>
    <w:rsid w:val="002C0D4D"/>
    <w:rsid w:val="002C3514"/>
    <w:rsid w:val="002D1D56"/>
    <w:rsid w:val="002D2FEA"/>
    <w:rsid w:val="002D7CA5"/>
    <w:rsid w:val="002F4DBF"/>
    <w:rsid w:val="002F621D"/>
    <w:rsid w:val="002F7E57"/>
    <w:rsid w:val="00324CD9"/>
    <w:rsid w:val="0032741E"/>
    <w:rsid w:val="00330E3D"/>
    <w:rsid w:val="0033324D"/>
    <w:rsid w:val="0034636C"/>
    <w:rsid w:val="0035714F"/>
    <w:rsid w:val="00365080"/>
    <w:rsid w:val="0038139E"/>
    <w:rsid w:val="00381B7E"/>
    <w:rsid w:val="003844E1"/>
    <w:rsid w:val="00387515"/>
    <w:rsid w:val="003965DF"/>
    <w:rsid w:val="003A6F38"/>
    <w:rsid w:val="003B5914"/>
    <w:rsid w:val="003D0ED9"/>
    <w:rsid w:val="003D2B8B"/>
    <w:rsid w:val="003E63FD"/>
    <w:rsid w:val="003F2411"/>
    <w:rsid w:val="004055D7"/>
    <w:rsid w:val="00407374"/>
    <w:rsid w:val="00411311"/>
    <w:rsid w:val="00415FAE"/>
    <w:rsid w:val="00423447"/>
    <w:rsid w:val="004309B3"/>
    <w:rsid w:val="0043754A"/>
    <w:rsid w:val="004378E7"/>
    <w:rsid w:val="00440585"/>
    <w:rsid w:val="00455BFB"/>
    <w:rsid w:val="00460A8B"/>
    <w:rsid w:val="00475298"/>
    <w:rsid w:val="00475D04"/>
    <w:rsid w:val="004A2AA0"/>
    <w:rsid w:val="004B57AB"/>
    <w:rsid w:val="004C25B2"/>
    <w:rsid w:val="004D072C"/>
    <w:rsid w:val="004D1898"/>
    <w:rsid w:val="004F115C"/>
    <w:rsid w:val="004F60CF"/>
    <w:rsid w:val="0050417B"/>
    <w:rsid w:val="0051775C"/>
    <w:rsid w:val="0053614F"/>
    <w:rsid w:val="00540B30"/>
    <w:rsid w:val="005470B9"/>
    <w:rsid w:val="0055677B"/>
    <w:rsid w:val="005623D1"/>
    <w:rsid w:val="00590F36"/>
    <w:rsid w:val="00591527"/>
    <w:rsid w:val="005975F6"/>
    <w:rsid w:val="005A04E8"/>
    <w:rsid w:val="005B35CD"/>
    <w:rsid w:val="005B5142"/>
    <w:rsid w:val="005B7E20"/>
    <w:rsid w:val="005F40DC"/>
    <w:rsid w:val="006015F8"/>
    <w:rsid w:val="00602372"/>
    <w:rsid w:val="006130D3"/>
    <w:rsid w:val="006139BA"/>
    <w:rsid w:val="006168A0"/>
    <w:rsid w:val="00622364"/>
    <w:rsid w:val="00626C94"/>
    <w:rsid w:val="0063661B"/>
    <w:rsid w:val="006418E3"/>
    <w:rsid w:val="00645F5F"/>
    <w:rsid w:val="006757D8"/>
    <w:rsid w:val="0068104D"/>
    <w:rsid w:val="00685486"/>
    <w:rsid w:val="00687FFA"/>
    <w:rsid w:val="006B346A"/>
    <w:rsid w:val="006E24D0"/>
    <w:rsid w:val="006F04F3"/>
    <w:rsid w:val="00701AF4"/>
    <w:rsid w:val="00702535"/>
    <w:rsid w:val="0070681B"/>
    <w:rsid w:val="00707434"/>
    <w:rsid w:val="007249CD"/>
    <w:rsid w:val="00736697"/>
    <w:rsid w:val="007374A4"/>
    <w:rsid w:val="00740C5C"/>
    <w:rsid w:val="00742551"/>
    <w:rsid w:val="007425EF"/>
    <w:rsid w:val="00742FEE"/>
    <w:rsid w:val="00757645"/>
    <w:rsid w:val="00757DE8"/>
    <w:rsid w:val="00766AD0"/>
    <w:rsid w:val="0078037C"/>
    <w:rsid w:val="00784DAB"/>
    <w:rsid w:val="00791A28"/>
    <w:rsid w:val="007B1697"/>
    <w:rsid w:val="00812AFC"/>
    <w:rsid w:val="008144D0"/>
    <w:rsid w:val="008228F5"/>
    <w:rsid w:val="008273BA"/>
    <w:rsid w:val="0083106E"/>
    <w:rsid w:val="00834B35"/>
    <w:rsid w:val="00845733"/>
    <w:rsid w:val="0085258C"/>
    <w:rsid w:val="008556D7"/>
    <w:rsid w:val="00891D38"/>
    <w:rsid w:val="008923CF"/>
    <w:rsid w:val="008950D7"/>
    <w:rsid w:val="0089776B"/>
    <w:rsid w:val="008B7CAF"/>
    <w:rsid w:val="008C698E"/>
    <w:rsid w:val="008D0C83"/>
    <w:rsid w:val="008D5886"/>
    <w:rsid w:val="008E0935"/>
    <w:rsid w:val="008E4801"/>
    <w:rsid w:val="008E48AA"/>
    <w:rsid w:val="00917305"/>
    <w:rsid w:val="0092175B"/>
    <w:rsid w:val="00925EAE"/>
    <w:rsid w:val="00930859"/>
    <w:rsid w:val="00951508"/>
    <w:rsid w:val="00954518"/>
    <w:rsid w:val="00954885"/>
    <w:rsid w:val="00956405"/>
    <w:rsid w:val="00962AB3"/>
    <w:rsid w:val="0097199B"/>
    <w:rsid w:val="009774C0"/>
    <w:rsid w:val="00987707"/>
    <w:rsid w:val="00995D42"/>
    <w:rsid w:val="009B2D1D"/>
    <w:rsid w:val="009C275F"/>
    <w:rsid w:val="009C6DA9"/>
    <w:rsid w:val="009D20AD"/>
    <w:rsid w:val="009E571A"/>
    <w:rsid w:val="009F70D1"/>
    <w:rsid w:val="009F7910"/>
    <w:rsid w:val="00A008B6"/>
    <w:rsid w:val="00A00EAA"/>
    <w:rsid w:val="00A14688"/>
    <w:rsid w:val="00A373F1"/>
    <w:rsid w:val="00A409DA"/>
    <w:rsid w:val="00A50ED7"/>
    <w:rsid w:val="00A57576"/>
    <w:rsid w:val="00A66493"/>
    <w:rsid w:val="00A91B6C"/>
    <w:rsid w:val="00A96E63"/>
    <w:rsid w:val="00AB29F2"/>
    <w:rsid w:val="00AC0F7F"/>
    <w:rsid w:val="00AC25D2"/>
    <w:rsid w:val="00AE5BB5"/>
    <w:rsid w:val="00AF17FA"/>
    <w:rsid w:val="00AF6BA2"/>
    <w:rsid w:val="00B140CC"/>
    <w:rsid w:val="00B54574"/>
    <w:rsid w:val="00B74B9D"/>
    <w:rsid w:val="00B75846"/>
    <w:rsid w:val="00B93BE2"/>
    <w:rsid w:val="00B96790"/>
    <w:rsid w:val="00BA125E"/>
    <w:rsid w:val="00BA7239"/>
    <w:rsid w:val="00BB64DB"/>
    <w:rsid w:val="00BC1979"/>
    <w:rsid w:val="00BC73B8"/>
    <w:rsid w:val="00BD6EE2"/>
    <w:rsid w:val="00BF48AD"/>
    <w:rsid w:val="00C033B8"/>
    <w:rsid w:val="00C03FA0"/>
    <w:rsid w:val="00C049A4"/>
    <w:rsid w:val="00C451E1"/>
    <w:rsid w:val="00C555FF"/>
    <w:rsid w:val="00C573C3"/>
    <w:rsid w:val="00C62263"/>
    <w:rsid w:val="00C640D9"/>
    <w:rsid w:val="00C738FB"/>
    <w:rsid w:val="00C964EF"/>
    <w:rsid w:val="00CA2453"/>
    <w:rsid w:val="00CB6342"/>
    <w:rsid w:val="00CC1E14"/>
    <w:rsid w:val="00CD13D0"/>
    <w:rsid w:val="00CF1805"/>
    <w:rsid w:val="00CF4E07"/>
    <w:rsid w:val="00D21F4B"/>
    <w:rsid w:val="00D22ABC"/>
    <w:rsid w:val="00D24D05"/>
    <w:rsid w:val="00D3163F"/>
    <w:rsid w:val="00D36C1E"/>
    <w:rsid w:val="00D4728D"/>
    <w:rsid w:val="00D544EF"/>
    <w:rsid w:val="00D60C0C"/>
    <w:rsid w:val="00D77D9B"/>
    <w:rsid w:val="00D84226"/>
    <w:rsid w:val="00D86C80"/>
    <w:rsid w:val="00D9685F"/>
    <w:rsid w:val="00DA1B18"/>
    <w:rsid w:val="00DC434A"/>
    <w:rsid w:val="00DD26B0"/>
    <w:rsid w:val="00DD2BCA"/>
    <w:rsid w:val="00DE4D8E"/>
    <w:rsid w:val="00DF5CE1"/>
    <w:rsid w:val="00DF6BFC"/>
    <w:rsid w:val="00E04A0A"/>
    <w:rsid w:val="00E131C6"/>
    <w:rsid w:val="00E64D36"/>
    <w:rsid w:val="00E74792"/>
    <w:rsid w:val="00E8227F"/>
    <w:rsid w:val="00E8715C"/>
    <w:rsid w:val="00E911C2"/>
    <w:rsid w:val="00E9551D"/>
    <w:rsid w:val="00E958EC"/>
    <w:rsid w:val="00E96FB5"/>
    <w:rsid w:val="00E971EC"/>
    <w:rsid w:val="00EB1C02"/>
    <w:rsid w:val="00EB73B2"/>
    <w:rsid w:val="00ED69C1"/>
    <w:rsid w:val="00EF2941"/>
    <w:rsid w:val="00F32438"/>
    <w:rsid w:val="00F3797D"/>
    <w:rsid w:val="00F5090A"/>
    <w:rsid w:val="00F52282"/>
    <w:rsid w:val="00F626C4"/>
    <w:rsid w:val="00F62E08"/>
    <w:rsid w:val="00F67FDC"/>
    <w:rsid w:val="00F95829"/>
    <w:rsid w:val="00FB10D6"/>
    <w:rsid w:val="00FC4E33"/>
    <w:rsid w:val="00FD28C8"/>
    <w:rsid w:val="00FD6347"/>
    <w:rsid w:val="00FE707D"/>
    <w:rsid w:val="00FF0CD5"/>
    <w:rsid w:val="00FF522B"/>
    <w:rsid w:val="7D66A2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899BB"/>
  <w15:docId w15:val="{59B2910F-4B97-4A30-BA28-39EA6D23A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006BB6"/>
      <w:sz w:val="28"/>
      <w:szCs w:val="28"/>
    </w:rPr>
  </w:style>
  <w:style w:type="paragraph" w:styleId="Heading2">
    <w:name w:val="heading 2"/>
    <w:uiPriority w:val="9"/>
    <w:unhideWhenUsed/>
    <w:qFormat/>
    <w:pPr>
      <w:spacing w:before="240" w:after="80"/>
      <w:outlineLvl w:val="1"/>
    </w:pPr>
    <w:rPr>
      <w:b/>
      <w:bCs/>
      <w:color w:val="005A8E"/>
      <w:sz w:val="24"/>
      <w:szCs w:val="24"/>
    </w:rPr>
  </w:style>
  <w:style w:type="paragraph" w:styleId="Heading3">
    <w:name w:val="heading 3"/>
    <w:uiPriority w:val="9"/>
    <w:unhideWhenUsed/>
    <w:qFormat/>
    <w:pPr>
      <w:spacing w:before="200" w:after="60"/>
      <w:outlineLvl w:val="2"/>
    </w:pPr>
    <w:rPr>
      <w:b/>
      <w:bCs/>
      <w:color w:val="333333"/>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2837E0"/>
    <w:rPr>
      <w:color w:val="605E5C"/>
      <w:shd w:val="clear" w:color="auto" w:fill="E1DFDD"/>
    </w:rPr>
  </w:style>
  <w:style w:type="paragraph" w:styleId="Bibliography">
    <w:name w:val="Bibliography"/>
    <w:basedOn w:val="Normal"/>
    <w:next w:val="Normal"/>
    <w:uiPriority w:val="37"/>
    <w:unhideWhenUsed/>
    <w:rsid w:val="000B0E2C"/>
    <w:pPr>
      <w:spacing w:after="240"/>
    </w:pPr>
  </w:style>
  <w:style w:type="paragraph" w:styleId="Header">
    <w:name w:val="header"/>
    <w:basedOn w:val="Normal"/>
    <w:link w:val="HeaderChar"/>
    <w:uiPriority w:val="99"/>
    <w:unhideWhenUsed/>
    <w:rsid w:val="008950D7"/>
    <w:pPr>
      <w:tabs>
        <w:tab w:val="center" w:pos="4680"/>
        <w:tab w:val="right" w:pos="9360"/>
      </w:tabs>
    </w:pPr>
  </w:style>
  <w:style w:type="character" w:customStyle="1" w:styleId="HeaderChar">
    <w:name w:val="Header Char"/>
    <w:basedOn w:val="DefaultParagraphFont"/>
    <w:link w:val="Header"/>
    <w:uiPriority w:val="99"/>
    <w:rsid w:val="008950D7"/>
  </w:style>
  <w:style w:type="paragraph" w:styleId="Footer">
    <w:name w:val="footer"/>
    <w:basedOn w:val="Normal"/>
    <w:link w:val="FooterChar"/>
    <w:uiPriority w:val="99"/>
    <w:unhideWhenUsed/>
    <w:rsid w:val="008950D7"/>
    <w:pPr>
      <w:tabs>
        <w:tab w:val="center" w:pos="4680"/>
        <w:tab w:val="right" w:pos="9360"/>
      </w:tabs>
    </w:pPr>
  </w:style>
  <w:style w:type="character" w:customStyle="1" w:styleId="FooterChar">
    <w:name w:val="Footer Char"/>
    <w:basedOn w:val="DefaultParagraphFont"/>
    <w:link w:val="Footer"/>
    <w:uiPriority w:val="99"/>
    <w:rsid w:val="008950D7"/>
  </w:style>
  <w:style w:type="character" w:styleId="Strong">
    <w:name w:val="Strong"/>
    <w:basedOn w:val="DefaultParagraphFont"/>
    <w:uiPriority w:val="22"/>
    <w:qFormat/>
    <w:rsid w:val="004375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92325">
      <w:bodyDiv w:val="1"/>
      <w:marLeft w:val="0"/>
      <w:marRight w:val="0"/>
      <w:marTop w:val="0"/>
      <w:marBottom w:val="0"/>
      <w:divBdr>
        <w:top w:val="none" w:sz="0" w:space="0" w:color="auto"/>
        <w:left w:val="none" w:sz="0" w:space="0" w:color="auto"/>
        <w:bottom w:val="none" w:sz="0" w:space="0" w:color="auto"/>
        <w:right w:val="none" w:sz="0" w:space="0" w:color="auto"/>
      </w:divBdr>
    </w:div>
    <w:div w:id="361327887">
      <w:bodyDiv w:val="1"/>
      <w:marLeft w:val="0"/>
      <w:marRight w:val="0"/>
      <w:marTop w:val="0"/>
      <w:marBottom w:val="0"/>
      <w:divBdr>
        <w:top w:val="none" w:sz="0" w:space="0" w:color="auto"/>
        <w:left w:val="none" w:sz="0" w:space="0" w:color="auto"/>
        <w:bottom w:val="none" w:sz="0" w:space="0" w:color="auto"/>
        <w:right w:val="none" w:sz="0" w:space="0" w:color="auto"/>
      </w:divBdr>
    </w:div>
    <w:div w:id="797260284">
      <w:bodyDiv w:val="1"/>
      <w:marLeft w:val="0"/>
      <w:marRight w:val="0"/>
      <w:marTop w:val="0"/>
      <w:marBottom w:val="0"/>
      <w:divBdr>
        <w:top w:val="none" w:sz="0" w:space="0" w:color="auto"/>
        <w:left w:val="none" w:sz="0" w:space="0" w:color="auto"/>
        <w:bottom w:val="none" w:sz="0" w:space="0" w:color="auto"/>
        <w:right w:val="none" w:sz="0" w:space="0" w:color="auto"/>
      </w:divBdr>
      <w:divsChild>
        <w:div w:id="1302006632">
          <w:marLeft w:val="0"/>
          <w:marRight w:val="0"/>
          <w:marTop w:val="0"/>
          <w:marBottom w:val="0"/>
          <w:divBdr>
            <w:top w:val="none" w:sz="0" w:space="0" w:color="auto"/>
            <w:left w:val="none" w:sz="0" w:space="0" w:color="auto"/>
            <w:bottom w:val="none" w:sz="0" w:space="0" w:color="auto"/>
            <w:right w:val="none" w:sz="0" w:space="0" w:color="auto"/>
          </w:divBdr>
        </w:div>
      </w:divsChild>
    </w:div>
    <w:div w:id="1528912221">
      <w:bodyDiv w:val="1"/>
      <w:marLeft w:val="0"/>
      <w:marRight w:val="0"/>
      <w:marTop w:val="0"/>
      <w:marBottom w:val="0"/>
      <w:divBdr>
        <w:top w:val="none" w:sz="0" w:space="0" w:color="auto"/>
        <w:left w:val="none" w:sz="0" w:space="0" w:color="auto"/>
        <w:bottom w:val="none" w:sz="0" w:space="0" w:color="auto"/>
        <w:right w:val="none" w:sz="0" w:space="0" w:color="auto"/>
      </w:divBdr>
    </w:div>
    <w:div w:id="1563834276">
      <w:bodyDiv w:val="1"/>
      <w:marLeft w:val="0"/>
      <w:marRight w:val="0"/>
      <w:marTop w:val="0"/>
      <w:marBottom w:val="0"/>
      <w:divBdr>
        <w:top w:val="none" w:sz="0" w:space="0" w:color="auto"/>
        <w:left w:val="none" w:sz="0" w:space="0" w:color="auto"/>
        <w:bottom w:val="none" w:sz="0" w:space="0" w:color="auto"/>
        <w:right w:val="none" w:sz="0" w:space="0" w:color="auto"/>
      </w:divBdr>
    </w:div>
    <w:div w:id="1884756098">
      <w:bodyDiv w:val="1"/>
      <w:marLeft w:val="0"/>
      <w:marRight w:val="0"/>
      <w:marTop w:val="0"/>
      <w:marBottom w:val="0"/>
      <w:divBdr>
        <w:top w:val="none" w:sz="0" w:space="0" w:color="auto"/>
        <w:left w:val="none" w:sz="0" w:space="0" w:color="auto"/>
        <w:bottom w:val="none" w:sz="0" w:space="0" w:color="auto"/>
        <w:right w:val="none" w:sz="0" w:space="0" w:color="auto"/>
      </w:divBdr>
      <w:divsChild>
        <w:div w:id="14351323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rhmph@who.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tranet.who.int/dataformv6/index.php/653465?lang=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ranet.who.int/dataformv6/index.php/653465?lang=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blogs.worldbank.org/en/opendata/world-bank-country-classifications-by-income-level-for-2024-2025" TargetMode="External"/><Relationship Id="rId2" Type="http://schemas.openxmlformats.org/officeDocument/2006/relationships/hyperlink" Target="https://www.who.int/about/who-we-are/regional-offices" TargetMode="External"/><Relationship Id="rId1" Type="http://schemas.openxmlformats.org/officeDocument/2006/relationships/hyperlink" Target="https://blogs.worldbank.org/en/opendata/world-bank-country-classifications-by-income-level-for-2024-202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4a4400-f2ee-4775-9675-acbd89acb2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9FD318D196264CAAFC950941FDB879" ma:contentTypeVersion="11" ma:contentTypeDescription="Create a new document." ma:contentTypeScope="" ma:versionID="6794fcebe5ab1505a2349ee0d1ce4e6f">
  <xsd:schema xmlns:xsd="http://www.w3.org/2001/XMLSchema" xmlns:xs="http://www.w3.org/2001/XMLSchema" xmlns:p="http://schemas.microsoft.com/office/2006/metadata/properties" xmlns:ns2="174a4400-f2ee-4775-9675-acbd89acb25a" targetNamespace="http://schemas.microsoft.com/office/2006/metadata/properties" ma:root="true" ma:fieldsID="b0759e7e7797b254fe68be10b5721172" ns2:_="">
    <xsd:import namespace="174a4400-f2ee-4775-9675-acbd89acb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a4400-f2ee-4775-9675-acbd89ac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80E66-EF94-4384-A5B0-C87DDEE51DCC}">
  <ds:schemaRefs>
    <ds:schemaRef ds:uri="http://schemas.microsoft.com/sharepoint/v3/contenttype/forms"/>
  </ds:schemaRefs>
</ds:datastoreItem>
</file>

<file path=customXml/itemProps2.xml><?xml version="1.0" encoding="utf-8"?>
<ds:datastoreItem xmlns:ds="http://schemas.openxmlformats.org/officeDocument/2006/customXml" ds:itemID="{CC07BB38-7427-40CC-B2C4-788401FAFDED}">
  <ds:schemaRefs>
    <ds:schemaRef ds:uri="http://schemas.microsoft.com/office/2006/metadata/properties"/>
    <ds:schemaRef ds:uri="http://schemas.microsoft.com/office/infopath/2007/PartnerControls"/>
    <ds:schemaRef ds:uri="174a4400-f2ee-4775-9675-acbd89acb25a"/>
  </ds:schemaRefs>
</ds:datastoreItem>
</file>

<file path=customXml/itemProps3.xml><?xml version="1.0" encoding="utf-8"?>
<ds:datastoreItem xmlns:ds="http://schemas.openxmlformats.org/officeDocument/2006/customXml" ds:itemID="{9CAC2CB7-88E2-4F6B-B03B-7BECE0841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a4400-f2ee-4775-9675-acbd89acb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B43198-6D43-40DF-812B-0F3C25FF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5207</Words>
  <Characters>29683</Characters>
  <Application>Microsoft Office Word</Application>
  <DocSecurity>0</DocSecurity>
  <Lines>247</Lines>
  <Paragraphs>69</Paragraphs>
  <ScaleCrop>false</ScaleCrop>
  <Company/>
  <LinksUpToDate>false</LinksUpToDate>
  <CharactersWithSpaces>34821</CharactersWithSpaces>
  <SharedDoc>false</SharedDoc>
  <HLinks>
    <vt:vector size="36" baseType="variant">
      <vt:variant>
        <vt:i4>6357068</vt:i4>
      </vt:variant>
      <vt:variant>
        <vt:i4>42</vt:i4>
      </vt:variant>
      <vt:variant>
        <vt:i4>0</vt:i4>
      </vt:variant>
      <vt:variant>
        <vt:i4>5</vt:i4>
      </vt:variant>
      <vt:variant>
        <vt:lpwstr>mailto:srhmph@who.int</vt:lpwstr>
      </vt:variant>
      <vt:variant>
        <vt:lpwstr/>
      </vt:variant>
      <vt:variant>
        <vt:i4>1638492</vt:i4>
      </vt:variant>
      <vt:variant>
        <vt:i4>39</vt:i4>
      </vt:variant>
      <vt:variant>
        <vt:i4>0</vt:i4>
      </vt:variant>
      <vt:variant>
        <vt:i4>5</vt:i4>
      </vt:variant>
      <vt:variant>
        <vt:lpwstr>mailto:application form in this link</vt:lpwstr>
      </vt:variant>
      <vt:variant>
        <vt:lpwstr/>
      </vt:variant>
      <vt:variant>
        <vt:i4>5505096</vt:i4>
      </vt:variant>
      <vt:variant>
        <vt:i4>0</vt:i4>
      </vt:variant>
      <vt:variant>
        <vt:i4>0</vt:i4>
      </vt:variant>
      <vt:variant>
        <vt:i4>5</vt:i4>
      </vt:variant>
      <vt:variant>
        <vt:lpwstr>https://forms.office.com/e/E7xNvKNvMh</vt:lpwstr>
      </vt:variant>
      <vt:variant>
        <vt:lpwstr/>
      </vt:variant>
      <vt:variant>
        <vt:i4>5308443</vt:i4>
      </vt:variant>
      <vt:variant>
        <vt:i4>6</vt:i4>
      </vt:variant>
      <vt:variant>
        <vt:i4>0</vt:i4>
      </vt:variant>
      <vt:variant>
        <vt:i4>5</vt:i4>
      </vt:variant>
      <vt:variant>
        <vt:lpwstr>https://blogs.worldbank.org/en/opendata/world-bank-country-classifications-by-income-level-for-2024-2025</vt:lpwstr>
      </vt:variant>
      <vt:variant>
        <vt:lpwstr/>
      </vt:variant>
      <vt:variant>
        <vt:i4>983108</vt:i4>
      </vt:variant>
      <vt:variant>
        <vt:i4>3</vt:i4>
      </vt:variant>
      <vt:variant>
        <vt:i4>0</vt:i4>
      </vt:variant>
      <vt:variant>
        <vt:i4>5</vt:i4>
      </vt:variant>
      <vt:variant>
        <vt:lpwstr>https://www.who.int/about/who-we-are/regional-offices</vt:lpwstr>
      </vt:variant>
      <vt:variant>
        <vt:lpwstr/>
      </vt:variant>
      <vt:variant>
        <vt:i4>5308443</vt:i4>
      </vt:variant>
      <vt:variant>
        <vt:i4>0</vt:i4>
      </vt:variant>
      <vt:variant>
        <vt:i4>0</vt:i4>
      </vt:variant>
      <vt:variant>
        <vt:i4>5</vt:i4>
      </vt:variant>
      <vt:variant>
        <vt:lpwstr>https://blogs.worldbank.org/en/opendata/world-bank-country-classifications-by-income-level-for-2024-2025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BRIZUELA, Vanessa</cp:lastModifiedBy>
  <cp:revision>4</cp:revision>
  <dcterms:created xsi:type="dcterms:W3CDTF">2026-04-07T13:43:00Z</dcterms:created>
  <dcterms:modified xsi:type="dcterms:W3CDTF">2026-04-07T13:48:00Z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id="EVtjqdBD"/&gt;&lt;style id="http://www.zotero.org/styles/springer-vancouver-brackets" locale="en-US" hasBibliography="1" bibliographyStyleHasBeenSet="1"/&gt;&lt;prefs&gt;&lt;pref name="fieldType" value="Field"/&gt;&lt;p</vt:lpwstr>
  </property>
  <property fmtid="{D5CDD505-2E9C-101B-9397-08002B2CF9AE}" pid="3" name="ZOTERO_PREF_2">
    <vt:lpwstr>ref name="automaticJournalAbbreviations" value="true"/&gt;&lt;/prefs&gt;&lt;/data&gt;</vt:lpwstr>
  </property>
  <property fmtid="{D5CDD505-2E9C-101B-9397-08002B2CF9AE}" pid="4" name="ContentTypeId">
    <vt:lpwstr>0x0101005F9FD318D196264CAAFC950941FDB879</vt:lpwstr>
  </property>
  <property fmtid="{D5CDD505-2E9C-101B-9397-08002B2CF9AE}" pid="5" name="MediaServiceImageTags">
    <vt:lpwstr/>
  </property>
  <property fmtid="{D5CDD505-2E9C-101B-9397-08002B2CF9AE}" pid="6" name="docLang">
    <vt:lpwstr>en</vt:lpwstr>
  </property>
</Properties>
</file>