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E1C1" w14:textId="77777777" w:rsidR="005F40DC" w:rsidRPr="00F951C7" w:rsidRDefault="00590F36" w:rsidP="008E4801">
      <w:pPr>
        <w:spacing w:before="480" w:after="120"/>
        <w:rPr>
          <w:lang w:val="en-GB"/>
        </w:rPr>
      </w:pPr>
      <w:r w:rsidRPr="00F951C7">
        <w:rPr>
          <w:b/>
          <w:bCs/>
          <w:color w:val="666666"/>
          <w:lang w:val="en-GB"/>
        </w:rPr>
        <w:t>WHAT WORKS AND HOW?</w:t>
      </w:r>
    </w:p>
    <w:p w14:paraId="4EBF8799" w14:textId="77777777" w:rsidR="005F40DC" w:rsidRPr="00F951C7" w:rsidRDefault="00590F36" w:rsidP="008E4801">
      <w:pPr>
        <w:spacing w:after="120"/>
        <w:rPr>
          <w:lang w:val="en-GB"/>
        </w:rPr>
      </w:pPr>
      <w:r w:rsidRPr="00F951C7">
        <w:rPr>
          <w:b/>
          <w:bCs/>
          <w:color w:val="006BB6"/>
          <w:sz w:val="36"/>
          <w:szCs w:val="36"/>
          <w:lang w:val="en-GB"/>
        </w:rPr>
        <w:t>Community Experiences in Adapting to Climate Change for Sexual and Reproductive Health and Rights</w:t>
      </w:r>
    </w:p>
    <w:p w14:paraId="24C1D44C" w14:textId="77777777" w:rsidR="005F40DC" w:rsidRPr="00F951C7" w:rsidRDefault="00590F36" w:rsidP="008E4801">
      <w:pPr>
        <w:pBdr>
          <w:bottom w:val="single" w:sz="8" w:space="4" w:color="006BB6"/>
        </w:pBdr>
        <w:spacing w:before="80" w:after="120"/>
        <w:rPr>
          <w:lang w:val="en-GB"/>
        </w:rPr>
      </w:pPr>
      <w:r w:rsidRPr="00F951C7">
        <w:rPr>
          <w:b/>
          <w:bCs/>
          <w:color w:val="005A8E"/>
          <w:sz w:val="28"/>
          <w:szCs w:val="28"/>
          <w:lang w:val="en-GB"/>
        </w:rPr>
        <w:t>Call for Research Proposals</w:t>
      </w:r>
    </w:p>
    <w:p w14:paraId="3AFA27AC" w14:textId="77777777" w:rsidR="005F40DC" w:rsidRPr="00F951C7" w:rsidRDefault="00590F36" w:rsidP="008E4801">
      <w:pPr>
        <w:spacing w:before="120" w:after="120"/>
        <w:rPr>
          <w:lang w:val="en-GB"/>
        </w:rPr>
      </w:pPr>
      <w:r w:rsidRPr="00F951C7">
        <w:rPr>
          <w:b/>
          <w:bCs/>
          <w:color w:val="333333"/>
          <w:lang w:val="en-GB"/>
        </w:rPr>
        <w:t xml:space="preserve">Issued by: </w:t>
      </w:r>
      <w:r w:rsidRPr="00F951C7">
        <w:rPr>
          <w:color w:val="333333"/>
          <w:lang w:val="en-GB"/>
        </w:rPr>
        <w:t>UNDP/UNFPA/UNICEF/WHO/World Bank Special Programme of Research, Development and Research Training in Human Reproduction (HRP), Department of Sexual, Reproductive, Maternal, Child, Adolescent Health and Ageing, World Health Organization</w:t>
      </w:r>
    </w:p>
    <w:p w14:paraId="29D0D6F0" w14:textId="494BC131" w:rsidR="005F40DC" w:rsidRPr="00F951C7" w:rsidRDefault="00590F36" w:rsidP="008E4801">
      <w:pPr>
        <w:spacing w:before="60" w:after="120"/>
        <w:rPr>
          <w:lang w:val="en-GB"/>
        </w:rPr>
      </w:pPr>
      <w:r w:rsidRPr="00F951C7">
        <w:rPr>
          <w:b/>
          <w:bCs/>
          <w:color w:val="333333"/>
          <w:lang w:val="en-GB"/>
        </w:rPr>
        <w:t xml:space="preserve">Submission deadline: </w:t>
      </w:r>
      <w:r w:rsidR="002623C9">
        <w:rPr>
          <w:color w:val="333333"/>
          <w:lang w:val="en-GB"/>
        </w:rPr>
        <w:t>12</w:t>
      </w:r>
      <w:r w:rsidRPr="00F951C7">
        <w:rPr>
          <w:color w:val="333333"/>
          <w:lang w:val="en-GB"/>
        </w:rPr>
        <w:t xml:space="preserve"> April 2026, 23:59 GMT+1</w:t>
      </w:r>
    </w:p>
    <w:p w14:paraId="57579117" w14:textId="397CA0E3" w:rsidR="00EB73B2" w:rsidRPr="00F951C7" w:rsidRDefault="00590F36" w:rsidP="008E4801">
      <w:pPr>
        <w:spacing w:before="60" w:after="120"/>
        <w:rPr>
          <w:b/>
          <w:bCs/>
          <w:color w:val="333333"/>
          <w:lang w:val="en-GB"/>
        </w:rPr>
      </w:pPr>
      <w:r w:rsidRPr="00F951C7">
        <w:rPr>
          <w:b/>
          <w:bCs/>
          <w:color w:val="333333"/>
          <w:lang w:val="en-GB"/>
        </w:rPr>
        <w:t xml:space="preserve">Submission </w:t>
      </w:r>
      <w:r w:rsidR="00411311" w:rsidRPr="00F951C7">
        <w:rPr>
          <w:b/>
          <w:bCs/>
          <w:color w:val="333333"/>
          <w:lang w:val="en-GB"/>
        </w:rPr>
        <w:t>platform</w:t>
      </w:r>
      <w:r w:rsidRPr="00F951C7">
        <w:rPr>
          <w:b/>
          <w:bCs/>
          <w:color w:val="333333"/>
          <w:lang w:val="en-GB"/>
        </w:rPr>
        <w:t xml:space="preserve">: </w:t>
      </w:r>
      <w:hyperlink r:id="rId11" w:history="1">
        <w:r w:rsidR="00954518" w:rsidRPr="00F951C7">
          <w:rPr>
            <w:rStyle w:val="Hyperlink"/>
            <w:b/>
            <w:bCs/>
            <w:lang w:val="en-GB"/>
          </w:rPr>
          <w:t>Community experiences in adapting to climate change for s</w:t>
        </w:r>
        <w:r w:rsidR="00EB73B2" w:rsidRPr="00F951C7">
          <w:rPr>
            <w:rStyle w:val="Hyperlink"/>
            <w:b/>
            <w:bCs/>
            <w:lang w:val="en-GB"/>
          </w:rPr>
          <w:t xml:space="preserve">exual and </w:t>
        </w:r>
        <w:r w:rsidR="00954518" w:rsidRPr="00F951C7">
          <w:rPr>
            <w:rStyle w:val="Hyperlink"/>
            <w:b/>
            <w:bCs/>
            <w:lang w:val="en-GB"/>
          </w:rPr>
          <w:t>r</w:t>
        </w:r>
        <w:r w:rsidR="00EB73B2" w:rsidRPr="00F951C7">
          <w:rPr>
            <w:rStyle w:val="Hyperlink"/>
            <w:b/>
            <w:bCs/>
            <w:lang w:val="en-GB"/>
          </w:rPr>
          <w:t xml:space="preserve">eproductive </w:t>
        </w:r>
        <w:r w:rsidR="00954518" w:rsidRPr="00F951C7">
          <w:rPr>
            <w:rStyle w:val="Hyperlink"/>
            <w:b/>
            <w:bCs/>
            <w:lang w:val="en-GB"/>
          </w:rPr>
          <w:t>h</w:t>
        </w:r>
        <w:r w:rsidR="00EB73B2" w:rsidRPr="00F951C7">
          <w:rPr>
            <w:rStyle w:val="Hyperlink"/>
            <w:b/>
            <w:bCs/>
            <w:lang w:val="en-GB"/>
          </w:rPr>
          <w:t xml:space="preserve">ealth and </w:t>
        </w:r>
        <w:r w:rsidR="00954518" w:rsidRPr="00F951C7">
          <w:rPr>
            <w:rStyle w:val="Hyperlink"/>
            <w:b/>
            <w:bCs/>
            <w:lang w:val="en-GB"/>
          </w:rPr>
          <w:t>r</w:t>
        </w:r>
        <w:r w:rsidR="00EB73B2" w:rsidRPr="00F951C7">
          <w:rPr>
            <w:rStyle w:val="Hyperlink"/>
            <w:b/>
            <w:bCs/>
            <w:lang w:val="en-GB"/>
          </w:rPr>
          <w:t xml:space="preserve">ights – </w:t>
        </w:r>
        <w:r w:rsidR="00954518" w:rsidRPr="00F951C7">
          <w:rPr>
            <w:rStyle w:val="Hyperlink"/>
            <w:b/>
            <w:bCs/>
            <w:lang w:val="en-GB"/>
          </w:rPr>
          <w:t>APPLICATION FORM</w:t>
        </w:r>
      </w:hyperlink>
    </w:p>
    <w:p w14:paraId="676F9518" w14:textId="090FBA03" w:rsidR="005F40DC" w:rsidRPr="00F951C7" w:rsidRDefault="00590F36" w:rsidP="008E4801">
      <w:pPr>
        <w:spacing w:before="60" w:after="120"/>
        <w:rPr>
          <w:lang w:val="en-GB"/>
        </w:rPr>
      </w:pPr>
      <w:r w:rsidRPr="00F951C7">
        <w:rPr>
          <w:b/>
          <w:bCs/>
          <w:color w:val="333333"/>
          <w:lang w:val="en-GB"/>
        </w:rPr>
        <w:t xml:space="preserve">Languages accepted: </w:t>
      </w:r>
      <w:r w:rsidRPr="00F951C7">
        <w:rPr>
          <w:color w:val="333333"/>
          <w:lang w:val="en-GB"/>
        </w:rPr>
        <w:t>English, French or Spanish</w:t>
      </w:r>
    </w:p>
    <w:p w14:paraId="3EB79BA7" w14:textId="77777777" w:rsidR="005F40DC" w:rsidRPr="00F951C7" w:rsidRDefault="005F40DC" w:rsidP="008E4801">
      <w:pPr>
        <w:spacing w:after="120"/>
        <w:rPr>
          <w:lang w:val="en-GB"/>
        </w:rPr>
      </w:pPr>
    </w:p>
    <w:p w14:paraId="24DB18A8" w14:textId="3B1D2A21" w:rsidR="005F40DC" w:rsidRPr="00F951C7" w:rsidRDefault="00590F36" w:rsidP="008E4801">
      <w:pPr>
        <w:pStyle w:val="Heading1"/>
        <w:rPr>
          <w:lang w:val="en-GB"/>
        </w:rPr>
      </w:pPr>
      <w:r w:rsidRPr="00F951C7">
        <w:rPr>
          <w:lang w:val="en-GB"/>
        </w:rPr>
        <w:t xml:space="preserve">1. Background and </w:t>
      </w:r>
      <w:r w:rsidR="005A04E8" w:rsidRPr="00F951C7">
        <w:rPr>
          <w:lang w:val="en-GB"/>
        </w:rPr>
        <w:t>r</w:t>
      </w:r>
      <w:r w:rsidRPr="00F951C7">
        <w:rPr>
          <w:lang w:val="en-GB"/>
        </w:rPr>
        <w:t>ationale</w:t>
      </w:r>
    </w:p>
    <w:p w14:paraId="044DA759" w14:textId="6E8AF738" w:rsidR="005F40DC" w:rsidRPr="00F951C7" w:rsidRDefault="00590F36" w:rsidP="008E4801">
      <w:pPr>
        <w:spacing w:before="60" w:after="120"/>
        <w:rPr>
          <w:lang w:val="en-GB"/>
        </w:rPr>
      </w:pPr>
      <w:r w:rsidRPr="00F951C7">
        <w:rPr>
          <w:color w:val="333333"/>
          <w:lang w:val="en-GB"/>
        </w:rPr>
        <w:t>Climate change is one of the most serious threats to global health in the twenty-first century</w:t>
      </w:r>
      <w:r w:rsidR="00702535" w:rsidRPr="00F951C7">
        <w:rPr>
          <w:color w:val="333333"/>
          <w:lang w:val="en-GB"/>
        </w:rPr>
        <w:t xml:space="preserve"> </w:t>
      </w:r>
      <w:r w:rsidR="00415FAE" w:rsidRPr="00F951C7">
        <w:rPr>
          <w:color w:val="333333"/>
          <w:lang w:val="en-GB"/>
        </w:rPr>
        <w:fldChar w:fldCharType="begin"/>
      </w:r>
      <w:r w:rsidR="00CF4E07" w:rsidRPr="00F951C7">
        <w:rPr>
          <w:color w:val="333333"/>
          <w:lang w:val="en-GB"/>
        </w:rPr>
        <w:instrText xml:space="preserve"> ADDIN ZOTERO_ITEM CSL_CITATION {"citationID":"GAEzHw4k","properties":{"formattedCitation":"[1]","plainCitation":"[1]","noteIndex":0},"citationItems":[{"id":26049,"uris":["http://zotero.org/users/3106537/items/JWNJ38CD"],"itemData":{"id":26049,"type":"webpage","abstract":"WHO fact sheet on climate change and health: provides key facts, patterns of infection, measuring health effects and WHO response.","language":"en","title":"Climate change - Fact sheet","URL":"https://www.who.int/news-room/fact-sheets/detail/climate-change-and-health","accessed":{"date-parts":[["2025",3,17]]}}}],"schema":"https://github.com/citation-style-language/schema/raw/master/csl-citation.json"} </w:instrText>
      </w:r>
      <w:r w:rsidR="00415FAE" w:rsidRPr="00F951C7">
        <w:rPr>
          <w:color w:val="333333"/>
          <w:lang w:val="en-GB"/>
        </w:rPr>
        <w:fldChar w:fldCharType="separate"/>
      </w:r>
      <w:r w:rsidR="00CF4E07" w:rsidRPr="00F951C7">
        <w:rPr>
          <w:noProof/>
          <w:color w:val="333333"/>
          <w:lang w:val="en-GB"/>
        </w:rPr>
        <w:t>[1]</w:t>
      </w:r>
      <w:r w:rsidR="00415FAE" w:rsidRPr="00F951C7">
        <w:rPr>
          <w:color w:val="333333"/>
          <w:lang w:val="en-GB"/>
        </w:rPr>
        <w:fldChar w:fldCharType="end"/>
      </w:r>
      <w:r w:rsidRPr="00F951C7">
        <w:rPr>
          <w:color w:val="333333"/>
          <w:lang w:val="en-GB"/>
        </w:rPr>
        <w:t>. Its effects on sexual and reproductive health and rights (SRHR) are wide-ranging — from adverse maternal and perinatal outcomes linked to extreme heat and flooding, to increased incidence of gender-based violence in the aftermath of climate shocks, to disrupted access to contraceptive and abortion care when health systems are overwhelmed</w:t>
      </w:r>
      <w:r w:rsidR="00324CD9" w:rsidRPr="00F951C7">
        <w:rPr>
          <w:color w:val="333333"/>
          <w:lang w:val="en-GB"/>
        </w:rPr>
        <w:t xml:space="preserve"> </w:t>
      </w:r>
      <w:r w:rsidR="008556D7" w:rsidRPr="00F951C7">
        <w:rPr>
          <w:color w:val="333333"/>
          <w:lang w:val="en-GB"/>
        </w:rPr>
        <w:fldChar w:fldCharType="begin"/>
      </w:r>
      <w:r w:rsidR="00D544EF" w:rsidRPr="00F951C7">
        <w:rPr>
          <w:color w:val="333333"/>
          <w:lang w:val="en-GB"/>
        </w:rPr>
        <w:instrText xml:space="preserve"> ADDIN ZOTERO_ITEM CSL_CITATION {"citationID":"fRxy4X0X","properties":{"formattedCitation":"[2\\uc0\\u8211{}6]","plainCitation":"[2–6]","noteIndex":0},"citationItems":[{"id":26090,"uris":["http://zotero.org/users/3106537/items/P84RXPRI"],"itemData":{"id":26090,"type":"report","publisher":"World Health Organization","publisher-place":"Geneva","title":"COP29 special report on climate change and health: Health is the argument for climate action","author":[{"family":"World Health Organization","given":""}],"issued":{"date-parts":[["2024"]]}}},{"id":26008,"uris":["http://zotero.org/users/3106537/items/PUCLYBNS"],"itemData":{"id":26008,"type":"article-journal","abstract":"Introduction This study aimed to provide an overview of the research landscape and to identify research gaps linking climate change events and sexual and reproductive health and rights (SRHR) in low-income and middle-income countries (LMICs), where the negative impacts of climate change are most severe.Methods We conducted a scoping review to map research studies that link climate change events or factors and SRHR aspects in LMICs. We performed a structured literature search across six databases to identify relevant peer-reviewed publications between January 1994 and 6 September 2023. The literature search yielded 14 674 peer-reviewed articles. After screening, 75 articles were included, spanning 99 countries across the globe.Results Climate change events such as extreme temperatures, drought, rainfall shocks, cyclones and floods were found to be associated with negative maternal and newborn health outcomes ranging from reduced or low birth weight, preterm births and low Apgar scores, to lack of pregnancy care, pregnancy complications, stillbirths, and newborn and maternal deaths. Associations were also found between climate-related events and increased gender-based violence and HIV prevalence, as well as fertility decisions and harmful practices such as female genital mutilations and early and forced marriages. About two-thirds (48/75) of the articles were from the African or Western Pacific regions. The main research gaps on climate change-related events and SRHR included abortion, reproductive cancers and contraception use.Conclusion Complementing existing evidence with targeted research to fill these knowledge gaps could enhance mitigation programmes and policies.","container-title":"BMJ Public Health","DOI":"10.1136/bmjph-2024-001090","ISSN":"2753-4294","issue":"2","journalAbbreviation":"bmjph","language":"en","license":"undefined undefined","PMID":"10.1136/bmjph-2024-001090","publisher":"BMJ Publishing Group Ltd","source":"bmjpublichealth.bmj.com","title":"Climate change and sexual and reproductive health and rights research in low-income and middle-income countries: a scoping review","title-short":"Climate change and sexual and reproductive health and rights research in low-income and middle-income countries","URL":"https://bmjpublichealth.bmj.com/content/2/2/e001090","volume":"2","author":[{"family":"Arunda","given":"Malachi Ochieng"},{"family":"Sorcher","given":"Rachael"},{"family":"Canabarro","given":"Ana Paula Finatto"},{"family":"Svallfors","given":"Signe"},{"family":"Endler","given":"Margit"},{"family":"Gemzell-Danielsson","given":"Kristina"},{"family":"Kågesten","given":"Anna"},{"family":"Ali","given":"Moazzam"},{"family":"Bahamondes","given":"Luis"},{"family":"Barreix","given":"María"},{"family":"Chou","given":"Doris"},{"family":"Gonsalves","given":"Lianne"},{"family":"Johnston","given":"Heidi Bart"},{"family":"Kiarie","given":"James"},{"family":"Kim","given":"Caron Rahn"},{"family":"Narasimhan","given":"Manjulaa"},{"family":"Pallitto","given":"Christina"},{"family":"Shah","given":"Mehr Gul"},{"family":"Say","given":"Lale"},{"family":"Thorson","given":"Anna"},{"family":"Ekström","given":"Anna Mia"},{"family":"Larsson","given":"Elin C."},{"family":"Brizuela","given":"Vanessa"}],"accessed":{"date-parts":[["2024",9,19]]},"issued":{"date-parts":[["2024",8,24]]}}},{"id":25921,"uris":["http://zotero.org/users/3106537/items/547TYD7R"],"itemData":{"id":25921,"type":"article-journal","abstract":"Climate change represents a fundamental threat to human health, increasing the vulnerability of populations to the coexisting geopolitical, energy, and cost-of-living crises [1,2]. According to the World Health Organization (WHO), between 2030 and 2050, climate change is projected to cause approximately 250 000 additional deaths per year from malnutrition, malaria, diarrhoea, and heat stress alone [2]. […]","container-title":"JOGH","DOI":"10.7189/jogh.14.04128","issue":"04128","language":"en-GB","title":"Climate change, air pollution and maternal and newborn health: An overview of reviews of health outcomes","title-short":"Climate change, air pollution and maternal and newborn health","URL":"https://jogh.org/2024/jogh-14-04128/","volume":"14","author":[{"family":"Conway","given":"Francesca"},{"family":"Portela","given":"Anayda"},{"family":"Filippi","given":"Veronique"},{"family":"Chou","given":"Doris"},{"family":"Kovats","given":"Sari"}],"accessed":{"date-parts":[["2024",8,5]]},"issued":{"date-parts":[["2024",5,24]]}}},{"id":25931,"uris":["http://zotero.org/users/3106537/items/DY28J6J7"],"itemData":{"id":25931,"type":"article-journal","abstract":"There is growing attention to the ways in which climate change may affect sexual health, yet key knowledge gaps remain across global contexts and climate issues. In response, we conducted a scoping review to examine the literature on associations between climate change and sexual health. We searched five databases (May 2021, September 2022). We reviewed 3,183 non-duplicate records for inclusion; n = 83 articles met inclusion criteria. Of these articles, n = 30 focused on HIV and other STIs, n = 52 focused on sexual and gender-based violence (GBV), and n = 1 focused on comprehensive sexuality education. Thematic analysis revealed that hurricanes, drought, temperature variation, flooding, and storms may influence HIV outcomes among people with HIV by constraining access to antiretroviral treatment and worsening mental health. Climate change was associated with HIV/STI testing barriers and worsened economic conditions that elevated HIV exposure (e.g. transactional sex). Findings varied regarding associations between GBV with storms and drought, yet most studies examining flooding, extreme temperatures, and bushfires reported positive associations with GBV. Future climate change research can examine understudied sexual health domains and a range of climate-related issues (e.g. heat waves, deforestation) for their relevance to sexual health. Climate-resilient sexual health approaches can integrate extreme weather events into programming.","container-title":"Global Public Health","DOI":"10.1080/17441692.2023.2299718","ISSN":"1744-1692","issue":"1","note":"_eprint: https://doi.org/10.1080/17441692.2023.2299718","page":"2299718","PMID":"38190290","publisher":"Taylor &amp; Francis","source":"Taylor and Francis+NEJM","title":"Associations between climate change-related factors and sexual health: A scoping review","title-short":"Associations between climate change-related factors and sexual health","volume":"19","author":[{"family":"Logie","given":"Carmen H."},{"family":"Toccalino","given":"Danielle"},{"family":"MacKenzie","given":"Frannie"},{"family":"Hasham","given":"Aryssa"},{"family":"Narasimhan","given":"Manjulaa"},{"family":"Donkers","given":"Holly"},{"family":"Lorimer","given":"Nicole"},{"family":"Malama","given":"Kalonde"}],"issued":{"date-parts":[["2024",12,31]]}}},{"id":25920,"uris":["http://zotero.org/users/3106537/items/9HHMLCBW"],"itemData":{"id":25920,"type":"report","abstract":"The impact of climate change on MNCH demands action. In addition to a wide range of immediate health risks, climate change threatens to lead to many longterm consequences that affect the health and well-being of women, newborns and children throughout their lives.","language":"en","title":"Protecting maternal, newborn and child health from the impacts of climate change: A call for action","title-short":"Protecting maternal, newborn and child health from the impacts of climate change","URL":"https://www.who.int/publications/i/item/9789240085350","author":[{"family":"World Health Organization","given":""},{"family":"UNICEF","given":""},{"family":"UNFPA","given":""},{"family":"PMNCH","given":""}],"accessed":{"date-parts":[["2024",8,7]]}}}],"schema":"https://github.com/citation-style-language/schema/raw/master/csl-citation.json"} </w:instrText>
      </w:r>
      <w:r w:rsidR="008556D7" w:rsidRPr="00F951C7">
        <w:rPr>
          <w:color w:val="333333"/>
          <w:lang w:val="en-GB"/>
        </w:rPr>
        <w:fldChar w:fldCharType="separate"/>
      </w:r>
      <w:r w:rsidR="00CF4E07" w:rsidRPr="00F951C7">
        <w:rPr>
          <w:color w:val="000000"/>
          <w:szCs w:val="24"/>
          <w:lang w:val="en-GB"/>
        </w:rPr>
        <w:t>[2–6]</w:t>
      </w:r>
      <w:r w:rsidR="008556D7" w:rsidRPr="00F951C7">
        <w:rPr>
          <w:color w:val="333333"/>
          <w:lang w:val="en-GB"/>
        </w:rPr>
        <w:fldChar w:fldCharType="end"/>
      </w:r>
      <w:r w:rsidRPr="00F951C7">
        <w:rPr>
          <w:color w:val="333333"/>
          <w:lang w:val="en-GB"/>
        </w:rPr>
        <w:t xml:space="preserve">. A WHO/HRP scoping review confirmed the breadth of these associations while also documenting critical evidence gaps, particularly for abortion care, contraception and </w:t>
      </w:r>
      <w:r w:rsidR="0034636C" w:rsidRPr="00F951C7">
        <w:rPr>
          <w:color w:val="333333"/>
          <w:lang w:val="en-GB"/>
        </w:rPr>
        <w:t xml:space="preserve">broader </w:t>
      </w:r>
      <w:r w:rsidRPr="00F951C7">
        <w:rPr>
          <w:color w:val="333333"/>
          <w:lang w:val="en-GB"/>
        </w:rPr>
        <w:t>sexual health</w:t>
      </w:r>
      <w:r w:rsidR="001901FA" w:rsidRPr="00F951C7">
        <w:rPr>
          <w:color w:val="333333"/>
          <w:lang w:val="en-GB"/>
        </w:rPr>
        <w:t xml:space="preserve"> </w:t>
      </w:r>
      <w:r w:rsidR="0034636C" w:rsidRPr="00F951C7">
        <w:rPr>
          <w:color w:val="333333"/>
          <w:lang w:val="en-GB"/>
        </w:rPr>
        <w:t xml:space="preserve">issues </w:t>
      </w:r>
      <w:r w:rsidR="001901FA" w:rsidRPr="00F951C7">
        <w:rPr>
          <w:color w:val="333333"/>
          <w:lang w:val="en-GB"/>
        </w:rPr>
        <w:fldChar w:fldCharType="begin"/>
      </w:r>
      <w:r w:rsidR="00D544EF" w:rsidRPr="00F951C7">
        <w:rPr>
          <w:color w:val="333333"/>
          <w:lang w:val="en-GB"/>
        </w:rPr>
        <w:instrText xml:space="preserve"> ADDIN ZOTERO_ITEM CSL_CITATION {"citationID":"cnR77VjP","properties":{"formattedCitation":"[3]","plainCitation":"[3]","noteIndex":0},"citationItems":[{"id":26008,"uris":["http://zotero.org/users/3106537/items/PUCLYBNS"],"itemData":{"id":26008,"type":"article-journal","abstract":"Introduction This study aimed to provide an overview of the research landscape and to identify research gaps linking climate change events and sexual and reproductive health and rights (SRHR) in low-income and middle-income countries (LMICs), where the negative impacts of climate change are most severe.Methods We conducted a scoping review to map research studies that link climate change events or factors and SRHR aspects in LMICs. We performed a structured literature search across six databases to identify relevant peer-reviewed publications between January 1994 and 6 September 2023. The literature search yielded 14 674 peer-reviewed articles. After screening, 75 articles were included, spanning 99 countries across the globe.Results Climate change events such as extreme temperatures, drought, rainfall shocks, cyclones and floods were found to be associated with negative maternal and newborn health outcomes ranging from reduced or low birth weight, preterm births and low Apgar scores, to lack of pregnancy care, pregnancy complications, stillbirths, and newborn and maternal deaths. Associations were also found between climate-related events and increased gender-based violence and HIV prevalence, as well as fertility decisions and harmful practices such as female genital mutilations and early and forced marriages. About two-thirds (48/75) of the articles were from the African or Western Pacific regions. The main research gaps on climate change-related events and SRHR included abortion, reproductive cancers and contraception use.Conclusion Complementing existing evidence with targeted research to fill these knowledge gaps could enhance mitigation programmes and policies.","container-title":"BMJ Public Health","DOI":"10.1136/bmjph-2024-001090","ISSN":"2753-4294","issue":"2","journalAbbreviation":"bmjph","language":"en","license":"undefined undefined","PMID":"10.1136/bmjph-2024-001090","publisher":"BMJ Publishing Group Ltd","source":"bmjpublichealth.bmj.com","title":"Climate change and sexual and reproductive health and rights research in low-income and middle-income countries: a scoping review","title-short":"Climate change and sexual and reproductive health and rights research in low-income and middle-income countries","URL":"https://bmjpublichealth.bmj.com/content/2/2/e001090","volume":"2","author":[{"family":"Arunda","given":"Malachi Ochieng"},{"family":"Sorcher","given":"Rachael"},{"family":"Canabarro","given":"Ana Paula Finatto"},{"family":"Svallfors","given":"Signe"},{"family":"Endler","given":"Margit"},{"family":"Gemzell-Danielsson","given":"Kristina"},{"family":"Kågesten","given":"Anna"},{"family":"Ali","given":"Moazzam"},{"family":"Bahamondes","given":"Luis"},{"family":"Barreix","given":"María"},{"family":"Chou","given":"Doris"},{"family":"Gonsalves","given":"Lianne"},{"family":"Johnston","given":"Heidi Bart"},{"family":"Kiarie","given":"James"},{"family":"Kim","given":"Caron Rahn"},{"family":"Narasimhan","given":"Manjulaa"},{"family":"Pallitto","given":"Christina"},{"family":"Shah","given":"Mehr Gul"},{"family":"Say","given":"Lale"},{"family":"Thorson","given":"Anna"},{"family":"Ekström","given":"Anna Mia"},{"family":"Larsson","given":"Elin C."},{"family":"Brizuela","given":"Vanessa"}],"accessed":{"date-parts":[["2024",9,19]]},"issued":{"date-parts":[["2024",8,24]]}}}],"schema":"https://github.com/citation-style-language/schema/raw/master/csl-citation.json"} </w:instrText>
      </w:r>
      <w:r w:rsidR="001901FA" w:rsidRPr="00F951C7">
        <w:rPr>
          <w:color w:val="333333"/>
          <w:lang w:val="en-GB"/>
        </w:rPr>
        <w:fldChar w:fldCharType="separate"/>
      </w:r>
      <w:r w:rsidR="00CF4E07" w:rsidRPr="00F951C7">
        <w:rPr>
          <w:lang w:val="en-GB"/>
        </w:rPr>
        <w:t>[3]</w:t>
      </w:r>
      <w:r w:rsidR="001901FA" w:rsidRPr="00F951C7">
        <w:rPr>
          <w:color w:val="333333"/>
          <w:lang w:val="en-GB"/>
        </w:rPr>
        <w:fldChar w:fldCharType="end"/>
      </w:r>
      <w:r w:rsidRPr="00F951C7">
        <w:rPr>
          <w:color w:val="333333"/>
          <w:lang w:val="en-GB"/>
        </w:rPr>
        <w:t>. Evidence is especially sparse for studies applying an intersectional lens that accounts for how gender, age, disability, poverty and migration status interact with climate exposure to shape SRHR outcomes.</w:t>
      </w:r>
    </w:p>
    <w:p w14:paraId="56F7D597" w14:textId="30AB6463" w:rsidR="0034636C" w:rsidRPr="00F951C7" w:rsidRDefault="00590F36" w:rsidP="008E4801">
      <w:pPr>
        <w:spacing w:before="60" w:after="120"/>
        <w:rPr>
          <w:color w:val="333333"/>
          <w:lang w:val="en-GB"/>
        </w:rPr>
      </w:pPr>
      <w:r w:rsidRPr="00F951C7">
        <w:rPr>
          <w:color w:val="333333"/>
          <w:lang w:val="en-GB"/>
        </w:rPr>
        <w:t>A 2024 WHO</w:t>
      </w:r>
      <w:r w:rsidR="0034636C" w:rsidRPr="00F951C7">
        <w:rPr>
          <w:color w:val="333333"/>
          <w:lang w:val="en-GB"/>
        </w:rPr>
        <w:t>/HRP</w:t>
      </w:r>
      <w:r w:rsidRPr="00F951C7">
        <w:rPr>
          <w:color w:val="333333"/>
          <w:lang w:val="en-GB"/>
        </w:rPr>
        <w:t xml:space="preserve">-led prioritisation exercise with </w:t>
      </w:r>
      <w:r w:rsidR="0034636C" w:rsidRPr="00F951C7">
        <w:rPr>
          <w:color w:val="333333"/>
          <w:lang w:val="en-GB"/>
        </w:rPr>
        <w:t>SRHR and climate and environment</w:t>
      </w:r>
      <w:r w:rsidRPr="00F951C7">
        <w:rPr>
          <w:color w:val="333333"/>
          <w:lang w:val="en-GB"/>
        </w:rPr>
        <w:t xml:space="preserve"> experts produced a list of ten priority research questions at the intersection of climate</w:t>
      </w:r>
      <w:r w:rsidR="0034636C" w:rsidRPr="00F951C7">
        <w:rPr>
          <w:color w:val="333333"/>
          <w:lang w:val="en-GB"/>
        </w:rPr>
        <w:t>-related events</w:t>
      </w:r>
      <w:r w:rsidRPr="00F951C7">
        <w:rPr>
          <w:color w:val="333333"/>
          <w:lang w:val="en-GB"/>
        </w:rPr>
        <w:t xml:space="preserve"> and SRHR</w:t>
      </w:r>
      <w:r w:rsidR="001901FA" w:rsidRPr="00F951C7">
        <w:rPr>
          <w:color w:val="333333"/>
          <w:lang w:val="en-GB"/>
        </w:rPr>
        <w:t xml:space="preserve"> </w:t>
      </w:r>
      <w:r w:rsidR="001901FA" w:rsidRPr="00F951C7">
        <w:rPr>
          <w:color w:val="333333"/>
          <w:lang w:val="en-GB"/>
        </w:rPr>
        <w:fldChar w:fldCharType="begin"/>
      </w:r>
      <w:r w:rsidR="00CF4E07" w:rsidRPr="00F951C7">
        <w:rPr>
          <w:color w:val="333333"/>
          <w:lang w:val="en-GB"/>
        </w:rPr>
        <w:instrText xml:space="preserve"> ADDIN ZOTERO_ITEM CSL_CITATION {"citationID":"HyZaaWUn","properties":{"formattedCitation":"[7]","plainCitation":"[7]","noteIndex":0},"citationItems":[{"id":26863,"uris":["http://zotero.org/users/3106537/items/8S2JBQJK"],"itemData":{"id":26863,"type":"article-journal","container-title":"PLOS Climate","title":"Research priorities in sexual and reproductive health and rights and climate change: results of a consensus building and prioritisation process","author":[{"family":"Sexual and Reproductive Health and Rights and Climate Change Delphi Consensus Building Group","given":""}]}}],"schema":"https://github.com/citation-style-language/schema/raw/master/csl-citation.json"} </w:instrText>
      </w:r>
      <w:r w:rsidR="001901FA" w:rsidRPr="00F951C7">
        <w:rPr>
          <w:color w:val="333333"/>
          <w:lang w:val="en-GB"/>
        </w:rPr>
        <w:fldChar w:fldCharType="separate"/>
      </w:r>
      <w:r w:rsidR="00CF4E07" w:rsidRPr="00F951C7">
        <w:rPr>
          <w:lang w:val="en-GB"/>
        </w:rPr>
        <w:t>[7]</w:t>
      </w:r>
      <w:r w:rsidR="001901FA" w:rsidRPr="00F951C7">
        <w:rPr>
          <w:color w:val="333333"/>
          <w:lang w:val="en-GB"/>
        </w:rPr>
        <w:fldChar w:fldCharType="end"/>
      </w:r>
      <w:r w:rsidRPr="00F951C7">
        <w:rPr>
          <w:color w:val="333333"/>
          <w:lang w:val="en-GB"/>
        </w:rPr>
        <w:t xml:space="preserve"> and identified participatory and mixed methods as the most appropriate approaches for generating the evidence needed</w:t>
      </w:r>
      <w:r w:rsidR="001901FA" w:rsidRPr="00F951C7">
        <w:rPr>
          <w:color w:val="333333"/>
          <w:lang w:val="en-GB"/>
        </w:rPr>
        <w:t xml:space="preserve"> </w:t>
      </w:r>
      <w:r w:rsidR="001901FA" w:rsidRPr="00F951C7">
        <w:rPr>
          <w:color w:val="333333"/>
          <w:lang w:val="en-GB"/>
        </w:rPr>
        <w:fldChar w:fldCharType="begin"/>
      </w:r>
      <w:r w:rsidR="00D544EF" w:rsidRPr="00F951C7">
        <w:rPr>
          <w:color w:val="333333"/>
          <w:lang w:val="en-GB"/>
        </w:rPr>
        <w:instrText xml:space="preserve"> ADDIN ZOTERO_ITEM CSL_CITATION {"citationID":"iFitpurL","properties":{"formattedCitation":"[8]","plainCitation":"[8]","noteIndex":0},"citationItems":[{"id":25919,"uris":["http://zotero.org/users/3106537/items/J56WKQRW"],"itemData":{"id":25919,"type":"article-journal","container-title":"The Lancet Planetary Health","DOI":"10.1016/S2542-5196(24)00093-7","ISSN":"2542-5196","issue":"6","journalAbbreviation":"The Lancet Planetary Health","language":"English","page":"e347-e348","PMID":"38849174","publisher":"Elsevier","source":"www.thelancet.com","title":"Key considerations for research into how climate change affects sexual and reproductive health and rights","volume":"8","author":[{"family":"Sorcher","given":"Rachael"},{"family":"Arunda","given":"Malachi Ochieng"},{"family":"Ajayi","given":"Anthony Idowu"},{"family":"Alger","given":"Jackeline"},{"family":"Ali","given":"Moazzam"},{"family":"Allen","given":"Elizabeth"},{"family":"Andriano","given":"Liliana"},{"family":"Haq","given":"Shah Md Atiqul"},{"family":"Bahamondes","given":"Luis"},{"family":"Billingsley","given":"Sunnee"},{"family":"Brizuela","given":"Vanessa"},{"family":"Brown","given":"Meg L."},{"family":"Charles","given":"Charles M'poca"},{"family":"Chou","given":"Doris"},{"family":"Coates","given":"Anna"},{"family":"Cresswell","given":"Jenny A."},{"family":"Dijkerman","given":"Sally"},{"family":"DiTucci","given":"Tracy"},{"family":"Thorson","given":"Anna E."},{"family":"Ekström","given":"Anna Mia"},{"family":"Endler","given":"Margit"},{"family":"Enos","given":"Juliana Yartey"},{"family":"Canabarro","given":"Ana Paula Finatto"},{"family":"Formia","given":"Sandra"},{"family":"Gallardo-Alvarado","given":"Negli"},{"family":"Gemzell-Danielsson","given":"Kristina"},{"family":"Gonsalves","given":"Lianne"},{"family":"Hammond","given":"Natalie"},{"family":"Hannum","given":"Emily"},{"family":"Haque","given":"Md Rabiul"},{"family":"Huang","given":"Zhongwei"},{"family":"Johnston","given":"Heidi Bart"},{"family":"Kiarie","given":"James"},{"family":"Kim","given":"Caron"},{"family":"Kågesten","given":"Anna"},{"family":"Larsson","given":"Elin C."},{"family":"Logie","given":"Carmen"},{"family":"Mahapatra","given":"Bidhubhusan"},{"family":"Manhiça","given":"Suzana"},{"family":"Abdullah","given":"Abu Sayeed Md"},{"family":"Mrejen","given":"Matías"},{"family":"Munala","given":"Leso"},{"family":"Narasimhan","given":"Manjulaa"},{"family":"Nguyen","given":"My"},{"family":"Arunda","given":"Malachi Ochieng"},{"family":"Ombija","given":"Stephen"},{"family":"Pallitto","given":"Christina"},{"family":"Quansah","given":"Reginald"},{"family":"Sana","given":"Adama"},{"family":"Contreras","given":"Miguel Alejandro Saquimux"},{"family":"Saye","given":"Lale"},{"family":"Shah","given":"Mehr Gul"},{"family":"Smallcombe","given":"James W."},{"family":"Sorcher","given":"Rachael"},{"family":"Thatte","given":"Nandita"},{"family":"Wilbur","given":"Jane"}],"issued":{"date-parts":[["2024",6,1]]}}}],"schema":"https://github.com/citation-style-language/schema/raw/master/csl-citation.json"} </w:instrText>
      </w:r>
      <w:r w:rsidR="001901FA" w:rsidRPr="00F951C7">
        <w:rPr>
          <w:color w:val="333333"/>
          <w:lang w:val="en-GB"/>
        </w:rPr>
        <w:fldChar w:fldCharType="separate"/>
      </w:r>
      <w:r w:rsidR="00CF4E07" w:rsidRPr="00F951C7">
        <w:rPr>
          <w:lang w:val="en-GB"/>
        </w:rPr>
        <w:t>[8]</w:t>
      </w:r>
      <w:r w:rsidR="001901FA" w:rsidRPr="00F951C7">
        <w:rPr>
          <w:color w:val="333333"/>
          <w:lang w:val="en-GB"/>
        </w:rPr>
        <w:fldChar w:fldCharType="end"/>
      </w:r>
      <w:r w:rsidRPr="00F951C7">
        <w:rPr>
          <w:color w:val="333333"/>
          <w:lang w:val="en-GB"/>
        </w:rPr>
        <w:t xml:space="preserve">. </w:t>
      </w:r>
      <w:r w:rsidR="0034636C" w:rsidRPr="00F951C7">
        <w:rPr>
          <w:color w:val="333333"/>
          <w:lang w:val="en-GB"/>
        </w:rPr>
        <w:t xml:space="preserve">Evidence has also shown that </w:t>
      </w:r>
      <w:r w:rsidRPr="00F951C7">
        <w:rPr>
          <w:color w:val="333333"/>
          <w:lang w:val="en-GB"/>
        </w:rPr>
        <w:t>while some National Adaptation Plans (NAP) and Health National Adaptation Plans (HNAP) include SRHR components, none addresses SRHR comprehensively</w:t>
      </w:r>
      <w:r w:rsidR="001901FA" w:rsidRPr="00F951C7">
        <w:rPr>
          <w:color w:val="333333"/>
          <w:lang w:val="en-GB"/>
        </w:rPr>
        <w:t xml:space="preserve"> </w:t>
      </w:r>
      <w:r w:rsidR="001901FA" w:rsidRPr="00F951C7">
        <w:rPr>
          <w:color w:val="333333"/>
          <w:lang w:val="en-GB"/>
        </w:rPr>
        <w:fldChar w:fldCharType="begin"/>
      </w:r>
      <w:r w:rsidR="00D544EF" w:rsidRPr="00F951C7">
        <w:rPr>
          <w:color w:val="333333"/>
          <w:lang w:val="en-GB"/>
        </w:rPr>
        <w:instrText xml:space="preserve"> ADDIN ZOTERO_ITEM CSL_CITATION {"citationID":"Kj1PMHnC","properties":{"formattedCitation":"[9,10]","plainCitation":"[9,10]","noteIndex":0},"citationItems":[{"id":26862,"uris":["http://zotero.org/users/3106537/items/VSYAIWPG"],"itemData":{"id":26862,"type":"report","abstract":"To effectively address these growing health challenges posed by climate change, health considerations must be systematically integrated into broader national climate adaptation strategies.","language":"en","license":"CC BY-NCSA 3.0 IGO","publisher":"World Health Organization","publisher-place":"Geneva","title":"Health at the heart of national adaptation planning: a global review of national adaptation plans and health national adaptation plans","title-short":"Health at the heart of national adaptation planning","URL":"https://www.who.int/publications/i/item/9789240118447","accessed":{"date-parts":[["2026",2,26]]},"issued":{"date-parts":[["2025"]]}},"label":"page"},{"id":26108,"uris":["http://zotero.org/users/3106537/items/NV3PGUEF"],"itemData":{"id":26108,"type":"report","publisher":"YLabs","title":"Sexual and Reproductive Health and Rights in National Adaptation Plan &amp; Health National Adaptation Plans: A Global Review","URL":"https://climate-srhr.org/s/AGlobalReview-ClimatexSRHR-Ylabs.pdf","author":[{"family":"Alagarajah","given":"Janagan"},{"family":"Beeman","given":"Aly"},{"family":"Brown","given":"Megan"},{"family":"Aibe","given":"Sono"},{"family":"Fuchs","given":"Nomi Rachel"},{"family":"Gibbs","given":"Theodora"}],"issued":{"date-parts":[["2024"]]}},"label":"page"}],"schema":"https://github.com/citation-style-language/schema/raw/master/csl-citation.json"} </w:instrText>
      </w:r>
      <w:r w:rsidR="001901FA" w:rsidRPr="00F951C7">
        <w:rPr>
          <w:color w:val="333333"/>
          <w:lang w:val="en-GB"/>
        </w:rPr>
        <w:fldChar w:fldCharType="separate"/>
      </w:r>
      <w:r w:rsidR="00CF4E07" w:rsidRPr="00F951C7">
        <w:rPr>
          <w:lang w:val="en-GB"/>
        </w:rPr>
        <w:t>[9,10]</w:t>
      </w:r>
      <w:r w:rsidR="001901FA" w:rsidRPr="00F951C7">
        <w:rPr>
          <w:color w:val="333333"/>
          <w:lang w:val="en-GB"/>
        </w:rPr>
        <w:fldChar w:fldCharType="end"/>
      </w:r>
      <w:r w:rsidRPr="00F951C7">
        <w:rPr>
          <w:color w:val="333333"/>
          <w:lang w:val="en-GB"/>
        </w:rPr>
        <w:t xml:space="preserve">. </w:t>
      </w:r>
    </w:p>
    <w:p w14:paraId="1DCD2B4C" w14:textId="2558AFCD" w:rsidR="005F40DC" w:rsidRPr="00F951C7" w:rsidRDefault="00590F36" w:rsidP="008E4801">
      <w:pPr>
        <w:spacing w:before="60" w:after="120"/>
        <w:rPr>
          <w:lang w:val="en-GB"/>
        </w:rPr>
      </w:pPr>
      <w:r w:rsidRPr="00F951C7">
        <w:rPr>
          <w:color w:val="333333"/>
          <w:lang w:val="en-GB"/>
        </w:rPr>
        <w:t>This call responds directly to both findings. It focuses on four priority outcome areas — maternal health, gender-based violence, contraception and abortion care — and is grounded in the principle that communities most affected by climate change are best placed to define, study and help address the problems they face.</w:t>
      </w:r>
    </w:p>
    <w:p w14:paraId="495939B2" w14:textId="77777777" w:rsidR="00BB64DB" w:rsidRPr="00F951C7" w:rsidRDefault="00BB64DB" w:rsidP="008E4801">
      <w:pPr>
        <w:pStyle w:val="Heading1"/>
        <w:rPr>
          <w:lang w:val="en-GB"/>
        </w:rPr>
      </w:pPr>
    </w:p>
    <w:p w14:paraId="6302CE49" w14:textId="41D95330" w:rsidR="005F40DC" w:rsidRPr="00F951C7" w:rsidRDefault="00590F36" w:rsidP="008E4801">
      <w:pPr>
        <w:pStyle w:val="Heading1"/>
        <w:rPr>
          <w:lang w:val="en-GB"/>
        </w:rPr>
      </w:pPr>
      <w:r w:rsidRPr="00F951C7">
        <w:rPr>
          <w:lang w:val="en-GB"/>
        </w:rPr>
        <w:t xml:space="preserve">2. Research </w:t>
      </w:r>
      <w:r w:rsidR="005A04E8" w:rsidRPr="00F951C7">
        <w:rPr>
          <w:lang w:val="en-GB"/>
        </w:rPr>
        <w:t>q</w:t>
      </w:r>
      <w:r w:rsidRPr="00F951C7">
        <w:rPr>
          <w:lang w:val="en-GB"/>
        </w:rPr>
        <w:t xml:space="preserve">uestions and </w:t>
      </w:r>
      <w:r w:rsidR="005A04E8" w:rsidRPr="00F951C7">
        <w:rPr>
          <w:lang w:val="en-GB"/>
        </w:rPr>
        <w:t>o</w:t>
      </w:r>
      <w:r w:rsidRPr="00F951C7">
        <w:rPr>
          <w:lang w:val="en-GB"/>
        </w:rPr>
        <w:t>bjectives</w:t>
      </w:r>
    </w:p>
    <w:p w14:paraId="7DB0B1E3" w14:textId="609375AF" w:rsidR="005F40DC" w:rsidRPr="00F951C7" w:rsidRDefault="00590F36" w:rsidP="008E4801">
      <w:pPr>
        <w:pStyle w:val="Heading2"/>
        <w:pBdr>
          <w:bottom w:val="single" w:sz="2" w:space="4" w:color="CCCCCC"/>
        </w:pBdr>
        <w:spacing w:after="120"/>
        <w:rPr>
          <w:lang w:val="en-GB"/>
        </w:rPr>
      </w:pPr>
      <w:r w:rsidRPr="00F951C7">
        <w:rPr>
          <w:lang w:val="en-GB"/>
        </w:rPr>
        <w:t xml:space="preserve">2.1 Priority </w:t>
      </w:r>
      <w:r w:rsidR="005A04E8" w:rsidRPr="00F951C7">
        <w:rPr>
          <w:lang w:val="en-GB"/>
        </w:rPr>
        <w:t>r</w:t>
      </w:r>
      <w:r w:rsidRPr="00F951C7">
        <w:rPr>
          <w:lang w:val="en-GB"/>
        </w:rPr>
        <w:t xml:space="preserve">esearch </w:t>
      </w:r>
      <w:r w:rsidR="005A04E8" w:rsidRPr="00F951C7">
        <w:rPr>
          <w:lang w:val="en-GB"/>
        </w:rPr>
        <w:t>q</w:t>
      </w:r>
      <w:r w:rsidRPr="00F951C7">
        <w:rPr>
          <w:lang w:val="en-GB"/>
        </w:rPr>
        <w:t>uestions</w:t>
      </w:r>
    </w:p>
    <w:p w14:paraId="7EA55CD4" w14:textId="3DB22028" w:rsidR="005F40DC" w:rsidRPr="00F951C7" w:rsidRDefault="00590F36" w:rsidP="008E4801">
      <w:pPr>
        <w:spacing w:before="60" w:after="120"/>
        <w:rPr>
          <w:lang w:val="en-GB"/>
        </w:rPr>
      </w:pPr>
      <w:r w:rsidRPr="00F951C7">
        <w:rPr>
          <w:color w:val="333333"/>
          <w:lang w:val="en-GB"/>
        </w:rPr>
        <w:t>This call focuses on four SRHR outcome areas where the evidence gap is most acute and where community-centred participatory research is most needed, drawing on the 2024 WHO/HRP consensus-building process</w:t>
      </w:r>
      <w:r w:rsidR="0034636C" w:rsidRPr="00F951C7">
        <w:rPr>
          <w:color w:val="333333"/>
          <w:lang w:val="en-GB"/>
        </w:rPr>
        <w:t xml:space="preserve"> </w:t>
      </w:r>
      <w:r w:rsidR="0034636C" w:rsidRPr="00F951C7">
        <w:rPr>
          <w:color w:val="333333"/>
          <w:lang w:val="en-GB"/>
        </w:rPr>
        <w:fldChar w:fldCharType="begin"/>
      </w:r>
      <w:r w:rsidR="00CF4E07" w:rsidRPr="00F951C7">
        <w:rPr>
          <w:color w:val="333333"/>
          <w:lang w:val="en-GB"/>
        </w:rPr>
        <w:instrText xml:space="preserve"> ADDIN ZOTERO_ITEM CSL_CITATION {"citationID":"1aXUl2f7","properties":{"formattedCitation":"[7]","plainCitation":"[7]","noteIndex":0},"citationItems":[{"id":26863,"uris":["http://zotero.org/users/3106537/items/8S2JBQJK"],"itemData":{"id":26863,"type":"article-journal","container-title":"PLOS Climate","title":"Research priorities in sexual and reproductive health and rights and climate change: results of a consensus building and prioritisation process","author":[{"family":"Sexual and Reproductive Health and Rights and Climate Change Delphi Consensus Building Group","given":""}]}}],"schema":"https://github.com/citation-style-language/schema/raw/master/csl-citation.json"} </w:instrText>
      </w:r>
      <w:r w:rsidR="0034636C" w:rsidRPr="00F951C7">
        <w:rPr>
          <w:color w:val="333333"/>
          <w:lang w:val="en-GB"/>
        </w:rPr>
        <w:fldChar w:fldCharType="separate"/>
      </w:r>
      <w:r w:rsidR="00CF4E07" w:rsidRPr="00F951C7">
        <w:rPr>
          <w:lang w:val="en-GB"/>
        </w:rPr>
        <w:t>[7]</w:t>
      </w:r>
      <w:r w:rsidR="0034636C" w:rsidRPr="00F951C7">
        <w:rPr>
          <w:color w:val="333333"/>
          <w:lang w:val="en-GB"/>
        </w:rPr>
        <w:fldChar w:fldCharType="end"/>
      </w:r>
      <w:r w:rsidR="0034636C" w:rsidRPr="00F951C7">
        <w:rPr>
          <w:color w:val="333333"/>
          <w:lang w:val="en-GB"/>
        </w:rPr>
        <w:t>.</w:t>
      </w:r>
      <w:r w:rsidRPr="00F951C7">
        <w:rPr>
          <w:color w:val="333333"/>
          <w:lang w:val="en-GB"/>
        </w:rPr>
        <w:t xml:space="preserve"> Each proposal must address </w:t>
      </w:r>
      <w:r w:rsidRPr="00F951C7">
        <w:rPr>
          <w:b/>
          <w:bCs/>
          <w:color w:val="333333"/>
          <w:u w:val="single"/>
          <w:lang w:val="en-GB"/>
        </w:rPr>
        <w:t>one</w:t>
      </w:r>
      <w:r w:rsidRPr="00F951C7">
        <w:rPr>
          <w:color w:val="333333"/>
          <w:lang w:val="en-GB"/>
        </w:rPr>
        <w:t xml:space="preserve"> of the following four priority questions</w:t>
      </w:r>
      <w:r w:rsidR="0034636C" w:rsidRPr="00F951C7">
        <w:rPr>
          <w:color w:val="333333"/>
          <w:lang w:val="en-GB"/>
        </w:rPr>
        <w:t xml:space="preserve"> and provide a</w:t>
      </w:r>
      <w:r w:rsidR="00907915" w:rsidRPr="00F951C7">
        <w:rPr>
          <w:color w:val="333333"/>
          <w:lang w:val="en-GB"/>
        </w:rPr>
        <w:t xml:space="preserve"> </w:t>
      </w:r>
      <w:r w:rsidR="0034636C" w:rsidRPr="00F951C7">
        <w:rPr>
          <w:color w:val="333333"/>
          <w:lang w:val="en-GB"/>
        </w:rPr>
        <w:t>concise justification for that choice based on the local context, existing evidence gaps, and the team’s expertise.</w:t>
      </w:r>
    </w:p>
    <w:p w14:paraId="28E72B86"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F951C7" w14:paraId="65EB8C2C"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477D8CEB" w14:textId="232B189B" w:rsidR="005F40DC" w:rsidRPr="00F951C7" w:rsidRDefault="00590F36" w:rsidP="008E4801">
            <w:pPr>
              <w:spacing w:after="120"/>
              <w:rPr>
                <w:lang w:val="en-GB"/>
              </w:rPr>
            </w:pPr>
            <w:r w:rsidRPr="00F951C7">
              <w:rPr>
                <w:b/>
                <w:bCs/>
                <w:color w:val="006BB6"/>
                <w:lang w:val="en-GB"/>
              </w:rPr>
              <w:lastRenderedPageBreak/>
              <w:t xml:space="preserve">Priority </w:t>
            </w:r>
            <w:r w:rsidR="005A04E8" w:rsidRPr="00F951C7">
              <w:rPr>
                <w:b/>
                <w:bCs/>
                <w:color w:val="006BB6"/>
                <w:lang w:val="en-GB"/>
              </w:rPr>
              <w:t>q</w:t>
            </w:r>
            <w:r w:rsidRPr="00F951C7">
              <w:rPr>
                <w:b/>
                <w:bCs/>
                <w:color w:val="006BB6"/>
                <w:lang w:val="en-GB"/>
              </w:rPr>
              <w:t xml:space="preserve">uestion 1 – Maternal </w:t>
            </w:r>
            <w:r w:rsidR="005A04E8" w:rsidRPr="00F951C7">
              <w:rPr>
                <w:b/>
                <w:bCs/>
                <w:color w:val="006BB6"/>
                <w:lang w:val="en-GB"/>
              </w:rPr>
              <w:t>h</w:t>
            </w:r>
            <w:r w:rsidRPr="00F951C7">
              <w:rPr>
                <w:b/>
                <w:bCs/>
                <w:color w:val="006BB6"/>
                <w:lang w:val="en-GB"/>
              </w:rPr>
              <w:t>ealth</w:t>
            </w:r>
          </w:p>
          <w:p w14:paraId="3693FA06" w14:textId="77777777" w:rsidR="005F40DC" w:rsidRPr="00F951C7" w:rsidRDefault="00590F36" w:rsidP="008E4801">
            <w:pPr>
              <w:spacing w:before="40" w:after="120"/>
              <w:rPr>
                <w:lang w:val="en-GB"/>
              </w:rPr>
            </w:pPr>
            <w:r w:rsidRPr="00F951C7">
              <w:rPr>
                <w:color w:val="333333"/>
                <w:lang w:val="en-GB"/>
              </w:rPr>
              <w:t>How do climate-related events — including extreme temperatures, floods, and drought — affect maternal and perinatal health outcomes, and what do communities’ lived experiences reveal about the barriers and enablers of quality maternity care during and after these events?</w:t>
            </w:r>
          </w:p>
        </w:tc>
      </w:tr>
    </w:tbl>
    <w:p w14:paraId="186D6594"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F951C7" w14:paraId="5384E8FF"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37DEA054" w14:textId="142B17CA" w:rsidR="005F40DC" w:rsidRPr="00F951C7" w:rsidRDefault="00590F36" w:rsidP="008E4801">
            <w:pPr>
              <w:spacing w:after="120"/>
              <w:rPr>
                <w:lang w:val="en-GB"/>
              </w:rPr>
            </w:pPr>
            <w:r w:rsidRPr="00F951C7">
              <w:rPr>
                <w:b/>
                <w:bCs/>
                <w:color w:val="006BB6"/>
                <w:lang w:val="en-GB"/>
              </w:rPr>
              <w:t xml:space="preserve">Priority </w:t>
            </w:r>
            <w:r w:rsidR="005A04E8" w:rsidRPr="00F951C7">
              <w:rPr>
                <w:b/>
                <w:bCs/>
                <w:color w:val="006BB6"/>
                <w:lang w:val="en-GB"/>
              </w:rPr>
              <w:t>q</w:t>
            </w:r>
            <w:r w:rsidRPr="00F951C7">
              <w:rPr>
                <w:b/>
                <w:bCs/>
                <w:color w:val="006BB6"/>
                <w:lang w:val="en-GB"/>
              </w:rPr>
              <w:t>uestion 2 – Gender-</w:t>
            </w:r>
            <w:r w:rsidR="005A04E8" w:rsidRPr="00F951C7">
              <w:rPr>
                <w:b/>
                <w:bCs/>
                <w:color w:val="006BB6"/>
                <w:lang w:val="en-GB"/>
              </w:rPr>
              <w:t>b</w:t>
            </w:r>
            <w:r w:rsidRPr="00F951C7">
              <w:rPr>
                <w:b/>
                <w:bCs/>
                <w:color w:val="006BB6"/>
                <w:lang w:val="en-GB"/>
              </w:rPr>
              <w:t xml:space="preserve">ased </w:t>
            </w:r>
            <w:r w:rsidR="005A04E8" w:rsidRPr="00F951C7">
              <w:rPr>
                <w:b/>
                <w:bCs/>
                <w:color w:val="006BB6"/>
                <w:lang w:val="en-GB"/>
              </w:rPr>
              <w:t>v</w:t>
            </w:r>
            <w:r w:rsidRPr="00F951C7">
              <w:rPr>
                <w:b/>
                <w:bCs/>
                <w:color w:val="006BB6"/>
                <w:lang w:val="en-GB"/>
              </w:rPr>
              <w:t>iolence</w:t>
            </w:r>
          </w:p>
          <w:p w14:paraId="72B98DE1" w14:textId="70B68090" w:rsidR="005F40DC" w:rsidRPr="00F951C7" w:rsidRDefault="00590F36" w:rsidP="008E4801">
            <w:pPr>
              <w:spacing w:before="40" w:after="120"/>
              <w:rPr>
                <w:lang w:val="en-GB"/>
              </w:rPr>
            </w:pPr>
            <w:r w:rsidRPr="00F951C7">
              <w:rPr>
                <w:color w:val="333333"/>
                <w:lang w:val="en-GB"/>
              </w:rPr>
              <w:t>How do climate-related events — including drought, floods, and extreme temperatures — affect the incidence, manifestations, and health system response to gender-based violence, and what community-based interventions can effectively prevent and reduce this violence?</w:t>
            </w:r>
          </w:p>
        </w:tc>
      </w:tr>
    </w:tbl>
    <w:p w14:paraId="2CEB6D02"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F951C7" w14:paraId="40211D8B"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5EC1AE8E" w14:textId="2CA2EB7B" w:rsidR="005F40DC" w:rsidRPr="00F951C7" w:rsidRDefault="00590F36" w:rsidP="008E4801">
            <w:pPr>
              <w:spacing w:after="120"/>
              <w:rPr>
                <w:lang w:val="en-GB"/>
              </w:rPr>
            </w:pPr>
            <w:r w:rsidRPr="00F951C7">
              <w:rPr>
                <w:b/>
                <w:bCs/>
                <w:color w:val="006BB6"/>
                <w:lang w:val="en-GB"/>
              </w:rPr>
              <w:t xml:space="preserve">Priority </w:t>
            </w:r>
            <w:r w:rsidR="005A04E8" w:rsidRPr="00F951C7">
              <w:rPr>
                <w:b/>
                <w:bCs/>
                <w:color w:val="006BB6"/>
                <w:lang w:val="en-GB"/>
              </w:rPr>
              <w:t>q</w:t>
            </w:r>
            <w:r w:rsidRPr="00F951C7">
              <w:rPr>
                <w:b/>
                <w:bCs/>
                <w:color w:val="006BB6"/>
                <w:lang w:val="en-GB"/>
              </w:rPr>
              <w:t>uestion 3 – Contraception</w:t>
            </w:r>
          </w:p>
          <w:p w14:paraId="47526CB4" w14:textId="63C3C387" w:rsidR="005F40DC" w:rsidRPr="00F951C7" w:rsidRDefault="00590F36" w:rsidP="008E4801">
            <w:pPr>
              <w:spacing w:before="40" w:after="120"/>
              <w:rPr>
                <w:lang w:val="en-GB"/>
              </w:rPr>
            </w:pPr>
            <w:r w:rsidRPr="00F951C7">
              <w:rPr>
                <w:color w:val="333333"/>
                <w:lang w:val="en-GB"/>
              </w:rPr>
              <w:t>How do climate-related events affect access to and continuity of contraceptive services and commodities, and what measures can be implemented to maintain quality contraceptive during and after climate shocks?</w:t>
            </w:r>
          </w:p>
        </w:tc>
      </w:tr>
    </w:tbl>
    <w:p w14:paraId="51772367"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F951C7" w14:paraId="47532A58"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62961250" w14:textId="196C18A8" w:rsidR="005F40DC" w:rsidRPr="00F951C7" w:rsidRDefault="00590F36" w:rsidP="008E4801">
            <w:pPr>
              <w:spacing w:after="120"/>
              <w:rPr>
                <w:lang w:val="en-GB"/>
              </w:rPr>
            </w:pPr>
            <w:r w:rsidRPr="00F951C7">
              <w:rPr>
                <w:b/>
                <w:bCs/>
                <w:color w:val="006BB6"/>
                <w:lang w:val="en-GB"/>
              </w:rPr>
              <w:t xml:space="preserve">Priority </w:t>
            </w:r>
            <w:r w:rsidR="005A04E8" w:rsidRPr="00F951C7">
              <w:rPr>
                <w:b/>
                <w:bCs/>
                <w:color w:val="006BB6"/>
                <w:lang w:val="en-GB"/>
              </w:rPr>
              <w:t>q</w:t>
            </w:r>
            <w:r w:rsidRPr="00F951C7">
              <w:rPr>
                <w:b/>
                <w:bCs/>
                <w:color w:val="006BB6"/>
                <w:lang w:val="en-GB"/>
              </w:rPr>
              <w:t xml:space="preserve">uestion 4 – Abortion </w:t>
            </w:r>
            <w:r w:rsidR="005A04E8" w:rsidRPr="00F951C7">
              <w:rPr>
                <w:b/>
                <w:bCs/>
                <w:color w:val="006BB6"/>
                <w:lang w:val="en-GB"/>
              </w:rPr>
              <w:t>c</w:t>
            </w:r>
            <w:r w:rsidRPr="00F951C7">
              <w:rPr>
                <w:b/>
                <w:bCs/>
                <w:color w:val="006BB6"/>
                <w:lang w:val="en-GB"/>
              </w:rPr>
              <w:t>are</w:t>
            </w:r>
          </w:p>
          <w:p w14:paraId="3249767B" w14:textId="75CD3BF1" w:rsidR="005F40DC" w:rsidRPr="00F951C7" w:rsidRDefault="00590F36" w:rsidP="008E4801">
            <w:pPr>
              <w:spacing w:before="40" w:after="120"/>
              <w:rPr>
                <w:lang w:val="en-GB"/>
              </w:rPr>
            </w:pPr>
            <w:r w:rsidRPr="00F951C7">
              <w:rPr>
                <w:color w:val="333333"/>
                <w:lang w:val="en-GB"/>
              </w:rPr>
              <w:t xml:space="preserve">How do climate-related events affect access to </w:t>
            </w:r>
            <w:r w:rsidR="0034636C" w:rsidRPr="00F951C7">
              <w:rPr>
                <w:color w:val="333333"/>
                <w:lang w:val="en-GB"/>
              </w:rPr>
              <w:t xml:space="preserve">comprehensive </w:t>
            </w:r>
            <w:r w:rsidRPr="00F951C7">
              <w:rPr>
                <w:color w:val="333333"/>
                <w:lang w:val="en-GB"/>
              </w:rPr>
              <w:t xml:space="preserve">abortion care, and </w:t>
            </w:r>
            <w:r w:rsidR="00812AFC" w:rsidRPr="00F951C7">
              <w:rPr>
                <w:color w:val="333333"/>
                <w:lang w:val="en-GB"/>
              </w:rPr>
              <w:t>how can</w:t>
            </w:r>
            <w:r w:rsidRPr="00F951C7">
              <w:rPr>
                <w:color w:val="333333"/>
                <w:lang w:val="en-GB"/>
              </w:rPr>
              <w:t xml:space="preserve"> community experiences and health system responses inform strategies to ensure continuity </w:t>
            </w:r>
            <w:r w:rsidR="009E571A" w:rsidRPr="00F951C7">
              <w:rPr>
                <w:color w:val="333333"/>
                <w:lang w:val="en-GB"/>
              </w:rPr>
              <w:t>of care</w:t>
            </w:r>
            <w:r w:rsidRPr="00F951C7">
              <w:rPr>
                <w:color w:val="333333"/>
                <w:lang w:val="en-GB"/>
              </w:rPr>
              <w:t xml:space="preserve"> during and after climate shocks?</w:t>
            </w:r>
          </w:p>
        </w:tc>
      </w:tr>
    </w:tbl>
    <w:p w14:paraId="5C8C4DC1" w14:textId="77777777" w:rsidR="005F40DC" w:rsidRPr="00F951C7" w:rsidRDefault="005F40DC" w:rsidP="008E4801">
      <w:pPr>
        <w:spacing w:after="120"/>
        <w:rPr>
          <w:lang w:val="en-GB"/>
        </w:rPr>
      </w:pPr>
    </w:p>
    <w:p w14:paraId="458193EA" w14:textId="1C4C4EF0" w:rsidR="005F40DC" w:rsidRPr="00F951C7" w:rsidRDefault="00590F36" w:rsidP="008E4801">
      <w:pPr>
        <w:pStyle w:val="Heading2"/>
        <w:pBdr>
          <w:bottom w:val="single" w:sz="2" w:space="4" w:color="CCCCCC"/>
        </w:pBdr>
        <w:spacing w:after="120"/>
        <w:rPr>
          <w:lang w:val="en-GB"/>
        </w:rPr>
      </w:pPr>
      <w:r w:rsidRPr="00F951C7">
        <w:rPr>
          <w:lang w:val="en-GB"/>
        </w:rPr>
        <w:t xml:space="preserve">2.2 </w:t>
      </w:r>
      <w:r w:rsidR="005A04E8" w:rsidRPr="00F951C7">
        <w:rPr>
          <w:lang w:val="en-GB"/>
        </w:rPr>
        <w:t>O</w:t>
      </w:r>
      <w:r w:rsidRPr="00F951C7">
        <w:rPr>
          <w:lang w:val="en-GB"/>
        </w:rPr>
        <w:t>bjectives</w:t>
      </w:r>
    </w:p>
    <w:p w14:paraId="17145B4A" w14:textId="77777777" w:rsidR="005F40DC" w:rsidRPr="00F951C7" w:rsidRDefault="00590F36" w:rsidP="008E4801">
      <w:pPr>
        <w:spacing w:before="60" w:after="120"/>
        <w:rPr>
          <w:lang w:val="en-GB"/>
        </w:rPr>
      </w:pPr>
      <w:r w:rsidRPr="00F951C7">
        <w:rPr>
          <w:color w:val="333333"/>
          <w:lang w:val="en-GB"/>
        </w:rPr>
        <w:t>The objectives of this call are:</w:t>
      </w:r>
    </w:p>
    <w:p w14:paraId="02FEF336" w14:textId="77777777" w:rsidR="005F40DC" w:rsidRPr="00F951C7" w:rsidRDefault="00590F36" w:rsidP="008E4801">
      <w:pPr>
        <w:pStyle w:val="ListParagraph"/>
        <w:numPr>
          <w:ilvl w:val="0"/>
          <w:numId w:val="2"/>
        </w:numPr>
        <w:spacing w:before="40" w:after="120"/>
        <w:rPr>
          <w:lang w:val="en-GB"/>
        </w:rPr>
      </w:pPr>
      <w:r w:rsidRPr="00F951C7">
        <w:rPr>
          <w:color w:val="333333"/>
          <w:lang w:val="en-GB"/>
        </w:rPr>
        <w:t>To generate community-centred evidence on the lived experience of climate change impacts on SRHR, across four priority outcome areas: maternal health, gender-based violence, contraception and abortion care.</w:t>
      </w:r>
    </w:p>
    <w:p w14:paraId="09C5237B" w14:textId="77777777" w:rsidR="005F40DC" w:rsidRPr="00F951C7" w:rsidRDefault="00590F36" w:rsidP="008E4801">
      <w:pPr>
        <w:pStyle w:val="ListParagraph"/>
        <w:numPr>
          <w:ilvl w:val="0"/>
          <w:numId w:val="2"/>
        </w:numPr>
        <w:spacing w:before="40" w:after="120"/>
        <w:rPr>
          <w:lang w:val="en-GB"/>
        </w:rPr>
      </w:pPr>
      <w:r w:rsidRPr="00F951C7">
        <w:rPr>
          <w:color w:val="333333"/>
          <w:lang w:val="en-GB"/>
        </w:rPr>
        <w:t>To support participatory research that places climate-affected communities as active co-researchers, and that can inform NAP/HNAP strengthening and SRHR policy at country level.</w:t>
      </w:r>
    </w:p>
    <w:p w14:paraId="6AEED663" w14:textId="77777777" w:rsidR="005F40DC" w:rsidRPr="00F951C7" w:rsidRDefault="00590F36" w:rsidP="008E4801">
      <w:pPr>
        <w:pStyle w:val="ListParagraph"/>
        <w:numPr>
          <w:ilvl w:val="0"/>
          <w:numId w:val="2"/>
        </w:numPr>
        <w:spacing w:before="40" w:after="120"/>
        <w:rPr>
          <w:lang w:val="en-GB"/>
        </w:rPr>
      </w:pPr>
      <w:r w:rsidRPr="00F951C7">
        <w:rPr>
          <w:color w:val="333333"/>
          <w:lang w:val="en-GB"/>
        </w:rPr>
        <w:t>To strengthen SRHR research capacity in low- and middle-income countries, with a focus on participatory and mixed methods approaches.</w:t>
      </w:r>
    </w:p>
    <w:p w14:paraId="67A38758" w14:textId="77777777" w:rsidR="005F40DC" w:rsidRPr="00F951C7" w:rsidRDefault="005F40DC" w:rsidP="008E4801">
      <w:pPr>
        <w:spacing w:after="120"/>
        <w:rPr>
          <w:lang w:val="en-GB"/>
        </w:rPr>
      </w:pPr>
    </w:p>
    <w:p w14:paraId="078C2166" w14:textId="762D38CE" w:rsidR="005F40DC" w:rsidRPr="00F951C7" w:rsidRDefault="00590F36" w:rsidP="008E4801">
      <w:pPr>
        <w:pStyle w:val="Heading1"/>
        <w:rPr>
          <w:lang w:val="en-GB"/>
        </w:rPr>
      </w:pPr>
      <w:r w:rsidRPr="00F951C7">
        <w:rPr>
          <w:lang w:val="en-GB"/>
        </w:rPr>
        <w:t xml:space="preserve">3. Methodological </w:t>
      </w:r>
      <w:r w:rsidR="005A04E8" w:rsidRPr="00F951C7">
        <w:rPr>
          <w:lang w:val="en-GB"/>
        </w:rPr>
        <w:t>r</w:t>
      </w:r>
      <w:r w:rsidRPr="00F951C7">
        <w:rPr>
          <w:lang w:val="en-GB"/>
        </w:rPr>
        <w:t>equirements</w:t>
      </w:r>
    </w:p>
    <w:p w14:paraId="25EA0525" w14:textId="52881987" w:rsidR="005F40DC" w:rsidRPr="00F951C7" w:rsidRDefault="00590F36" w:rsidP="008E4801">
      <w:pPr>
        <w:spacing w:before="60" w:after="120"/>
        <w:rPr>
          <w:lang w:val="en-GB"/>
        </w:rPr>
      </w:pPr>
      <w:r w:rsidRPr="00F951C7">
        <w:rPr>
          <w:b/>
          <w:bCs/>
          <w:color w:val="333333"/>
          <w:lang w:val="en-GB"/>
        </w:rPr>
        <w:t>Proposals do not need to present a finalised research protocol.</w:t>
      </w:r>
      <w:r w:rsidRPr="00F951C7">
        <w:rPr>
          <w:color w:val="333333"/>
          <w:lang w:val="en-GB"/>
        </w:rPr>
        <w:t xml:space="preserve"> </w:t>
      </w:r>
      <w:r w:rsidR="004D1898" w:rsidRPr="00F951C7">
        <w:rPr>
          <w:color w:val="333333"/>
          <w:lang w:val="en-GB"/>
        </w:rPr>
        <w:t>Teams from selected proposals will be invited to co-develop a cross-country unique</w:t>
      </w:r>
      <w:r w:rsidRPr="00F951C7">
        <w:rPr>
          <w:color w:val="333333"/>
          <w:lang w:val="en-GB"/>
        </w:rPr>
        <w:t xml:space="preserve"> protocol </w:t>
      </w:r>
      <w:r w:rsidR="004D1898" w:rsidRPr="00F951C7">
        <w:rPr>
          <w:color w:val="333333"/>
          <w:lang w:val="en-GB"/>
        </w:rPr>
        <w:t>during an in-person workshop</w:t>
      </w:r>
      <w:r w:rsidRPr="00F951C7">
        <w:rPr>
          <w:color w:val="333333"/>
          <w:lang w:val="en-GB"/>
        </w:rPr>
        <w:t xml:space="preserve"> (see Section 4). </w:t>
      </w:r>
      <w:r w:rsidR="004D1898" w:rsidRPr="00F951C7">
        <w:rPr>
          <w:color w:val="333333"/>
          <w:lang w:val="en-GB"/>
        </w:rPr>
        <w:t xml:space="preserve">Proposals will need to </w:t>
      </w:r>
      <w:r w:rsidRPr="00F951C7">
        <w:rPr>
          <w:color w:val="333333"/>
          <w:lang w:val="en-GB"/>
        </w:rPr>
        <w:t xml:space="preserve">present a convincing research vision: </w:t>
      </w:r>
      <w:r w:rsidR="00080DAF" w:rsidRPr="00F951C7">
        <w:rPr>
          <w:color w:val="333333"/>
          <w:lang w:val="en-GB"/>
        </w:rPr>
        <w:t>how they plan to approach the work</w:t>
      </w:r>
      <w:r w:rsidR="00265C70" w:rsidRPr="00F951C7">
        <w:rPr>
          <w:color w:val="333333"/>
          <w:lang w:val="en-GB"/>
        </w:rPr>
        <w:t>,</w:t>
      </w:r>
      <w:r w:rsidR="00080DAF" w:rsidRPr="00F951C7">
        <w:rPr>
          <w:color w:val="333333"/>
          <w:lang w:val="en-GB"/>
        </w:rPr>
        <w:t xml:space="preserve"> </w:t>
      </w:r>
      <w:r w:rsidRPr="00F951C7">
        <w:rPr>
          <w:color w:val="333333"/>
          <w:lang w:val="en-GB"/>
        </w:rPr>
        <w:t>why their team is best placed to answer their chosen priority question, and what they will bring to the collective process.</w:t>
      </w:r>
    </w:p>
    <w:p w14:paraId="1DD43409" w14:textId="6E2E2C31" w:rsidR="005F40DC" w:rsidRPr="00F951C7" w:rsidRDefault="00590F36" w:rsidP="008E4801">
      <w:pPr>
        <w:pStyle w:val="Heading2"/>
        <w:pBdr>
          <w:bottom w:val="single" w:sz="2" w:space="4" w:color="CCCCCC"/>
        </w:pBdr>
        <w:spacing w:after="120"/>
        <w:rPr>
          <w:lang w:val="en-GB"/>
        </w:rPr>
      </w:pPr>
      <w:r w:rsidRPr="00F951C7">
        <w:rPr>
          <w:lang w:val="en-GB"/>
        </w:rPr>
        <w:t xml:space="preserve">3.1 Participatory </w:t>
      </w:r>
      <w:r w:rsidR="005A04E8" w:rsidRPr="00F951C7">
        <w:rPr>
          <w:lang w:val="en-GB"/>
        </w:rPr>
        <w:t>r</w:t>
      </w:r>
      <w:r w:rsidRPr="00F951C7">
        <w:rPr>
          <w:lang w:val="en-GB"/>
        </w:rPr>
        <w:t>esearch</w:t>
      </w:r>
    </w:p>
    <w:p w14:paraId="70DCFDB5" w14:textId="432D4E89" w:rsidR="005F40DC" w:rsidRPr="00F951C7" w:rsidRDefault="00590F36" w:rsidP="008E4801">
      <w:pPr>
        <w:spacing w:before="60" w:after="120"/>
        <w:rPr>
          <w:lang w:val="en-GB"/>
        </w:rPr>
      </w:pPr>
      <w:r w:rsidRPr="00F951C7">
        <w:rPr>
          <w:color w:val="333333"/>
          <w:lang w:val="en-GB"/>
        </w:rPr>
        <w:t>Community members from populations affected by climate change and SRHR challenges must be active partners in the research process — not merely subjects of data collection</w:t>
      </w:r>
      <w:r w:rsidR="006130D3" w:rsidRPr="00F951C7">
        <w:rPr>
          <w:color w:val="333333"/>
          <w:lang w:val="en-GB"/>
        </w:rPr>
        <w:t xml:space="preserve"> </w:t>
      </w:r>
      <w:r w:rsidR="006130D3" w:rsidRPr="00F951C7">
        <w:rPr>
          <w:color w:val="333333"/>
          <w:lang w:val="en-GB"/>
        </w:rPr>
        <w:fldChar w:fldCharType="begin"/>
      </w:r>
      <w:r w:rsidR="00D544EF" w:rsidRPr="00F951C7">
        <w:rPr>
          <w:color w:val="333333"/>
          <w:lang w:val="en-GB"/>
        </w:rPr>
        <w:instrText xml:space="preserve"> ADDIN ZOTERO_ITEM CSL_CITATION {"citationID":"lodDxSXK","properties":{"formattedCitation":"[11,12]","plainCitation":"[11,12]","noteIndex":0},"citationItems":[{"id":26887,"uris":["http://zotero.org/users/3106537/items/7BSA7K3C"],"itemData":{"id":26887,"type":"article-journal","abstract":"Community-based research in public health focuses on social, structural, and physical environmental inequities through active involvement of community members, organizational representatives, and researchers in all aspects of the research process. Partners contribute their expertise to enhance understanding of a given phenomenon and to integrate the knowledge gained with action to benefit the community involved. This review provides a synthesis of key principles of community-based research, examines its place within the context of different scientific paradigms, discusses rationales for its use, and explores major challenges and facilitating factors and their implications for conducting effective community-based research aimed at improving the public's health.","container-title":"Annual Review of Public Health","DOI":"10.1146/annurev.publhealth.19.1.173","ISSN":"0163-7525","journalAbbreviation":"Annu Rev Public Health","language":"eng","page":"173-202","PMID":"9611617","source":"PubMed","title":"Review of community-based research: assessing partnership approaches to improve public health","title-short":"Review of community-based research","volume":"19","author":[{"family":"Israel","given":"B. A."},{"family":"Schulz","given":"A. J."},{"family":"Parker","given":"E. A."},{"family":"Becker","given":"A. B."}],"issued":{"date-parts":[["1998"]]}},"label":"page"},{"id":26861,"uris":["http://zotero.org/users/3106537/items/E6AH3TFJ"],"itemData":{"id":26861,"type":"book","edition":"2nd","publisher":"Jossey-Bass","publisher-place":"San Francisco","title":"Community-Based Participatory Research for Health: From Process to Outcomes","editor":[{"family":"Minkler","given":"Meredith"},{"family":"Wallerstein","given":"Nina"}],"issued":{"date-parts":[["2008"]]}},"label":"page"}],"schema":"https://github.com/citation-style-language/schema/raw/master/csl-citation.json"} </w:instrText>
      </w:r>
      <w:r w:rsidR="006130D3" w:rsidRPr="00F951C7">
        <w:rPr>
          <w:color w:val="333333"/>
          <w:lang w:val="en-GB"/>
        </w:rPr>
        <w:fldChar w:fldCharType="separate"/>
      </w:r>
      <w:r w:rsidR="00CF4E07" w:rsidRPr="00F951C7">
        <w:rPr>
          <w:lang w:val="en-GB"/>
        </w:rPr>
        <w:t>[11,12]</w:t>
      </w:r>
      <w:r w:rsidR="006130D3" w:rsidRPr="00F951C7">
        <w:rPr>
          <w:color w:val="333333"/>
          <w:lang w:val="en-GB"/>
        </w:rPr>
        <w:fldChar w:fldCharType="end"/>
      </w:r>
      <w:r w:rsidRPr="00F951C7">
        <w:rPr>
          <w:color w:val="333333"/>
          <w:lang w:val="en-GB"/>
        </w:rPr>
        <w:t>. Meaningful community engagement improves research relevance, uptake and equity impact</w:t>
      </w:r>
      <w:r w:rsidR="006130D3" w:rsidRPr="00F951C7">
        <w:rPr>
          <w:color w:val="333333"/>
          <w:lang w:val="en-GB"/>
        </w:rPr>
        <w:t xml:space="preserve"> </w:t>
      </w:r>
      <w:r w:rsidR="006130D3" w:rsidRPr="00F951C7">
        <w:rPr>
          <w:color w:val="333333"/>
          <w:lang w:val="en-GB"/>
        </w:rPr>
        <w:fldChar w:fldCharType="begin"/>
      </w:r>
      <w:r w:rsidR="00D544EF" w:rsidRPr="00F951C7">
        <w:rPr>
          <w:color w:val="333333"/>
          <w:lang w:val="en-GB"/>
        </w:rPr>
        <w:instrText xml:space="preserve"> ADDIN ZOTERO_ITEM CSL_CITATION {"citationID":"vBzJWWBJ","properties":{"formattedCitation":"[13\\uc0\\u8211{}17]","plainCitation":"[13–17]","noteIndex":0},"citationItems":[{"id":26877,"uris":["http://zotero.org/users/3106537/items/5MTNCEZQ"],"itemData":{"id":26877,"type":"article-journal","abstract":"Community-based participatory research (CBPR) has emerged in the last decades as a transformative research paradigm that bridges the gap between science and practice through community engagement and social action to increase health equity. CBPR expands the potential for the translational sciences to develop, implement, and disseminate effective interventions across diverse communities through strategies to redress power imbalances; facilitate mutual benefit among community and academic partners; and promote reciprocal knowledge translation, incorporating community theories into the research. We identify the barriers and challenges within the intervention and implementation sciences, discuss how CBPR can address these challenges, provide an illustrative research example, and discuss next steps to advance the translational science of CBPR.","container-title":"American Journal of Public Health","DOI":"10.2105/AJPH.2009.184036","ISSN":"1541-0048","issue":"Suppl 1","journalAbbreviation":"Am J Public Health","language":"eng","page":"S40-46","PMID":"20147663","PMCID":"PMC2837458","source":"PubMed","title":"Community-based participatory research contributions to intervention research: the intersection of science and practice to improve health equity","title-short":"Community-based participatory research contributions to intervention research","volume":"100 Suppl 1","author":[{"family":"Wallerstein","given":"Nina"},{"family":"Duran","given":"Bonnie"}],"issued":{"date-parts":[["2010",4,1]]}},"label":"page"},{"id":26885,"uris":["http://zotero.org/users/3106537/items/E37L3JK6"],"itemData":{"id":26885,"type":"article-journal","abstract":"The increasing use of participatory research (PR) approaches to address pressing public health issues reflects PR's potential for bridging gaps between research and practice, addressing social and environmental justice and enabling people to gain control over determinants of their health. Our critical review of the PR literature culminates in the development of an integrative practice framework that features five essential domains and provides a structured process for developing and maintaining PR partnerships, designing and implementing PR efforts, and evaluating the intermediate and long-term outcomes of descriptive, etiological, and intervention PR studies. We review the empirical and nonempirical literature in the context of this practice framework to distill the key challenges and added value of PR. Advances to the practice of PR over the next decade will require establishing the effectiveness of PR in achieving health outcomes and linking PR practices, processes, and core elements to health outcomes.","container-title":"Annual Review of Public Health","DOI":"10.1146/annurev.publhealth.29.091307.083824","ISSN":"0163-7525","journalAbbreviation":"Annu Rev Public Health","language":"eng","page":"325-350","PMID":"18173388","source":"PubMed","title":"The value and challenges of participatory research: strengthening its practice","title-short":"The value and challenges of participatory research","volume":"29","author":[{"family":"Cargo","given":"Margaret"},{"family":"Mercer","given":"Shawna L."}],"issued":{"date-parts":[["2008"]]}},"label":"page"},{"id":26882,"uris":["http://zotero.org/users/3106537/items/Z3L8Z3TF"],"itemData":{"id":26882,"type":"article-journal","abstract":"Photovoice is a process by which people can identify, represent, and enhance their community through a specific photographic technique. As a practice based in the production of knowledge, photovoice has three main goals: (1) to enable people to record and reflect their community's strengths and concerns, (2) to promote critical dialogue and knowledge about important issues through large and small group discussion of photographs, and (3) to reach policymakers. Applying photovoice to public health promotion, the authors describe the methodology and analyze its value for participatory needs assessment. They discuss the development of the photovoice concept, advantages and disadvantages, key elements, participatory analysis, materials and resources, and implications for practice.","container-title":"Health education &amp; behavior","DOI":"10.1177/109019819702400309","ISSN":"1552-6127","issue":"3","journalAbbreviation":"Health Educ Behav","language":"eng","page":"369-387","PMID":"9158980","source":"Europe PMC","title":"Photovoice: concept, methodology, and use for participatory needs assessment","title-short":"Photovoice","volume":"24","author":[{"family":"Wang","given":"C"},{"family":"Burris","given":"M A"}],"issued":{"date-parts":[["1997",6,1]]}},"label":"page"},{"id":26879,"uris":["http://zotero.org/users/3106537/items/6FDB43JY"],"itemData":{"id":26879,"type":"article-journal","abstract":"Objective(1) To introduce photovoice, a participatory action research methodology, for use by MCH program managers to enhance community health assessments and program planning efforts, (2) to enable community people to use the photovoice methodology as a tool to record, reflect, and communicate their family, maternal, and child health assets and concerns, and (3) to educate community leaders about family, maternal, and child health issues from a grassroots perspective.MethodsPhotovoice is based upon the theoretical literature on education for critical consciousness, feminist theory, and community-based approaches to documentary photography. Picture This Photovoice project took place in Contra Costa, an economically and ethnically diverse county in the San Francisco Bay area. Sixty county residents of ages 13-50 participated in 3 sessions during which they received training from the local health department in the techniques and process of photovoice. Residents were provided with disposable cameras and were encouraged to take photographs reflecting their views on family, maternal, and child health assets and concerns in their community, and then participated in group discussions about their photographs. Community events were held to enable participants to educate MCH staff and community leaders.ResultsThe photovoice project provided MCH staff with information to supplement existing quantitative perinatal data and contributed to an understanding of key MCH issues that participating community residents would like to see addressed. Participants' concerns centered on the need for safe places for children's recreation and for improvement in the broader community environment within county neighborhoods. Participants' definitions of family, maternal, and child health assets and concerns differed from those that MCH professionals may typically view as MCH issues (low birth weight, maternal mortality, teen pregnancy prevention), which helped MCH program staff to expand priorities and include residents' foremost concerns.ConclusionsMCH professionals can apply photovoice as an innovative participatory research methodology to engage community members in needs assessment, asset mapping, and program planning, and in reaching policy makers to advocate strategies promoting family, maternal, and child health as informed from a grassroots perspective.","container-title":"Maternal and child health journal","DOI":"10.1023/b:maci.0000025732.32293.4f","ISSN":"1573-6628","issue":"2","journalAbbreviation":"Matern Child Health J","language":"eng","page":"95-102","PMID":"15198177","source":"Europe PMC","title":"Family, maternal, and child health through photovoice","volume":"8","author":[{"family":"Wang","given":"Caroline C"},{"family":"Pies","given":"Cheri A"}],"issued":{"date-parts":[["2004",6,1]]}},"label":"page"},{"id":26881,"uris":["http://zotero.org/users/3106537/items/Z5ZFPVGJ"],"itemData":{"id":26881,"type":"article-journal","DOI":"10.2471/BLT.25.294164","issue":"3","page":"206-208","PMID":"41767986","PMCID":"PMC12947197","publisher":"Bulletin of the World Health Organization","title":"Participatory research and community engagement in climate and health research","volume":"104","author":[{"family":"Palmeiro-Silva","given":"Yasna"},{"family":"Nyamwanza","given":"Admire"},{"family":"Vu","given":"Anh Ngoc"}],"issued":{"date-parts":[["2026"]]}}}],"schema":"https://github.com/citation-style-language/schema/raw/master/csl-citation.json"} </w:instrText>
      </w:r>
      <w:r w:rsidR="006130D3" w:rsidRPr="00F951C7">
        <w:rPr>
          <w:color w:val="333333"/>
          <w:lang w:val="en-GB"/>
        </w:rPr>
        <w:fldChar w:fldCharType="separate"/>
      </w:r>
      <w:r w:rsidR="00D544EF" w:rsidRPr="00F951C7">
        <w:rPr>
          <w:szCs w:val="24"/>
          <w:lang w:val="en-GB"/>
        </w:rPr>
        <w:t>[13–17]</w:t>
      </w:r>
      <w:r w:rsidR="006130D3" w:rsidRPr="00F951C7">
        <w:rPr>
          <w:color w:val="333333"/>
          <w:lang w:val="en-GB"/>
        </w:rPr>
        <w:fldChar w:fldCharType="end"/>
      </w:r>
      <w:r w:rsidRPr="00F951C7">
        <w:rPr>
          <w:color w:val="333333"/>
          <w:lang w:val="en-GB"/>
        </w:rPr>
        <w:t xml:space="preserve">. Proposals must describe how </w:t>
      </w:r>
      <w:r w:rsidRPr="00F951C7">
        <w:rPr>
          <w:color w:val="333333"/>
          <w:lang w:val="en-GB"/>
        </w:rPr>
        <w:lastRenderedPageBreak/>
        <w:t>community participation will be embedded across the research cycle: problem definition</w:t>
      </w:r>
      <w:r w:rsidR="006130D3" w:rsidRPr="00F951C7">
        <w:rPr>
          <w:color w:val="333333"/>
          <w:lang w:val="en-GB"/>
        </w:rPr>
        <w:t>,</w:t>
      </w:r>
      <w:r w:rsidRPr="00F951C7">
        <w:rPr>
          <w:color w:val="333333"/>
          <w:lang w:val="en-GB"/>
        </w:rPr>
        <w:t xml:space="preserve"> research design and tool development</w:t>
      </w:r>
      <w:r w:rsidR="006130D3" w:rsidRPr="00F951C7">
        <w:rPr>
          <w:color w:val="333333"/>
          <w:lang w:val="en-GB"/>
        </w:rPr>
        <w:t>,</w:t>
      </w:r>
      <w:r w:rsidRPr="00F951C7">
        <w:rPr>
          <w:color w:val="333333"/>
          <w:lang w:val="en-GB"/>
        </w:rPr>
        <w:t xml:space="preserve"> data collection</w:t>
      </w:r>
      <w:r w:rsidR="006130D3" w:rsidRPr="00F951C7">
        <w:rPr>
          <w:color w:val="333333"/>
          <w:lang w:val="en-GB"/>
        </w:rPr>
        <w:t>,</w:t>
      </w:r>
      <w:r w:rsidRPr="00F951C7">
        <w:rPr>
          <w:color w:val="333333"/>
          <w:lang w:val="en-GB"/>
        </w:rPr>
        <w:t xml:space="preserve"> data interpretation</w:t>
      </w:r>
      <w:r w:rsidR="006130D3" w:rsidRPr="00F951C7">
        <w:rPr>
          <w:color w:val="333333"/>
          <w:lang w:val="en-GB"/>
        </w:rPr>
        <w:t>,</w:t>
      </w:r>
      <w:r w:rsidRPr="00F951C7">
        <w:rPr>
          <w:color w:val="333333"/>
          <w:lang w:val="en-GB"/>
        </w:rPr>
        <w:t xml:space="preserve"> and dissemination.</w:t>
      </w:r>
    </w:p>
    <w:p w14:paraId="3BC9E49A" w14:textId="676D14AF" w:rsidR="00736697" w:rsidRPr="00F951C7" w:rsidRDefault="00590F36" w:rsidP="008E4801">
      <w:pPr>
        <w:spacing w:before="60" w:after="120"/>
        <w:rPr>
          <w:color w:val="333333"/>
          <w:lang w:val="en-GB"/>
        </w:rPr>
      </w:pPr>
      <w:r w:rsidRPr="00F951C7">
        <w:rPr>
          <w:color w:val="333333"/>
          <w:lang w:val="en-GB"/>
        </w:rPr>
        <w:t xml:space="preserve">Acceptable approaches include Community-Based Participatory Research (CBPR), Participatory Action Research (PAR), Participatory Rural Appraisal (PRA), photovoice and co-design methods. Proposals must </w:t>
      </w:r>
      <w:r w:rsidR="006139BA" w:rsidRPr="00F951C7">
        <w:rPr>
          <w:color w:val="333333"/>
          <w:lang w:val="en-GB"/>
        </w:rPr>
        <w:t xml:space="preserve">briefly </w:t>
      </w:r>
      <w:r w:rsidRPr="00F951C7">
        <w:rPr>
          <w:color w:val="333333"/>
          <w:lang w:val="en-GB"/>
        </w:rPr>
        <w:t xml:space="preserve">describe the </w:t>
      </w:r>
      <w:r w:rsidR="006139BA" w:rsidRPr="00F951C7">
        <w:rPr>
          <w:color w:val="333333"/>
          <w:lang w:val="en-GB"/>
        </w:rPr>
        <w:t xml:space="preserve">anticipated </w:t>
      </w:r>
      <w:r w:rsidRPr="00F951C7">
        <w:rPr>
          <w:color w:val="333333"/>
          <w:lang w:val="en-GB"/>
        </w:rPr>
        <w:t>governance structure for community participation, including how power dynamics will be addressed and how participants’ interests will be protected</w:t>
      </w:r>
      <w:r w:rsidR="00736697" w:rsidRPr="00F951C7">
        <w:rPr>
          <w:color w:val="333333"/>
          <w:lang w:val="en-GB"/>
        </w:rPr>
        <w:t xml:space="preserve"> </w:t>
      </w:r>
      <w:r w:rsidR="00736697" w:rsidRPr="00F951C7">
        <w:rPr>
          <w:color w:val="333333"/>
          <w:lang w:val="en-GB"/>
        </w:rPr>
        <w:fldChar w:fldCharType="begin"/>
      </w:r>
      <w:r w:rsidR="00D544EF" w:rsidRPr="00F951C7">
        <w:rPr>
          <w:color w:val="333333"/>
          <w:lang w:val="en-GB"/>
        </w:rPr>
        <w:instrText xml:space="preserve"> ADDIN ZOTERO_ITEM CSL_CITATION {"citationID":"Wy64xYRa","properties":{"formattedCitation":"[18]","plainCitation":"[18]","noteIndex":0},"citationItems":[{"id":26884,"uris":["http://zotero.org/users/3106537/items/K623LZ5C"],"itemData":{"id":26884,"type":"article-journal","abstract":"Participatory research engages community stakeholders in the research process, from problem identification and developing the research question, to dissemination of results. There is increasing recognition in the field of health research that community-engaged methods can be used throughout the research process. The volume of guidance for engaging communities and conducting participatory research has grown steadily in the past 40+ years, in many countries and contexts. Further, some institutions now require stakeholder engagement in research as a condition of funding. Interest in collaborating in the research process is also growing among patients and the public. This article provides an overview for selecting participatory research methods based on project and partnerships goals.","container-title":"Journal of Participatory Research Methods","DOI":"10.35844/001c.32605","ISSN":"2688-0261","issue":"1","journalAbbreviation":"J Particip Res Methods","language":"eng","PMID":"35799626","PMCID":"PMC9258244","source":"PubMed","title":"A Guide to Selecting Participatory Research Methods Based on Project and Partnership Goals","volume":"3","author":[{"family":"Duea","given":"Stephanie R."},{"family":"Zimmerman","given":"Emily B."},{"family":"Vaughn","given":"Lisa M."},{"family":"Dias","given":"Sónia"},{"family":"Harris","given":"Janet"}],"issued":{"date-parts":[["2022"]]}}}],"schema":"https://github.com/citation-style-language/schema/raw/master/csl-citation.json"} </w:instrText>
      </w:r>
      <w:r w:rsidR="00736697" w:rsidRPr="00F951C7">
        <w:rPr>
          <w:color w:val="333333"/>
          <w:lang w:val="en-GB"/>
        </w:rPr>
        <w:fldChar w:fldCharType="separate"/>
      </w:r>
      <w:r w:rsidR="00D544EF" w:rsidRPr="00F951C7">
        <w:rPr>
          <w:lang w:val="en-GB"/>
        </w:rPr>
        <w:t>[18]</w:t>
      </w:r>
      <w:r w:rsidR="00736697" w:rsidRPr="00F951C7">
        <w:rPr>
          <w:color w:val="333333"/>
          <w:lang w:val="en-GB"/>
        </w:rPr>
        <w:fldChar w:fldCharType="end"/>
      </w:r>
      <w:r w:rsidRPr="00F951C7">
        <w:rPr>
          <w:color w:val="333333"/>
          <w:lang w:val="en-GB"/>
        </w:rPr>
        <w:t xml:space="preserve">. Further guidance on participatory governance frameworks is provided in </w:t>
      </w:r>
      <w:r w:rsidRPr="00F951C7">
        <w:rPr>
          <w:b/>
          <w:bCs/>
          <w:color w:val="333333"/>
          <w:lang w:val="en-GB"/>
        </w:rPr>
        <w:t xml:space="preserve">Appendix </w:t>
      </w:r>
      <w:r w:rsidR="00736697" w:rsidRPr="00F951C7">
        <w:rPr>
          <w:b/>
          <w:bCs/>
          <w:color w:val="333333"/>
          <w:lang w:val="en-GB"/>
        </w:rPr>
        <w:t>1</w:t>
      </w:r>
      <w:r w:rsidRPr="00F951C7">
        <w:rPr>
          <w:color w:val="333333"/>
          <w:lang w:val="en-GB"/>
        </w:rPr>
        <w:t>.</w:t>
      </w:r>
    </w:p>
    <w:p w14:paraId="702124FF" w14:textId="0C5EAC81" w:rsidR="005F40DC" w:rsidRPr="00F951C7" w:rsidRDefault="00590F36" w:rsidP="008E4801">
      <w:pPr>
        <w:pStyle w:val="Heading2"/>
        <w:pBdr>
          <w:bottom w:val="single" w:sz="2" w:space="4" w:color="CCCCCC"/>
        </w:pBdr>
        <w:spacing w:after="120"/>
        <w:rPr>
          <w:lang w:val="en-GB"/>
        </w:rPr>
      </w:pPr>
      <w:r w:rsidRPr="00F951C7">
        <w:rPr>
          <w:lang w:val="en-GB"/>
        </w:rPr>
        <w:t>3.2 Mixed</w:t>
      </w:r>
      <w:r w:rsidR="005A04E8" w:rsidRPr="00F951C7">
        <w:rPr>
          <w:lang w:val="en-GB"/>
        </w:rPr>
        <w:t>-m</w:t>
      </w:r>
      <w:r w:rsidRPr="00F951C7">
        <w:rPr>
          <w:lang w:val="en-GB"/>
        </w:rPr>
        <w:t xml:space="preserve">ethods </w:t>
      </w:r>
      <w:r w:rsidR="005A04E8" w:rsidRPr="00F951C7">
        <w:rPr>
          <w:lang w:val="en-GB"/>
        </w:rPr>
        <w:t>d</w:t>
      </w:r>
      <w:r w:rsidRPr="00F951C7">
        <w:rPr>
          <w:lang w:val="en-GB"/>
        </w:rPr>
        <w:t>esign</w:t>
      </w:r>
    </w:p>
    <w:p w14:paraId="42953A48" w14:textId="27DD16F1" w:rsidR="005F40DC" w:rsidRPr="00F951C7" w:rsidRDefault="00590F36" w:rsidP="008E4801">
      <w:pPr>
        <w:spacing w:before="60" w:after="120"/>
        <w:rPr>
          <w:lang w:val="en-GB"/>
        </w:rPr>
      </w:pPr>
      <w:r w:rsidRPr="00F951C7">
        <w:rPr>
          <w:color w:val="333333"/>
          <w:lang w:val="en-GB"/>
        </w:rPr>
        <w:t>Participatory methods will form the qualitative anchor of the study. Proposals must also include at least one quantitative strand to enable cross-country comparison</w:t>
      </w:r>
      <w:r w:rsidR="00742FEE" w:rsidRPr="00F951C7">
        <w:rPr>
          <w:color w:val="333333"/>
          <w:lang w:val="en-GB"/>
        </w:rPr>
        <w:t>s</w:t>
      </w:r>
      <w:r w:rsidRPr="00F951C7">
        <w:rPr>
          <w:color w:val="333333"/>
          <w:lang w:val="en-GB"/>
        </w:rPr>
        <w:t xml:space="preserve">. Proposals must </w:t>
      </w:r>
      <w:r w:rsidR="002875C4" w:rsidRPr="00F951C7">
        <w:rPr>
          <w:color w:val="333333"/>
          <w:lang w:val="en-GB"/>
        </w:rPr>
        <w:t xml:space="preserve">summarily </w:t>
      </w:r>
      <w:r w:rsidR="007374A4" w:rsidRPr="00F951C7">
        <w:rPr>
          <w:color w:val="333333"/>
          <w:lang w:val="en-GB"/>
        </w:rPr>
        <w:t>mention how they plan</w:t>
      </w:r>
      <w:r w:rsidRPr="00F951C7">
        <w:rPr>
          <w:color w:val="333333"/>
          <w:lang w:val="en-GB"/>
        </w:rPr>
        <w:t xml:space="preserve"> </w:t>
      </w:r>
      <w:r w:rsidR="007374A4" w:rsidRPr="00F951C7">
        <w:rPr>
          <w:color w:val="333333"/>
          <w:lang w:val="en-GB"/>
        </w:rPr>
        <w:t xml:space="preserve">to integrate the </w:t>
      </w:r>
      <w:r w:rsidRPr="00F951C7">
        <w:rPr>
          <w:color w:val="333333"/>
          <w:lang w:val="en-GB"/>
        </w:rPr>
        <w:t xml:space="preserve">qualitative and quantitative strands at the analysis stage, not only at data collection. Guidance on data sources and mixed methods integration options is provided in </w:t>
      </w:r>
      <w:r w:rsidRPr="00F951C7">
        <w:rPr>
          <w:b/>
          <w:bCs/>
          <w:color w:val="333333"/>
          <w:lang w:val="en-GB"/>
        </w:rPr>
        <w:t xml:space="preserve">Appendix </w:t>
      </w:r>
      <w:r w:rsidR="00C049A4" w:rsidRPr="00F951C7">
        <w:rPr>
          <w:b/>
          <w:bCs/>
          <w:color w:val="333333"/>
          <w:lang w:val="en-GB"/>
        </w:rPr>
        <w:t>1</w:t>
      </w:r>
      <w:r w:rsidRPr="00F951C7">
        <w:rPr>
          <w:color w:val="333333"/>
          <w:lang w:val="en-GB"/>
        </w:rPr>
        <w:t>.</w:t>
      </w:r>
    </w:p>
    <w:p w14:paraId="71E9A85B" w14:textId="3A12610F" w:rsidR="005F40DC" w:rsidRPr="00F951C7" w:rsidRDefault="00590F36" w:rsidP="008E4801">
      <w:pPr>
        <w:pStyle w:val="Heading2"/>
        <w:pBdr>
          <w:bottom w:val="single" w:sz="2" w:space="4" w:color="CCCCCC"/>
        </w:pBdr>
        <w:spacing w:after="120"/>
        <w:rPr>
          <w:lang w:val="en-GB"/>
        </w:rPr>
      </w:pPr>
      <w:r w:rsidRPr="00F951C7">
        <w:rPr>
          <w:lang w:val="en-GB"/>
        </w:rPr>
        <w:t xml:space="preserve">3.3 Outcomes of </w:t>
      </w:r>
      <w:r w:rsidR="005A04E8" w:rsidRPr="00F951C7">
        <w:rPr>
          <w:lang w:val="en-GB"/>
        </w:rPr>
        <w:t>i</w:t>
      </w:r>
      <w:r w:rsidRPr="00F951C7">
        <w:rPr>
          <w:lang w:val="en-GB"/>
        </w:rPr>
        <w:t>nterest</w:t>
      </w:r>
    </w:p>
    <w:p w14:paraId="2FE36CFD" w14:textId="0D7C0753" w:rsidR="005F40DC" w:rsidRPr="00F951C7" w:rsidRDefault="00590F36" w:rsidP="00A14688">
      <w:pPr>
        <w:spacing w:before="60" w:after="120"/>
        <w:rPr>
          <w:lang w:val="en-GB"/>
        </w:rPr>
      </w:pPr>
      <w:r w:rsidRPr="00F951C7">
        <w:rPr>
          <w:color w:val="333333"/>
          <w:lang w:val="en-GB"/>
        </w:rPr>
        <w:t>Proposals should consider climate exposures of drought, floods and extreme temperatures most relevant to their setting. The primary outcomes of interest differ by priority question</w:t>
      </w:r>
      <w:r w:rsidR="00736697" w:rsidRPr="00F951C7">
        <w:rPr>
          <w:color w:val="333333"/>
          <w:lang w:val="en-GB"/>
        </w:rPr>
        <w:t>; proposal</w:t>
      </w:r>
      <w:r w:rsidR="008E4801" w:rsidRPr="00F951C7">
        <w:rPr>
          <w:color w:val="333333"/>
          <w:lang w:val="en-GB"/>
        </w:rPr>
        <w:t>s</w:t>
      </w:r>
      <w:r w:rsidR="00736697" w:rsidRPr="00F951C7">
        <w:rPr>
          <w:color w:val="333333"/>
          <w:lang w:val="en-GB"/>
        </w:rPr>
        <w:t xml:space="preserve"> do not need to address each of the proposed outcomes</w:t>
      </w:r>
      <w:r w:rsidRPr="00F951C7">
        <w:rPr>
          <w:color w:val="333333"/>
          <w:lang w:val="en-GB"/>
        </w:rPr>
        <w:t>.</w:t>
      </w:r>
    </w:p>
    <w:p w14:paraId="42D8FCAD" w14:textId="4E9A36DC" w:rsidR="005F40DC" w:rsidRPr="00F951C7" w:rsidRDefault="00590F36" w:rsidP="008E4801">
      <w:pPr>
        <w:pStyle w:val="Heading3"/>
        <w:spacing w:after="120"/>
        <w:rPr>
          <w:lang w:val="en-GB"/>
        </w:rPr>
      </w:pPr>
      <w:r w:rsidRPr="00F951C7">
        <w:rPr>
          <w:lang w:val="en-GB"/>
        </w:rPr>
        <w:t xml:space="preserve">Priority </w:t>
      </w:r>
      <w:r w:rsidR="00736697" w:rsidRPr="00F951C7">
        <w:rPr>
          <w:lang w:val="en-GB"/>
        </w:rPr>
        <w:t>q</w:t>
      </w:r>
      <w:r w:rsidRPr="00F951C7">
        <w:rPr>
          <w:lang w:val="en-GB"/>
        </w:rPr>
        <w:t xml:space="preserve">uestion 1 – Maternal </w:t>
      </w:r>
      <w:r w:rsidR="005A04E8" w:rsidRPr="00F951C7">
        <w:rPr>
          <w:lang w:val="en-GB"/>
        </w:rPr>
        <w:t>h</w:t>
      </w:r>
      <w:r w:rsidRPr="00F951C7">
        <w:rPr>
          <w:lang w:val="en-GB"/>
        </w:rPr>
        <w:t xml:space="preserve">ealth </w:t>
      </w:r>
    </w:p>
    <w:p w14:paraId="19625FBA"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Antenatal care access and quality, including coverage, continuity and health worker availability during and after climate events</w:t>
      </w:r>
    </w:p>
    <w:p w14:paraId="6DFF251B"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Maternal hypertensive disorders in the context of heat exposure</w:t>
      </w:r>
    </w:p>
    <w:p w14:paraId="703F6209"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Quality of intrapartum care and skilled birth attendance during and after climate shocks</w:t>
      </w:r>
    </w:p>
    <w:p w14:paraId="4AA0DC65"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Preterm birth and low birthweight associated with climate exposures</w:t>
      </w:r>
    </w:p>
    <w:p w14:paraId="1986856D" w14:textId="6866310C" w:rsidR="005F40DC" w:rsidRPr="00F951C7" w:rsidRDefault="00590F36" w:rsidP="008E4801">
      <w:pPr>
        <w:pStyle w:val="ListParagraph"/>
        <w:numPr>
          <w:ilvl w:val="0"/>
          <w:numId w:val="3"/>
        </w:numPr>
        <w:spacing w:before="40" w:after="120"/>
        <w:rPr>
          <w:lang w:val="en-GB"/>
        </w:rPr>
      </w:pPr>
      <w:r w:rsidRPr="00F951C7">
        <w:rPr>
          <w:color w:val="333333"/>
          <w:lang w:val="en-GB"/>
        </w:rPr>
        <w:t>Community experiences of barriers and enablers to accessing maternity care</w:t>
      </w:r>
    </w:p>
    <w:p w14:paraId="58B97067" w14:textId="22A15EB4" w:rsidR="005F40DC" w:rsidRPr="00F951C7" w:rsidRDefault="00590F36" w:rsidP="008E4801">
      <w:pPr>
        <w:pStyle w:val="Heading3"/>
        <w:spacing w:after="120"/>
        <w:rPr>
          <w:lang w:val="en-GB"/>
        </w:rPr>
      </w:pPr>
      <w:r w:rsidRPr="00F951C7">
        <w:rPr>
          <w:lang w:val="en-GB"/>
        </w:rPr>
        <w:t xml:space="preserve">Priority </w:t>
      </w:r>
      <w:r w:rsidR="005A04E8" w:rsidRPr="00F951C7">
        <w:rPr>
          <w:lang w:val="en-GB"/>
        </w:rPr>
        <w:t>q</w:t>
      </w:r>
      <w:r w:rsidRPr="00F951C7">
        <w:rPr>
          <w:lang w:val="en-GB"/>
        </w:rPr>
        <w:t>uestion 2 – Gender-</w:t>
      </w:r>
      <w:r w:rsidR="005A04E8" w:rsidRPr="00F951C7">
        <w:rPr>
          <w:lang w:val="en-GB"/>
        </w:rPr>
        <w:t>b</w:t>
      </w:r>
      <w:r w:rsidRPr="00F951C7">
        <w:rPr>
          <w:lang w:val="en-GB"/>
        </w:rPr>
        <w:t xml:space="preserve">ased </w:t>
      </w:r>
      <w:r w:rsidR="005A04E8" w:rsidRPr="00F951C7">
        <w:rPr>
          <w:lang w:val="en-GB"/>
        </w:rPr>
        <w:t>v</w:t>
      </w:r>
      <w:r w:rsidRPr="00F951C7">
        <w:rPr>
          <w:lang w:val="en-GB"/>
        </w:rPr>
        <w:t xml:space="preserve">iolence </w:t>
      </w:r>
    </w:p>
    <w:p w14:paraId="5D19F609"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Incidence and manifestations of gender-based violence during and after climate events</w:t>
      </w:r>
    </w:p>
    <w:p w14:paraId="48009036"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Health system capacity to detect, refer and respond to gender-based violence in climate-affected settings</w:t>
      </w:r>
    </w:p>
    <w:p w14:paraId="58A93265"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Community-based prevention and response mechanisms, including within disaster risk reduction processes</w:t>
      </w:r>
    </w:p>
    <w:p w14:paraId="720E2EB6" w14:textId="37BABDE4" w:rsidR="005F40DC" w:rsidRPr="00F951C7" w:rsidRDefault="00590F36" w:rsidP="008E4801">
      <w:pPr>
        <w:pStyle w:val="ListParagraph"/>
        <w:numPr>
          <w:ilvl w:val="0"/>
          <w:numId w:val="3"/>
        </w:numPr>
        <w:spacing w:before="40" w:after="120"/>
        <w:rPr>
          <w:lang w:val="en-GB"/>
        </w:rPr>
      </w:pPr>
      <w:r w:rsidRPr="00F951C7">
        <w:rPr>
          <w:color w:val="333333"/>
          <w:lang w:val="en-GB"/>
        </w:rPr>
        <w:t xml:space="preserve">Impacts on </w:t>
      </w:r>
      <w:r w:rsidR="00736697" w:rsidRPr="00F951C7">
        <w:rPr>
          <w:color w:val="333333"/>
          <w:lang w:val="en-GB"/>
        </w:rPr>
        <w:t xml:space="preserve">populations in </w:t>
      </w:r>
      <w:r w:rsidRPr="00F951C7">
        <w:rPr>
          <w:color w:val="333333"/>
          <w:lang w:val="en-GB"/>
        </w:rPr>
        <w:t xml:space="preserve">vulnerable </w:t>
      </w:r>
      <w:r w:rsidR="00736697" w:rsidRPr="00F951C7">
        <w:rPr>
          <w:color w:val="333333"/>
          <w:lang w:val="en-GB"/>
        </w:rPr>
        <w:t>situations</w:t>
      </w:r>
      <w:r w:rsidRPr="00F951C7">
        <w:rPr>
          <w:color w:val="333333"/>
          <w:lang w:val="en-GB"/>
        </w:rPr>
        <w:t>, including persons with disabilities</w:t>
      </w:r>
    </w:p>
    <w:p w14:paraId="2522F222" w14:textId="3156F44F" w:rsidR="005F40DC" w:rsidRPr="00F951C7" w:rsidRDefault="00590F36" w:rsidP="008E4801">
      <w:pPr>
        <w:pStyle w:val="Heading3"/>
        <w:spacing w:after="120"/>
        <w:rPr>
          <w:lang w:val="en-GB"/>
        </w:rPr>
      </w:pPr>
      <w:r w:rsidRPr="00F951C7">
        <w:rPr>
          <w:lang w:val="en-GB"/>
        </w:rPr>
        <w:t xml:space="preserve">Priority </w:t>
      </w:r>
      <w:r w:rsidR="005A04E8" w:rsidRPr="00F951C7">
        <w:rPr>
          <w:lang w:val="en-GB"/>
        </w:rPr>
        <w:t>q</w:t>
      </w:r>
      <w:r w:rsidRPr="00F951C7">
        <w:rPr>
          <w:lang w:val="en-GB"/>
        </w:rPr>
        <w:t xml:space="preserve">uestion 3 – Contraception </w:t>
      </w:r>
    </w:p>
    <w:p w14:paraId="48AFB920"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Access to and continuity of contraceptive services and commodities at community level</w:t>
      </w:r>
    </w:p>
    <w:p w14:paraId="185DD200"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Supply chain disruptions affecting contraceptive availability during climate events</w:t>
      </w:r>
    </w:p>
    <w:p w14:paraId="624E0784"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Unmet need and community coping strategies in climate-affected populations</w:t>
      </w:r>
    </w:p>
    <w:p w14:paraId="52151103" w14:textId="125F2637" w:rsidR="005F40DC" w:rsidRPr="00F951C7" w:rsidRDefault="00590F36" w:rsidP="008E4801">
      <w:pPr>
        <w:pStyle w:val="ListParagraph"/>
        <w:numPr>
          <w:ilvl w:val="0"/>
          <w:numId w:val="3"/>
        </w:numPr>
        <w:spacing w:before="40" w:after="120"/>
        <w:rPr>
          <w:lang w:val="en-GB"/>
        </w:rPr>
      </w:pPr>
      <w:r w:rsidRPr="00F951C7">
        <w:rPr>
          <w:color w:val="333333"/>
          <w:lang w:val="en-GB"/>
        </w:rPr>
        <w:t>Quality of contraceptive counselling and provider availability during climate shocks</w:t>
      </w:r>
    </w:p>
    <w:p w14:paraId="0D3A7A28" w14:textId="600A96D2" w:rsidR="005F40DC" w:rsidRPr="00F951C7" w:rsidRDefault="00590F36" w:rsidP="008E4801">
      <w:pPr>
        <w:pStyle w:val="Heading3"/>
        <w:spacing w:after="120"/>
        <w:rPr>
          <w:lang w:val="en-GB"/>
        </w:rPr>
      </w:pPr>
      <w:r w:rsidRPr="00F951C7">
        <w:rPr>
          <w:lang w:val="en-GB"/>
        </w:rPr>
        <w:t xml:space="preserve">Priority </w:t>
      </w:r>
      <w:r w:rsidR="005A04E8" w:rsidRPr="00F951C7">
        <w:rPr>
          <w:lang w:val="en-GB"/>
        </w:rPr>
        <w:t>q</w:t>
      </w:r>
      <w:r w:rsidRPr="00F951C7">
        <w:rPr>
          <w:lang w:val="en-GB"/>
        </w:rPr>
        <w:t xml:space="preserve">uestion 4 – Abortion </w:t>
      </w:r>
      <w:r w:rsidR="005A04E8" w:rsidRPr="00F951C7">
        <w:rPr>
          <w:lang w:val="en-GB"/>
        </w:rPr>
        <w:t>c</w:t>
      </w:r>
      <w:r w:rsidRPr="00F951C7">
        <w:rPr>
          <w:lang w:val="en-GB"/>
        </w:rPr>
        <w:t xml:space="preserve">are </w:t>
      </w:r>
    </w:p>
    <w:p w14:paraId="176D10BF"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Access to safe abortion and post-abortion care in climate-affected settings</w:t>
      </w:r>
    </w:p>
    <w:p w14:paraId="4E283C6A"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Health system disruptions affecting availability of abortion services and commodities</w:t>
      </w:r>
    </w:p>
    <w:p w14:paraId="78A27DDB" w14:textId="3722B08A" w:rsidR="005F40DC" w:rsidRPr="00F951C7" w:rsidRDefault="00590F36" w:rsidP="008E4801">
      <w:pPr>
        <w:pStyle w:val="ListParagraph"/>
        <w:numPr>
          <w:ilvl w:val="0"/>
          <w:numId w:val="3"/>
        </w:numPr>
        <w:spacing w:before="40" w:after="120"/>
        <w:rPr>
          <w:lang w:val="en-GB"/>
        </w:rPr>
      </w:pPr>
      <w:r w:rsidRPr="00F951C7">
        <w:rPr>
          <w:color w:val="333333"/>
          <w:lang w:val="en-GB"/>
        </w:rPr>
        <w:t xml:space="preserve">Community experiences of navigating </w:t>
      </w:r>
      <w:r w:rsidR="00E8715C" w:rsidRPr="00F951C7">
        <w:rPr>
          <w:color w:val="333333"/>
          <w:lang w:val="en-GB"/>
        </w:rPr>
        <w:t xml:space="preserve">access to </w:t>
      </w:r>
      <w:r w:rsidRPr="00F951C7">
        <w:rPr>
          <w:color w:val="333333"/>
          <w:lang w:val="en-GB"/>
        </w:rPr>
        <w:t>abortion care during climate events</w:t>
      </w:r>
    </w:p>
    <w:p w14:paraId="0CC3221D"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Legal and policy barriers exacerbated by climate-related disruptions</w:t>
      </w:r>
    </w:p>
    <w:p w14:paraId="35006710" w14:textId="77777777" w:rsidR="005F40DC" w:rsidRPr="00F951C7" w:rsidRDefault="005F40DC" w:rsidP="008E4801">
      <w:pPr>
        <w:spacing w:after="120"/>
        <w:rPr>
          <w:lang w:val="en-GB"/>
        </w:rPr>
      </w:pPr>
    </w:p>
    <w:p w14:paraId="6B7E90F3" w14:textId="39B22158" w:rsidR="005F40DC" w:rsidRPr="00F951C7" w:rsidRDefault="00590F36" w:rsidP="008E4801">
      <w:pPr>
        <w:pStyle w:val="Heading2"/>
        <w:pBdr>
          <w:bottom w:val="single" w:sz="2" w:space="4" w:color="CCCCCC"/>
        </w:pBdr>
        <w:spacing w:after="120"/>
        <w:rPr>
          <w:lang w:val="en-GB"/>
        </w:rPr>
      </w:pPr>
      <w:r w:rsidRPr="00F951C7">
        <w:rPr>
          <w:lang w:val="en-GB"/>
        </w:rPr>
        <w:lastRenderedPageBreak/>
        <w:t xml:space="preserve">3.4 Human </w:t>
      </w:r>
      <w:r w:rsidR="005A04E8" w:rsidRPr="00F951C7">
        <w:rPr>
          <w:lang w:val="en-GB"/>
        </w:rPr>
        <w:t>r</w:t>
      </w:r>
      <w:r w:rsidRPr="00F951C7">
        <w:rPr>
          <w:lang w:val="en-GB"/>
        </w:rPr>
        <w:t xml:space="preserve">ights and </w:t>
      </w:r>
      <w:r w:rsidR="005A04E8" w:rsidRPr="00F951C7">
        <w:rPr>
          <w:lang w:val="en-GB"/>
        </w:rPr>
        <w:t>i</w:t>
      </w:r>
      <w:r w:rsidRPr="00F951C7">
        <w:rPr>
          <w:lang w:val="en-GB"/>
        </w:rPr>
        <w:t>ntersectionality</w:t>
      </w:r>
    </w:p>
    <w:p w14:paraId="718BA6B2" w14:textId="16C1692B" w:rsidR="005F40DC" w:rsidRPr="00F951C7" w:rsidRDefault="00590F36" w:rsidP="008E4801">
      <w:pPr>
        <w:spacing w:before="60" w:after="120"/>
        <w:rPr>
          <w:color w:val="333333"/>
          <w:lang w:val="en-GB"/>
        </w:rPr>
      </w:pPr>
      <w:r w:rsidRPr="00F951C7">
        <w:rPr>
          <w:color w:val="333333"/>
          <w:lang w:val="en-GB"/>
        </w:rPr>
        <w:t>All proposals must apply a human rights framework, treating SRHR as a matter of rights rather than health outcomes alone</w:t>
      </w:r>
      <w:r w:rsidR="00736697" w:rsidRPr="00F951C7">
        <w:rPr>
          <w:color w:val="333333"/>
          <w:lang w:val="en-GB"/>
        </w:rPr>
        <w:t xml:space="preserve"> </w:t>
      </w:r>
      <w:r w:rsidR="0025119C" w:rsidRPr="00F951C7">
        <w:rPr>
          <w:color w:val="333333"/>
          <w:lang w:val="en-GB"/>
        </w:rPr>
        <w:fldChar w:fldCharType="begin"/>
      </w:r>
      <w:r w:rsidR="00D544EF" w:rsidRPr="00F951C7">
        <w:rPr>
          <w:color w:val="333333"/>
          <w:lang w:val="en-GB"/>
        </w:rPr>
        <w:instrText xml:space="preserve"> ADDIN ZOTERO_ITEM CSL_CITATION {"citationID":"PHgpjayK","properties":{"formattedCitation":"[19,20]","plainCitation":"[19,20]","noteIndex":0},"citationItems":[{"id":26859,"uris":["http://zotero.org/users/3106537/items/AIC8CC5Y"],"itemData":{"id":26859,"type":"article-journal","container-title":"Health and Human Rights","issue":"2","page":"291-304","title":"The state of international human rights law on sexual and reproductive health: an overview","volume":"27","author":[{"family":"Zampas","given":"Christina"},{"family":"Nihlén","given":"Åsa"}],"issued":{"date-parts":[["2025"]]}},"label":"page"},{"id":26860,"uris":["http://zotero.org/users/3106537/items/JBXE2EMH"],"itemData":{"id":26860,"type":"report","publisher":"UNFPA","publisher-place":"New York","title":"Elevating rights and choices for all: guidance note for applying a human rights-based approach to programming","URL":"https://www.unfpa.org/sites/default/files/pub-pdf/2020_HRBA_guidance.pdf","author":[{"family":"UNFPA","given":""}],"issued":{"date-parts":[["2020"]]}},"label":"page"}],"schema":"https://github.com/citation-style-language/schema/raw/master/csl-citation.json"} </w:instrText>
      </w:r>
      <w:r w:rsidR="0025119C" w:rsidRPr="00F951C7">
        <w:rPr>
          <w:color w:val="333333"/>
          <w:lang w:val="en-GB"/>
        </w:rPr>
        <w:fldChar w:fldCharType="separate"/>
      </w:r>
      <w:r w:rsidR="00D544EF" w:rsidRPr="00F951C7">
        <w:rPr>
          <w:lang w:val="en-GB"/>
        </w:rPr>
        <w:t>[19,20]</w:t>
      </w:r>
      <w:r w:rsidR="0025119C" w:rsidRPr="00F951C7">
        <w:rPr>
          <w:color w:val="333333"/>
          <w:lang w:val="en-GB"/>
        </w:rPr>
        <w:fldChar w:fldCharType="end"/>
      </w:r>
      <w:r w:rsidRPr="00F951C7">
        <w:rPr>
          <w:color w:val="333333"/>
          <w:lang w:val="en-GB"/>
        </w:rPr>
        <w:t>. Proposals must also adopt an intersectional approach, examining how gender, age, disability, socioeconomic position, migration status and other social determinants compound vulnerability to both climate change and SRHR harm</w:t>
      </w:r>
      <w:r w:rsidR="00736697" w:rsidRPr="00F951C7">
        <w:rPr>
          <w:color w:val="333333"/>
          <w:lang w:val="en-GB"/>
        </w:rPr>
        <w:t xml:space="preserve"> </w:t>
      </w:r>
      <w:r w:rsidR="00736697" w:rsidRPr="00F951C7">
        <w:rPr>
          <w:color w:val="333333"/>
          <w:lang w:val="en-GB"/>
        </w:rPr>
        <w:fldChar w:fldCharType="begin"/>
      </w:r>
      <w:r w:rsidR="00D544EF" w:rsidRPr="00F951C7">
        <w:rPr>
          <w:color w:val="333333"/>
          <w:lang w:val="en-GB"/>
        </w:rPr>
        <w:instrText xml:space="preserve"> ADDIN ZOTERO_ITEM CSL_CITATION {"citationID":"9FIYwkCM","properties":{"formattedCitation":"[21\\uc0\\u8211{}24]","plainCitation":"[21–24]","noteIndex":0},"citationItems":[{"id":25928,"uris":["http://zotero.org/users/3106537/items/S9S2DAE2"],"itemData":{"id":25928,"type":"article-journal","abstract":"Investigations of the interconnectedness of climate change with human societies require profound analysis of relations among humans and between humans and nature, and the integration of insights from various academic fields. An intersectional approach, developed within critical feminist theory, is advantageous. An intersectional analysis of climate change illuminates how different individuals and groups relate differently to climate change, due to their situatedness in power structures based on context-specific and dynamic social categorisations. Intersectionality sketches out a pathway that stays clear of traps of essentialisation, enabling solidarity and agency across and beyond social categories. It can illustrate how power structures and categorisations may be reinforced, but also challenged and renegotiated, in realities of climate change. We engage with intersectionality as a tool for critical thinking, and provide a set of questions that may serve as sensitisers for intersectional analyses on climate change.","container-title":"Environmental Politics","DOI":"10.1080/09644016.2013.835203","ISSN":"0964-4016","issue":"3","note":"_eprint: https://doi.org/10.1080/09644016.2013.835203","page":"417-433","publisher":"Routledge","source":"Taylor and Francis+NEJM","title":"Climate change through the lens of intersectionality","volume":"23","author":[{"family":"Kaijser","given":"Anna"},{"family":"Kronsell","given":"Annica"}],"issued":{"date-parts":[["2014",5,4]]}},"label":"page"},{"id":25984,"uris":["http://zotero.org/users/3106537/items/DDNJ275U"],"itemData":{"id":25984,"type":"article-journal","abstract":"Intersectionality has emerged as an important framework for understanding and responding to health inequities by making visible the fluid and interconnected structures of power that create them. It promotes an understanding of the dynamic nature of the privileges and disadvantages that permeate health systems and affect health. It considers the interaction of different social stratifiers (e.g. ‘race’/ethnicity, indigeneity, gender, class, sexuality, geography, age, disability/ability, migration status, religion) and the power structures that underpin them at multiple levels. In doing so, it is a departure from previous health inequalities research that looked at these forms of social stratification in isolation from one another or in an additive manner. Despite its potential use and long history in other disciplines, intersectionality is uncommonly used in health systems research in low- and middle-income countries (LMICs). To orient readers to intersectionality theory and research, we first define intersectionality and describe its role in public health, and then we review resources on intersectionality. We found that applications in public health mostly increased after 2009, with only 14 out of 86 articles focused on LMICs. To arrive at 10 best resources, we selected articles based on the proportion of the article that was devoted to intersectionality, the strength of the intersectionality analysis, and its relevance to LMICs. The first four resources explain intersectionality as a methodology. The subsequent six articles apply intersectionality to research in LMIC with quantitative and qualitative analysis. We provide examples from India, Swaziland, Uganda and Mexico. Topics for the studies range from HIV, violence and sexual abuse to immunization and the use of health entitlements. Through these 10 resources, we hope to spark interest and open a needed conversation on the importance and use of intersectional analysis in LMICs as part of understanding people-centred health systems.","container-title":"Health Policy and Planning","DOI":"10.1093/heapol/czw020","ISSN":"0268-1080","issue":"8","journalAbbreviation":"Health Policy and Planning","page":"964-969","source":"Silverchair","title":"10 Best resources on… intersectionality with an emphasis on low- and middle-income countries","volume":"31","author":[{"family":"Larson","given":"Elizabeth"},{"family":"George","given":"Asha"},{"family":"Morgan","given":"Rosemary"},{"family":"Poteat","given":"Tonia"}],"issued":{"date-parts":[["2016",10,1]]}},"label":"page"},{"id":26029,"uris":["http://zotero.org/users/3106537/items/WTELTP9J"],"itemData":{"id":26029,"type":"article-journal","abstract":"This paper scrutinizes the assertion that knowledge gaps concerning health risks from climate change are unjust, and must be addressed, because they hinder evidence-led interventions to protect vulnerable populations. First, we construct a taxonomy of six inter-related forms of invisibility (social marginalization, forced invisibility by migrants, spatial marginalization, neglected diseases, mental health, uneven climatic monitoring and forecasting) which underlie systematic biases in current understanding of these risks in Latin America, and advocate an approach to climate-health research that draws on intersectionality theory to address these inter-relations. We propose that these invisibilities should be understood as outcomes of structural imbalances in power and resources rather than as haphazard blindspots in scientific and state knowledge. Our thesis, drawing on theories of governmentality, is that context-dependent tensions condition whether or not benefits of making vulnerable populations legible to the state outweigh costs. To be seen is to be politically counted and eligible for rights, yet evidence demonstrates the perils of visibility to disempowered people. For example, flood-relief efforts in remote Amazonia expose marginalized urban river-dwellers to the traumatic prospect of forced relocation and social and economic upheaval. Finally, drawing on research on citizenship in post-colonial settings, we conceptualize climate change as an ‘open moment’ of political rupture, and propose strategies of social accountability, empowerment and trans-disciplinary research which encourage the marginalized to reach out for greater power. These achievements could reduce drawbacks of state legibility and facilitate socially-just governmental action on climate change adaptation that promotes health for all.","container-title":"Social Science &amp; Medicine","DOI":"10.1016/j.socscimed.2019.112448","ISSN":"0277-9536","journalAbbreviation":"Social Science &amp; Medicine","page":"112448","source":"ScienceDirect","title":"The (in)visible health risks of climate change","volume":"241","author":[{"family":"Parry","given":"Luke"},{"family":"Radel","given":"Claudia"},{"family":"Adamo","given":"Susana B."},{"family":"Clark","given":"Nigel"},{"family":"Counterman","given":"Miriam"},{"family":"Flores-Yeffal","given":"Nadia"},{"family":"Pons","given":"Diego"},{"family":"Romero-Lankao","given":"Paty"},{"family":"Vargo","given":"Jason"}],"issued":{"date-parts":[["2019",11,1]]}},"label":"page"},{"id":26828,"uris":["http://zotero.org/users/3106537/items/27X8JNNW"],"itemData":{"id":26828,"type":"article-journal","abstract":"Climate justice and reproductive justice are distinct scholarly and activist frameworks that have received significant attention in recent years—particularly with respect to how they might be linked together. In this overview, I survey the main lenses through which various actors have linked climate justice and reproductive justice in the United States. First, I review the literatures: on climate justice, the perspective that those who are least responsible for the conditions causing climate change are disproportionately impacted by it; and on the reproductive justice, which focuses on rejecting reproductive oppression to achieve comprehensive reproductive autonomy for individuals and communities. Next, I analyze frameworks that seek to reframe reproductive justice through a populationist, climate-centered lens. I contrast these framings with new approaches focused on racial health disparities and intergenerational justice. The article ends with questions about the next directions in climate justice and reproductive justice linkages: in particular, the role of eco-anxiety in shaping reproductive futures. In so doing, I argue for approaches that challenge mainstream framings focused on population size and growth, and instead foreground the embodied reproductive outcomes of climate-impacted communities. This article is categorized under: Climate, Nature, and Ethics &gt; Ethics and Climate Change Climate, Nature, and Ethics &gt; Climate Change and Human Rights Vulnerability and Adaptation to Climate Change &gt; Values-Based Approach to Vulnerability and Adaptation","container-title":"WIREs Climate Change","DOI":"10.1002/wcc.860","ISSN":"1757-7799","issue":"1","language":"en","license":"© 2023 The Authors. WIREs Climate Change published by Wiley Periodicals LLC.","note":"_eprint: https://wires.onlinelibrary.wiley.com/doi/pdf/10.1002/wcc.860","page":"e860","source":"Wiley Online Library","title":"At the intersection of climate justice and reproductive justice","volume":"15","author":[{"family":"Sasser","given":"Jade S."}],"issued":{"date-parts":[["2024"]]}},"label":"page"}],"schema":"https://github.com/citation-style-language/schema/raw/master/csl-citation.json"} </w:instrText>
      </w:r>
      <w:r w:rsidR="00736697" w:rsidRPr="00F951C7">
        <w:rPr>
          <w:color w:val="333333"/>
          <w:lang w:val="en-GB"/>
        </w:rPr>
        <w:fldChar w:fldCharType="separate"/>
      </w:r>
      <w:r w:rsidR="00D544EF" w:rsidRPr="00F951C7">
        <w:rPr>
          <w:szCs w:val="24"/>
          <w:lang w:val="en-GB"/>
        </w:rPr>
        <w:t>[21–24]</w:t>
      </w:r>
      <w:r w:rsidR="00736697" w:rsidRPr="00F951C7">
        <w:rPr>
          <w:color w:val="333333"/>
          <w:lang w:val="en-GB"/>
        </w:rPr>
        <w:fldChar w:fldCharType="end"/>
      </w:r>
      <w:r w:rsidRPr="00F951C7">
        <w:rPr>
          <w:color w:val="333333"/>
          <w:lang w:val="en-GB"/>
        </w:rPr>
        <w:t xml:space="preserve">. </w:t>
      </w:r>
    </w:p>
    <w:p w14:paraId="1586F493" w14:textId="34521596" w:rsidR="005F40DC" w:rsidRPr="00F951C7" w:rsidRDefault="00590F36" w:rsidP="008E4801">
      <w:pPr>
        <w:pStyle w:val="Heading2"/>
        <w:pBdr>
          <w:bottom w:val="single" w:sz="2" w:space="4" w:color="CCCCCC"/>
        </w:pBdr>
        <w:spacing w:after="120"/>
        <w:rPr>
          <w:lang w:val="en-GB"/>
        </w:rPr>
      </w:pPr>
      <w:r w:rsidRPr="00F951C7">
        <w:rPr>
          <w:lang w:val="en-GB"/>
        </w:rPr>
        <w:t>3.5 Ethics</w:t>
      </w:r>
    </w:p>
    <w:p w14:paraId="75617341" w14:textId="0C93B5B1" w:rsidR="005F40DC" w:rsidRPr="00F951C7" w:rsidRDefault="00590F36" w:rsidP="008E4801">
      <w:pPr>
        <w:spacing w:before="60" w:after="120"/>
        <w:rPr>
          <w:lang w:val="en-GB"/>
        </w:rPr>
      </w:pPr>
      <w:r w:rsidRPr="00F951C7">
        <w:rPr>
          <w:color w:val="333333"/>
          <w:lang w:val="en-GB"/>
        </w:rPr>
        <w:t>Following the Protocol Development Workshop</w:t>
      </w:r>
      <w:r w:rsidR="00B75846" w:rsidRPr="00F951C7">
        <w:rPr>
          <w:color w:val="333333"/>
          <w:lang w:val="en-GB"/>
        </w:rPr>
        <w:t xml:space="preserve"> (see section 4)</w:t>
      </w:r>
      <w:r w:rsidRPr="00F951C7">
        <w:rPr>
          <w:color w:val="333333"/>
          <w:lang w:val="en-GB"/>
        </w:rPr>
        <w:t xml:space="preserve">, all teams will be required to submit their </w:t>
      </w:r>
      <w:r w:rsidR="00736697" w:rsidRPr="00F951C7">
        <w:rPr>
          <w:color w:val="333333"/>
          <w:lang w:val="en-GB"/>
        </w:rPr>
        <w:t>country specific protocol</w:t>
      </w:r>
      <w:r w:rsidRPr="00F951C7">
        <w:rPr>
          <w:color w:val="333333"/>
          <w:lang w:val="en-GB"/>
        </w:rPr>
        <w:t xml:space="preserve"> for review by the WHO ethics review committee</w:t>
      </w:r>
      <w:r w:rsidR="00736697" w:rsidRPr="00F951C7">
        <w:rPr>
          <w:color w:val="333333"/>
          <w:lang w:val="en-GB"/>
        </w:rPr>
        <w:t xml:space="preserve"> and </w:t>
      </w:r>
      <w:r w:rsidRPr="00F951C7">
        <w:rPr>
          <w:color w:val="333333"/>
          <w:lang w:val="en-GB"/>
        </w:rPr>
        <w:t>the relevant national or institutional ethics committee in their country. Data collection may not begin until all required ethics approvals are in place</w:t>
      </w:r>
      <w:r w:rsidR="00736697" w:rsidRPr="00F951C7">
        <w:rPr>
          <w:color w:val="333333"/>
          <w:lang w:val="en-GB"/>
        </w:rPr>
        <w:t xml:space="preserve"> and funds will only be disbursed once ethics approvals have been obtained</w:t>
      </w:r>
      <w:r w:rsidRPr="00F951C7">
        <w:rPr>
          <w:color w:val="333333"/>
          <w:lang w:val="en-GB"/>
        </w:rPr>
        <w:t>. HRP</w:t>
      </w:r>
      <w:r w:rsidR="00736697" w:rsidRPr="00F951C7">
        <w:rPr>
          <w:color w:val="333333"/>
          <w:lang w:val="en-GB"/>
        </w:rPr>
        <w:t>/</w:t>
      </w:r>
      <w:r w:rsidRPr="00F951C7">
        <w:rPr>
          <w:color w:val="333333"/>
          <w:lang w:val="en-GB"/>
        </w:rPr>
        <w:t>WHO will provide support to teams in navigating the ethics review process.</w:t>
      </w:r>
    </w:p>
    <w:p w14:paraId="368F8C3C" w14:textId="77777777" w:rsidR="005F40DC" w:rsidRPr="00F951C7" w:rsidRDefault="005F40DC" w:rsidP="008E4801">
      <w:pPr>
        <w:spacing w:after="120"/>
        <w:rPr>
          <w:lang w:val="en-GB"/>
        </w:rPr>
      </w:pPr>
    </w:p>
    <w:p w14:paraId="3C03AACC" w14:textId="712DC24B" w:rsidR="005F40DC" w:rsidRPr="00F951C7" w:rsidRDefault="00590F36" w:rsidP="008E4801">
      <w:pPr>
        <w:pStyle w:val="Heading1"/>
        <w:rPr>
          <w:lang w:val="en-GB"/>
        </w:rPr>
      </w:pPr>
      <w:r w:rsidRPr="00F951C7">
        <w:rPr>
          <w:lang w:val="en-GB"/>
        </w:rPr>
        <w:t xml:space="preserve">4. Protocol </w:t>
      </w:r>
      <w:r w:rsidR="005A04E8" w:rsidRPr="00F951C7">
        <w:rPr>
          <w:lang w:val="en-GB"/>
        </w:rPr>
        <w:t>d</w:t>
      </w:r>
      <w:r w:rsidRPr="00F951C7">
        <w:rPr>
          <w:lang w:val="en-GB"/>
        </w:rPr>
        <w:t xml:space="preserve">evelopment </w:t>
      </w:r>
      <w:r w:rsidR="005A04E8" w:rsidRPr="00F951C7">
        <w:rPr>
          <w:lang w:val="en-GB"/>
        </w:rPr>
        <w:t>w</w:t>
      </w:r>
      <w:r w:rsidRPr="00F951C7">
        <w:rPr>
          <w:lang w:val="en-GB"/>
        </w:rPr>
        <w:t>orkshop</w:t>
      </w:r>
    </w:p>
    <w:p w14:paraId="73BC1525" w14:textId="3C71A886" w:rsidR="005F40DC" w:rsidRPr="00F951C7" w:rsidRDefault="00590F36" w:rsidP="008E4801">
      <w:pPr>
        <w:spacing w:before="60" w:after="120"/>
        <w:rPr>
          <w:lang w:val="en-GB"/>
        </w:rPr>
      </w:pPr>
      <w:r w:rsidRPr="00F951C7">
        <w:rPr>
          <w:color w:val="333333"/>
          <w:lang w:val="en-GB"/>
        </w:rPr>
        <w:t xml:space="preserve">The first activity following selection will be a joint Protocol Development Workshop, </w:t>
      </w:r>
      <w:r w:rsidR="00736697" w:rsidRPr="00F951C7">
        <w:rPr>
          <w:color w:val="333333"/>
          <w:lang w:val="en-GB"/>
        </w:rPr>
        <w:t xml:space="preserve">expected to be </w:t>
      </w:r>
      <w:r w:rsidRPr="00F951C7">
        <w:rPr>
          <w:color w:val="333333"/>
          <w:lang w:val="en-GB"/>
        </w:rPr>
        <w:t xml:space="preserve">held </w:t>
      </w:r>
      <w:r w:rsidR="002A416B">
        <w:rPr>
          <w:color w:val="333333"/>
          <w:lang w:val="en-GB"/>
        </w:rPr>
        <w:t xml:space="preserve">over the course of one week </w:t>
      </w:r>
      <w:r w:rsidR="002623C9">
        <w:rPr>
          <w:color w:val="333333"/>
          <w:lang w:val="en-GB"/>
        </w:rPr>
        <w:t xml:space="preserve">in early </w:t>
      </w:r>
      <w:r w:rsidR="00955C48" w:rsidRPr="00F951C7">
        <w:rPr>
          <w:color w:val="333333"/>
          <w:lang w:val="en-GB"/>
        </w:rPr>
        <w:t>July</w:t>
      </w:r>
      <w:r w:rsidRPr="00F951C7">
        <w:rPr>
          <w:color w:val="333333"/>
          <w:lang w:val="en-GB"/>
        </w:rPr>
        <w:t xml:space="preserve"> 2026</w:t>
      </w:r>
      <w:r w:rsidR="002A416B">
        <w:rPr>
          <w:color w:val="333333"/>
          <w:lang w:val="en-GB"/>
        </w:rPr>
        <w:t xml:space="preserve"> </w:t>
      </w:r>
      <w:r w:rsidR="00736697" w:rsidRPr="00F951C7">
        <w:rPr>
          <w:color w:val="333333"/>
          <w:lang w:val="en-GB"/>
        </w:rPr>
        <w:t>in Geneva at WHO headquarters</w:t>
      </w:r>
      <w:r w:rsidRPr="00F951C7">
        <w:rPr>
          <w:color w:val="333333"/>
          <w:lang w:val="en-GB"/>
        </w:rPr>
        <w:t>. This workshop is a</w:t>
      </w:r>
      <w:r w:rsidR="00330E3D" w:rsidRPr="00F951C7">
        <w:rPr>
          <w:color w:val="333333"/>
          <w:lang w:val="en-GB"/>
        </w:rPr>
        <w:t xml:space="preserve"> </w:t>
      </w:r>
      <w:r w:rsidRPr="00F951C7">
        <w:rPr>
          <w:color w:val="333333"/>
          <w:lang w:val="en-GB"/>
        </w:rPr>
        <w:t xml:space="preserve">central element of this initiative. All selected teams will come together </w:t>
      </w:r>
      <w:r w:rsidR="00736697" w:rsidRPr="00F951C7">
        <w:rPr>
          <w:color w:val="333333"/>
          <w:lang w:val="en-GB"/>
        </w:rPr>
        <w:t>t</w:t>
      </w:r>
      <w:r w:rsidRPr="00F951C7">
        <w:rPr>
          <w:color w:val="333333"/>
          <w:lang w:val="en-GB"/>
        </w:rPr>
        <w:t xml:space="preserve">o collectively define a single </w:t>
      </w:r>
      <w:r w:rsidR="00736697" w:rsidRPr="00F951C7">
        <w:rPr>
          <w:color w:val="333333"/>
          <w:lang w:val="en-GB"/>
        </w:rPr>
        <w:t>cross-country</w:t>
      </w:r>
      <w:r w:rsidRPr="00F951C7">
        <w:rPr>
          <w:color w:val="333333"/>
          <w:lang w:val="en-GB"/>
        </w:rPr>
        <w:t xml:space="preserve"> protocol</w:t>
      </w:r>
      <w:r w:rsidR="00736697" w:rsidRPr="00F951C7">
        <w:rPr>
          <w:color w:val="333333"/>
          <w:lang w:val="en-GB"/>
        </w:rPr>
        <w:t>, agreeing on a priority question across all sites</w:t>
      </w:r>
      <w:r w:rsidRPr="00F951C7">
        <w:rPr>
          <w:color w:val="333333"/>
          <w:lang w:val="en-GB"/>
        </w:rPr>
        <w:t>, data collection instruments</w:t>
      </w:r>
      <w:r w:rsidR="00736697" w:rsidRPr="00F951C7">
        <w:rPr>
          <w:color w:val="333333"/>
          <w:lang w:val="en-GB"/>
        </w:rPr>
        <w:t xml:space="preserve"> to be developed</w:t>
      </w:r>
      <w:r w:rsidRPr="00F951C7">
        <w:rPr>
          <w:color w:val="333333"/>
          <w:lang w:val="en-GB"/>
        </w:rPr>
        <w:t xml:space="preserve">, </w:t>
      </w:r>
      <w:r w:rsidR="00736697" w:rsidRPr="00F951C7">
        <w:rPr>
          <w:color w:val="333333"/>
          <w:lang w:val="en-GB"/>
        </w:rPr>
        <w:t xml:space="preserve">the framework for </w:t>
      </w:r>
      <w:r w:rsidRPr="00F951C7">
        <w:rPr>
          <w:color w:val="333333"/>
          <w:lang w:val="en-GB"/>
        </w:rPr>
        <w:t xml:space="preserve">participatory engagement, </w:t>
      </w:r>
      <w:r w:rsidR="00736697" w:rsidRPr="00F951C7">
        <w:rPr>
          <w:color w:val="333333"/>
          <w:lang w:val="en-GB"/>
        </w:rPr>
        <w:t xml:space="preserve">a joint </w:t>
      </w:r>
      <w:r w:rsidRPr="00F951C7">
        <w:rPr>
          <w:color w:val="333333"/>
          <w:lang w:val="en-GB"/>
        </w:rPr>
        <w:t xml:space="preserve">analysis plan and reporting milestones. Each team will also have </w:t>
      </w:r>
      <w:r w:rsidR="00736697" w:rsidRPr="00F951C7">
        <w:rPr>
          <w:color w:val="333333"/>
          <w:lang w:val="en-GB"/>
        </w:rPr>
        <w:t>the opportunity to include</w:t>
      </w:r>
      <w:r w:rsidRPr="00F951C7">
        <w:rPr>
          <w:color w:val="333333"/>
          <w:lang w:val="en-GB"/>
        </w:rPr>
        <w:t xml:space="preserve"> country-specific</w:t>
      </w:r>
      <w:r w:rsidR="00736697" w:rsidRPr="00F951C7">
        <w:rPr>
          <w:color w:val="333333"/>
          <w:lang w:val="en-GB"/>
        </w:rPr>
        <w:t xml:space="preserve"> measures within their country-specific protocols to</w:t>
      </w:r>
      <w:r w:rsidRPr="00F951C7">
        <w:rPr>
          <w:color w:val="333333"/>
          <w:lang w:val="en-GB"/>
        </w:rPr>
        <w:t xml:space="preserve"> address</w:t>
      </w:r>
      <w:r w:rsidR="00736697" w:rsidRPr="00F951C7">
        <w:rPr>
          <w:color w:val="333333"/>
          <w:lang w:val="en-GB"/>
        </w:rPr>
        <w:t xml:space="preserve"> </w:t>
      </w:r>
      <w:r w:rsidRPr="00F951C7">
        <w:rPr>
          <w:color w:val="333333"/>
          <w:lang w:val="en-GB"/>
        </w:rPr>
        <w:t>aspects of their priority question that are particularly relevant to their local context.</w:t>
      </w:r>
    </w:p>
    <w:p w14:paraId="11841FC2" w14:textId="4DF954E3" w:rsidR="005F40DC" w:rsidRPr="00F951C7" w:rsidRDefault="00590F36" w:rsidP="008E4801">
      <w:pPr>
        <w:spacing w:before="60" w:after="120"/>
        <w:rPr>
          <w:lang w:val="en-GB"/>
        </w:rPr>
      </w:pPr>
      <w:r w:rsidRPr="00F951C7">
        <w:rPr>
          <w:color w:val="333333"/>
          <w:lang w:val="en-GB"/>
        </w:rPr>
        <w:t xml:space="preserve">Applicants should understand that the proposal they submit </w:t>
      </w:r>
      <w:r w:rsidR="00736697" w:rsidRPr="00F951C7">
        <w:rPr>
          <w:color w:val="333333"/>
          <w:lang w:val="en-GB"/>
        </w:rPr>
        <w:t>with this call is</w:t>
      </w:r>
      <w:r w:rsidRPr="00F951C7">
        <w:rPr>
          <w:color w:val="333333"/>
          <w:lang w:val="en-GB"/>
        </w:rPr>
        <w:t xml:space="preserve"> not a finalised research protocol. Proposals should demonstrate (a) </w:t>
      </w:r>
      <w:r w:rsidR="00407374" w:rsidRPr="00F951C7">
        <w:rPr>
          <w:color w:val="333333"/>
          <w:lang w:val="en-GB"/>
        </w:rPr>
        <w:t xml:space="preserve">a clear research vision and sense of approach </w:t>
      </w:r>
      <w:r w:rsidRPr="00F951C7">
        <w:rPr>
          <w:color w:val="333333"/>
          <w:lang w:val="en-GB"/>
        </w:rPr>
        <w:t xml:space="preserve">(b) </w:t>
      </w:r>
      <w:r w:rsidR="00407374" w:rsidRPr="00F951C7">
        <w:rPr>
          <w:color w:val="333333"/>
          <w:lang w:val="en-GB"/>
        </w:rPr>
        <w:t>why the team is best placed to answer the selected priority question in their country contex</w:t>
      </w:r>
      <w:r w:rsidR="00F3797D" w:rsidRPr="00F951C7">
        <w:rPr>
          <w:color w:val="333333"/>
          <w:lang w:val="en-GB"/>
        </w:rPr>
        <w:t>t</w:t>
      </w:r>
      <w:r w:rsidR="00736697" w:rsidRPr="00F951C7">
        <w:rPr>
          <w:color w:val="333333"/>
          <w:lang w:val="en-GB"/>
        </w:rPr>
        <w:t>,</w:t>
      </w:r>
      <w:r w:rsidRPr="00F951C7">
        <w:rPr>
          <w:color w:val="333333"/>
          <w:lang w:val="en-GB"/>
        </w:rPr>
        <w:t xml:space="preserve"> and (c)</w:t>
      </w:r>
      <w:r w:rsidR="00F3797D" w:rsidRPr="00F951C7">
        <w:rPr>
          <w:color w:val="333333"/>
          <w:lang w:val="en-GB"/>
        </w:rPr>
        <w:t xml:space="preserve"> the participatory experience and community partnerships they would bring</w:t>
      </w:r>
      <w:r w:rsidRPr="00F951C7">
        <w:rPr>
          <w:color w:val="333333"/>
          <w:lang w:val="en-GB"/>
        </w:rPr>
        <w:t>. Detailed methodological choices will be made collectively at the workshop.</w:t>
      </w:r>
    </w:p>
    <w:p w14:paraId="14C31DEF" w14:textId="67C6193E" w:rsidR="005F40DC" w:rsidRPr="00F951C7" w:rsidRDefault="00590F36" w:rsidP="008E4801">
      <w:pPr>
        <w:spacing w:before="60" w:after="120"/>
        <w:rPr>
          <w:lang w:val="en-GB"/>
        </w:rPr>
      </w:pPr>
      <w:r w:rsidRPr="00F951C7">
        <w:rPr>
          <w:color w:val="333333"/>
          <w:lang w:val="en-GB"/>
        </w:rPr>
        <w:t xml:space="preserve">Participation in the workshop is </w:t>
      </w:r>
      <w:r w:rsidR="004309B3" w:rsidRPr="00F951C7">
        <w:rPr>
          <w:color w:val="333333"/>
          <w:lang w:val="en-GB"/>
        </w:rPr>
        <w:t>a key aspect to the co-design and co-development process</w:t>
      </w:r>
      <w:r w:rsidRPr="00F951C7">
        <w:rPr>
          <w:color w:val="333333"/>
          <w:lang w:val="en-GB"/>
        </w:rPr>
        <w:t xml:space="preserve">. WHO/HRP will cover economy-class travel and accommodation costs for </w:t>
      </w:r>
      <w:r w:rsidR="004309B3" w:rsidRPr="00F951C7">
        <w:rPr>
          <w:color w:val="333333"/>
          <w:lang w:val="en-GB"/>
        </w:rPr>
        <w:t xml:space="preserve">up to </w:t>
      </w:r>
      <w:r w:rsidRPr="00F951C7">
        <w:rPr>
          <w:color w:val="333333"/>
          <w:lang w:val="en-GB"/>
        </w:rPr>
        <w:t>two members per selected team.</w:t>
      </w:r>
    </w:p>
    <w:p w14:paraId="1C60261B" w14:textId="77777777" w:rsidR="005F40DC" w:rsidRPr="00F951C7" w:rsidRDefault="005F40DC" w:rsidP="008E4801">
      <w:pPr>
        <w:spacing w:after="120"/>
        <w:rPr>
          <w:lang w:val="en-GB"/>
        </w:rPr>
      </w:pPr>
    </w:p>
    <w:p w14:paraId="2FA289D7" w14:textId="6EFC2A21" w:rsidR="005F40DC" w:rsidRPr="00F951C7" w:rsidRDefault="00590F36" w:rsidP="008E4801">
      <w:pPr>
        <w:pStyle w:val="Heading1"/>
        <w:rPr>
          <w:lang w:val="en-GB"/>
        </w:rPr>
      </w:pPr>
      <w:r w:rsidRPr="00F951C7">
        <w:rPr>
          <w:lang w:val="en-GB"/>
        </w:rPr>
        <w:t xml:space="preserve">5. Eligibility </w:t>
      </w:r>
      <w:r w:rsidR="005A04E8" w:rsidRPr="00F951C7">
        <w:rPr>
          <w:lang w:val="en-GB"/>
        </w:rPr>
        <w:t>c</w:t>
      </w:r>
      <w:r w:rsidRPr="00F951C7">
        <w:rPr>
          <w:lang w:val="en-GB"/>
        </w:rPr>
        <w:t>riteria</w:t>
      </w:r>
    </w:p>
    <w:p w14:paraId="098EC125" w14:textId="0EFDD8B0" w:rsidR="005F40DC" w:rsidRPr="00F951C7" w:rsidRDefault="00590F36" w:rsidP="008E4801">
      <w:pPr>
        <w:pStyle w:val="Heading2"/>
        <w:pBdr>
          <w:bottom w:val="single" w:sz="2" w:space="4" w:color="CCCCCC"/>
        </w:pBdr>
        <w:spacing w:after="120"/>
        <w:rPr>
          <w:lang w:val="en-GB"/>
        </w:rPr>
      </w:pPr>
      <w:r w:rsidRPr="00F951C7">
        <w:rPr>
          <w:lang w:val="en-GB"/>
        </w:rPr>
        <w:t xml:space="preserve">5.1 Who </w:t>
      </w:r>
      <w:r w:rsidR="005A04E8" w:rsidRPr="00F951C7">
        <w:rPr>
          <w:lang w:val="en-GB"/>
        </w:rPr>
        <w:t>m</w:t>
      </w:r>
      <w:r w:rsidRPr="00F951C7">
        <w:rPr>
          <w:lang w:val="en-GB"/>
        </w:rPr>
        <w:t xml:space="preserve">ay </w:t>
      </w:r>
      <w:r w:rsidR="005A04E8" w:rsidRPr="00F951C7">
        <w:rPr>
          <w:lang w:val="en-GB"/>
        </w:rPr>
        <w:t>a</w:t>
      </w:r>
      <w:r w:rsidRPr="00F951C7">
        <w:rPr>
          <w:lang w:val="en-GB"/>
        </w:rPr>
        <w:t>pply</w:t>
      </w:r>
    </w:p>
    <w:p w14:paraId="44945938" w14:textId="46F4C4C7" w:rsidR="005F40DC" w:rsidRPr="00F951C7" w:rsidRDefault="00590F36" w:rsidP="008E4801">
      <w:pPr>
        <w:spacing w:before="60" w:after="120"/>
        <w:rPr>
          <w:lang w:val="en-GB"/>
        </w:rPr>
      </w:pPr>
      <w:r w:rsidRPr="00F951C7">
        <w:rPr>
          <w:color w:val="333333"/>
          <w:lang w:val="en-GB"/>
        </w:rPr>
        <w:t xml:space="preserve">This call is open to research teams based in institutions or organisations in </w:t>
      </w:r>
      <w:r w:rsidR="00D84226" w:rsidRPr="00F951C7">
        <w:rPr>
          <w:color w:val="333333"/>
          <w:lang w:val="en-GB"/>
        </w:rPr>
        <w:t>low- or middle-income countr</w:t>
      </w:r>
      <w:r w:rsidR="001773FA" w:rsidRPr="00F951C7">
        <w:rPr>
          <w:color w:val="333333"/>
          <w:lang w:val="en-GB"/>
        </w:rPr>
        <w:t>ies</w:t>
      </w:r>
      <w:r w:rsidR="00BC1979" w:rsidRPr="00F951C7">
        <w:rPr>
          <w:color w:val="333333"/>
          <w:lang w:val="en-GB"/>
        </w:rPr>
        <w:t>,</w:t>
      </w:r>
      <w:r w:rsidR="001773FA" w:rsidRPr="00F951C7">
        <w:rPr>
          <w:rStyle w:val="FootnoteReference"/>
          <w:color w:val="333333"/>
          <w:lang w:val="en-GB"/>
        </w:rPr>
        <w:footnoteReference w:id="2"/>
      </w:r>
      <w:r w:rsidR="00D84226" w:rsidRPr="00F951C7">
        <w:rPr>
          <w:color w:val="333333"/>
          <w:lang w:val="en-GB"/>
        </w:rPr>
        <w:t xml:space="preserve"> with a focus on </w:t>
      </w:r>
      <w:r w:rsidR="00845733" w:rsidRPr="00F951C7">
        <w:rPr>
          <w:color w:val="333333"/>
          <w:lang w:val="en-GB"/>
        </w:rPr>
        <w:t>any</w:t>
      </w:r>
      <w:r w:rsidRPr="00F951C7">
        <w:rPr>
          <w:color w:val="333333"/>
          <w:lang w:val="en-GB"/>
        </w:rPr>
        <w:t xml:space="preserve"> of the </w:t>
      </w:r>
      <w:r w:rsidR="00845733" w:rsidRPr="00F951C7">
        <w:rPr>
          <w:color w:val="333333"/>
          <w:lang w:val="en-GB"/>
        </w:rPr>
        <w:t>priority</w:t>
      </w:r>
      <w:r w:rsidRPr="00F951C7">
        <w:rPr>
          <w:color w:val="333333"/>
          <w:lang w:val="en-GB"/>
        </w:rPr>
        <w:t xml:space="preserve"> countries listed in </w:t>
      </w:r>
      <w:r w:rsidRPr="00F951C7">
        <w:rPr>
          <w:b/>
          <w:bCs/>
          <w:color w:val="333333"/>
          <w:lang w:val="en-GB"/>
        </w:rPr>
        <w:t xml:space="preserve">Appendix </w:t>
      </w:r>
      <w:r w:rsidR="00C049A4" w:rsidRPr="00F951C7">
        <w:rPr>
          <w:b/>
          <w:bCs/>
          <w:color w:val="333333"/>
          <w:lang w:val="en-GB"/>
        </w:rPr>
        <w:t>2</w:t>
      </w:r>
      <w:r w:rsidRPr="00F951C7">
        <w:rPr>
          <w:color w:val="333333"/>
          <w:lang w:val="en-GB"/>
        </w:rPr>
        <w:t>. Eligible applicants include:</w:t>
      </w:r>
    </w:p>
    <w:p w14:paraId="0A2F9CB4"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Community organisations and civil society organisations with demonstrated experience in community-engaged or participatory research</w:t>
      </w:r>
    </w:p>
    <w:p w14:paraId="5F9B5352"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Non-governmental organisations (NGOs) with an active research or evidence-generation function</w:t>
      </w:r>
    </w:p>
    <w:p w14:paraId="64D857E3"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Academic and research institutions (universities, research centres, public health institutes)</w:t>
      </w:r>
    </w:p>
    <w:p w14:paraId="5AB09D45"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Multi-institutional consortia combining the above, provided the lead institution and Principal Investigator are based in an eligible country</w:t>
      </w:r>
    </w:p>
    <w:p w14:paraId="1F2AECA3" w14:textId="77777777" w:rsidR="005F40DC" w:rsidRPr="00F951C7" w:rsidRDefault="00590F36" w:rsidP="008E4801">
      <w:pPr>
        <w:spacing w:before="60" w:after="120"/>
        <w:rPr>
          <w:lang w:val="en-GB"/>
        </w:rPr>
      </w:pPr>
      <w:r w:rsidRPr="00F951C7">
        <w:rPr>
          <w:color w:val="333333"/>
          <w:lang w:val="en-GB"/>
        </w:rPr>
        <w:t>Collaboration with institutions based outside the eligible country is permitted and encouraged, particularly where it supports research capacity strengthening. However, the Principal Investigator and the core research team must be based in-country. International partners may not serve as the lead applicant or hold the primary subcontract. No more than 15% of the total grant may be allocated to institutions or individuals based in high-income countries.</w:t>
      </w:r>
    </w:p>
    <w:p w14:paraId="4CC4EB73" w14:textId="1E0EEED7" w:rsidR="005F40DC" w:rsidRPr="00F951C7" w:rsidRDefault="00590F36" w:rsidP="008E4801">
      <w:pPr>
        <w:pStyle w:val="Heading2"/>
        <w:pBdr>
          <w:bottom w:val="single" w:sz="2" w:space="4" w:color="CCCCCC"/>
        </w:pBdr>
        <w:spacing w:after="120"/>
        <w:rPr>
          <w:lang w:val="en-GB"/>
        </w:rPr>
      </w:pPr>
      <w:r w:rsidRPr="00F951C7">
        <w:rPr>
          <w:lang w:val="en-GB"/>
        </w:rPr>
        <w:lastRenderedPageBreak/>
        <w:t xml:space="preserve">5.2 Team </w:t>
      </w:r>
      <w:r w:rsidR="005A04E8" w:rsidRPr="00F951C7">
        <w:rPr>
          <w:lang w:val="en-GB"/>
        </w:rPr>
        <w:t>c</w:t>
      </w:r>
      <w:r w:rsidRPr="00F951C7">
        <w:rPr>
          <w:lang w:val="en-GB"/>
        </w:rPr>
        <w:t>omposition</w:t>
      </w:r>
    </w:p>
    <w:p w14:paraId="39898A7F" w14:textId="77777777" w:rsidR="005F40DC" w:rsidRPr="00F951C7" w:rsidRDefault="00590F36" w:rsidP="008E4801">
      <w:pPr>
        <w:spacing w:before="60" w:after="120"/>
        <w:rPr>
          <w:lang w:val="en-GB"/>
        </w:rPr>
      </w:pPr>
      <w:r w:rsidRPr="00F951C7">
        <w:rPr>
          <w:color w:val="333333"/>
          <w:lang w:val="en-GB"/>
        </w:rPr>
        <w:t>Eligible teams will:</w:t>
      </w:r>
    </w:p>
    <w:p w14:paraId="6C92FD4E" w14:textId="16CA8036" w:rsidR="005F40DC" w:rsidRPr="00F951C7" w:rsidRDefault="00590F36" w:rsidP="008E4801">
      <w:pPr>
        <w:pStyle w:val="ListParagraph"/>
        <w:numPr>
          <w:ilvl w:val="0"/>
          <w:numId w:val="3"/>
        </w:numPr>
        <w:spacing w:before="40" w:after="120"/>
        <w:rPr>
          <w:lang w:val="en-GB"/>
        </w:rPr>
      </w:pPr>
      <w:r w:rsidRPr="00F951C7">
        <w:rPr>
          <w:color w:val="333333"/>
          <w:lang w:val="en-GB"/>
        </w:rPr>
        <w:t xml:space="preserve">Have experience conducting research with communities affected by </w:t>
      </w:r>
      <w:r w:rsidR="000F7A52" w:rsidRPr="00F951C7">
        <w:rPr>
          <w:color w:val="333333"/>
          <w:lang w:val="en-GB"/>
        </w:rPr>
        <w:t xml:space="preserve">climate and </w:t>
      </w:r>
      <w:r w:rsidRPr="00F951C7">
        <w:rPr>
          <w:color w:val="333333"/>
          <w:lang w:val="en-GB"/>
        </w:rPr>
        <w:t>health challenges</w:t>
      </w:r>
      <w:r w:rsidR="009C6DA9" w:rsidRPr="00F951C7">
        <w:rPr>
          <w:color w:val="333333"/>
          <w:lang w:val="en-GB"/>
        </w:rPr>
        <w:t xml:space="preserve"> and/or with sexual and reproductive health and rights research</w:t>
      </w:r>
    </w:p>
    <w:p w14:paraId="5E0C8B00" w14:textId="45898684" w:rsidR="005F40DC" w:rsidRPr="00F951C7" w:rsidRDefault="00590F36" w:rsidP="009C6DA9">
      <w:pPr>
        <w:pStyle w:val="ListParagraph"/>
        <w:numPr>
          <w:ilvl w:val="0"/>
          <w:numId w:val="3"/>
        </w:numPr>
        <w:spacing w:before="40" w:after="120"/>
        <w:rPr>
          <w:lang w:val="en-GB"/>
        </w:rPr>
      </w:pPr>
      <w:r w:rsidRPr="00F951C7">
        <w:rPr>
          <w:color w:val="333333"/>
          <w:lang w:val="en-GB"/>
        </w:rPr>
        <w:t>Have experience with mixed methods research design</w:t>
      </w:r>
      <w:r w:rsidR="009C6DA9" w:rsidRPr="00F951C7">
        <w:rPr>
          <w:color w:val="333333"/>
          <w:lang w:val="en-GB"/>
        </w:rPr>
        <w:t>, including experience with participatory methods</w:t>
      </w:r>
    </w:p>
    <w:p w14:paraId="223D6DF9"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Include at least one researcher with formal training or demonstrated expertise in qualitative and/or participatory methods</w:t>
      </w:r>
    </w:p>
    <w:p w14:paraId="778FADD9" w14:textId="77777777" w:rsidR="005F40DC" w:rsidRPr="00F951C7" w:rsidRDefault="005F40DC" w:rsidP="008E4801">
      <w:pPr>
        <w:spacing w:after="120"/>
        <w:rPr>
          <w:lang w:val="en-GB"/>
        </w:rPr>
      </w:pPr>
    </w:p>
    <w:p w14:paraId="5E0D48FA" w14:textId="77777777" w:rsidR="005F40DC" w:rsidRPr="00F951C7" w:rsidRDefault="00590F36" w:rsidP="008E4801">
      <w:pPr>
        <w:spacing w:before="60" w:after="120"/>
        <w:rPr>
          <w:lang w:val="en-GB"/>
        </w:rPr>
      </w:pPr>
      <w:r w:rsidRPr="00F951C7">
        <w:rPr>
          <w:color w:val="333333"/>
          <w:lang w:val="en-GB"/>
        </w:rPr>
        <w:t>Teams are strongly encouraged to include:</w:t>
      </w:r>
    </w:p>
    <w:p w14:paraId="3EB59548"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Early career researchers (within 5–7 years of completing a doctoral degree or equivalent)</w:t>
      </w:r>
    </w:p>
    <w:p w14:paraId="572CCBAA"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Researchers who are women in leadership positions</w:t>
      </w:r>
    </w:p>
    <w:p w14:paraId="6C8E10CC"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Researchers from disciplines beyond health, including social sciences, environmental sciences and community development</w:t>
      </w:r>
    </w:p>
    <w:p w14:paraId="21274C5C" w14:textId="5B62CDA5" w:rsidR="005F40DC" w:rsidRPr="00F951C7" w:rsidRDefault="00590F36" w:rsidP="008E4801">
      <w:pPr>
        <w:pStyle w:val="Heading2"/>
        <w:pBdr>
          <w:bottom w:val="single" w:sz="2" w:space="4" w:color="CCCCCC"/>
        </w:pBdr>
        <w:spacing w:after="120"/>
        <w:rPr>
          <w:lang w:val="en-GB"/>
        </w:rPr>
      </w:pPr>
      <w:r w:rsidRPr="00F951C7">
        <w:rPr>
          <w:lang w:val="en-GB"/>
        </w:rPr>
        <w:t xml:space="preserve">5.3 Conflict of </w:t>
      </w:r>
      <w:r w:rsidR="005A04E8" w:rsidRPr="00F951C7">
        <w:rPr>
          <w:lang w:val="en-GB"/>
        </w:rPr>
        <w:t>i</w:t>
      </w:r>
      <w:r w:rsidRPr="00F951C7">
        <w:rPr>
          <w:lang w:val="en-GB"/>
        </w:rPr>
        <w:t>nterest</w:t>
      </w:r>
    </w:p>
    <w:p w14:paraId="7BA92EA0" w14:textId="585B93DF" w:rsidR="005F40DC" w:rsidRPr="00F951C7" w:rsidRDefault="00590F36" w:rsidP="008E4801">
      <w:pPr>
        <w:spacing w:before="60" w:after="120"/>
        <w:rPr>
          <w:lang w:val="en-GB"/>
        </w:rPr>
      </w:pPr>
      <w:r w:rsidRPr="00F951C7">
        <w:rPr>
          <w:color w:val="333333"/>
          <w:lang w:val="en-GB"/>
        </w:rPr>
        <w:t xml:space="preserve">All applicants are required to declare any actual, potential, or perceived conflicts of interest at the time of submission. A conflict of interest includes any financial, professional, or personal relationship that could compromise — or be perceived to compromise — the independence or objectivity of the proposed research. This </w:t>
      </w:r>
      <w:r w:rsidR="00742551" w:rsidRPr="00F951C7">
        <w:rPr>
          <w:color w:val="333333"/>
          <w:lang w:val="en-GB"/>
        </w:rPr>
        <w:t>includes but</w:t>
      </w:r>
      <w:r w:rsidRPr="00F951C7">
        <w:rPr>
          <w:color w:val="333333"/>
          <w:lang w:val="en-GB"/>
        </w:rPr>
        <w:t xml:space="preserve"> is not limited </w:t>
      </w:r>
      <w:r w:rsidR="00742551" w:rsidRPr="00F951C7">
        <w:rPr>
          <w:color w:val="333333"/>
          <w:lang w:val="en-GB"/>
        </w:rPr>
        <w:t>to</w:t>
      </w:r>
      <w:r w:rsidRPr="00F951C7">
        <w:rPr>
          <w:color w:val="333333"/>
          <w:lang w:val="en-GB"/>
        </w:rPr>
        <w:t xml:space="preserve"> current or recent employment, consultancy, or funding relationships with WHO or HRP; personal relationships with members of the review panel; or a direct financial interest in the outcomes of the proposed research.</w:t>
      </w:r>
    </w:p>
    <w:p w14:paraId="246E9BB9" w14:textId="421EDC89" w:rsidR="005F40DC" w:rsidRPr="00F951C7" w:rsidRDefault="00590F36" w:rsidP="008E4801">
      <w:pPr>
        <w:spacing w:before="60" w:after="120"/>
        <w:rPr>
          <w:color w:val="333333"/>
          <w:lang w:val="en-GB"/>
        </w:rPr>
      </w:pPr>
      <w:r w:rsidRPr="00F951C7">
        <w:rPr>
          <w:color w:val="333333"/>
          <w:lang w:val="en-GB"/>
        </w:rPr>
        <w:t xml:space="preserve">A conflict of interest declaration form </w:t>
      </w:r>
      <w:r w:rsidR="00E8227F" w:rsidRPr="00F951C7">
        <w:rPr>
          <w:color w:val="333333"/>
          <w:lang w:val="en-GB"/>
        </w:rPr>
        <w:t>can be found on the HRP website where this call was posted</w:t>
      </w:r>
      <w:r w:rsidRPr="00F951C7">
        <w:rPr>
          <w:color w:val="333333"/>
          <w:lang w:val="en-GB"/>
        </w:rPr>
        <w:t xml:space="preserve">. Disclosure of a conflict of interest does not </w:t>
      </w:r>
      <w:r w:rsidR="00F95829" w:rsidRPr="00F951C7">
        <w:rPr>
          <w:color w:val="333333"/>
          <w:lang w:val="en-GB"/>
        </w:rPr>
        <w:t xml:space="preserve">necessarily </w:t>
      </w:r>
      <w:r w:rsidRPr="00F951C7">
        <w:rPr>
          <w:color w:val="333333"/>
          <w:lang w:val="en-GB"/>
        </w:rPr>
        <w:t>disqualify a proposal; declarations will be assessed by WHO/HRP to determine whether any declared interest is manageable and whether safeguards are required. Failure to disclose a relevant conflict of interest may result in disqualification.</w:t>
      </w:r>
    </w:p>
    <w:p w14:paraId="57C98935" w14:textId="77777777" w:rsidR="00BB64DB" w:rsidRPr="00F951C7" w:rsidRDefault="00BB64DB" w:rsidP="008E4801">
      <w:pPr>
        <w:spacing w:before="60" w:after="120"/>
        <w:rPr>
          <w:lang w:val="en-GB"/>
        </w:rPr>
      </w:pPr>
    </w:p>
    <w:p w14:paraId="48910380" w14:textId="5C7D193A" w:rsidR="005F40DC" w:rsidRPr="00F951C7" w:rsidRDefault="00590F36" w:rsidP="008E4801">
      <w:pPr>
        <w:pStyle w:val="Heading1"/>
        <w:rPr>
          <w:lang w:val="en-GB"/>
        </w:rPr>
      </w:pPr>
      <w:r w:rsidRPr="00F951C7">
        <w:rPr>
          <w:lang w:val="en-GB"/>
        </w:rPr>
        <w:t xml:space="preserve">6. Evaluation and </w:t>
      </w:r>
      <w:r w:rsidR="005A04E8" w:rsidRPr="00F951C7">
        <w:rPr>
          <w:lang w:val="en-GB"/>
        </w:rPr>
        <w:t>s</w:t>
      </w:r>
      <w:r w:rsidRPr="00F951C7">
        <w:rPr>
          <w:lang w:val="en-GB"/>
        </w:rPr>
        <w:t xml:space="preserve">election </w:t>
      </w:r>
      <w:r w:rsidR="005A04E8" w:rsidRPr="00F951C7">
        <w:rPr>
          <w:lang w:val="en-GB"/>
        </w:rPr>
        <w:t>c</w:t>
      </w:r>
      <w:r w:rsidRPr="00F951C7">
        <w:rPr>
          <w:lang w:val="en-GB"/>
        </w:rPr>
        <w:t>riteria</w:t>
      </w:r>
    </w:p>
    <w:p w14:paraId="1E37C33B" w14:textId="6FF86025" w:rsidR="002837E0" w:rsidRPr="00F951C7" w:rsidRDefault="002837E0" w:rsidP="008E4801">
      <w:pPr>
        <w:spacing w:before="60" w:after="120"/>
        <w:rPr>
          <w:lang w:val="en-GB"/>
        </w:rPr>
      </w:pPr>
      <w:r w:rsidRPr="00F951C7">
        <w:rPr>
          <w:color w:val="333333"/>
          <w:lang w:val="en-GB"/>
        </w:rPr>
        <w:t>HRP seeks to select up to six research teams, with a maximum of one team per eligible country and with the aim of achieving representation across all six WHO regions (African Region, Region of the Americas, Eastern Mediterranean Region, European Region, South-East Asia Region, and Western Pacific Region).</w:t>
      </w:r>
      <w:r w:rsidRPr="00F951C7">
        <w:rPr>
          <w:rStyle w:val="FootnoteReference"/>
          <w:color w:val="333333"/>
          <w:lang w:val="en-GB"/>
        </w:rPr>
        <w:footnoteReference w:id="3"/>
      </w:r>
    </w:p>
    <w:p w14:paraId="7E4015F8" w14:textId="7C8C1457" w:rsidR="005F40DC" w:rsidRPr="00F951C7" w:rsidRDefault="00590F36" w:rsidP="008E4801">
      <w:pPr>
        <w:spacing w:before="60" w:after="120"/>
        <w:rPr>
          <w:lang w:val="en-GB"/>
        </w:rPr>
      </w:pPr>
      <w:r w:rsidRPr="00F951C7">
        <w:rPr>
          <w:color w:val="333333"/>
          <w:lang w:val="en-GB"/>
        </w:rPr>
        <w:t xml:space="preserve">All proposals will undergo an initial eligibility screening by WHO/HRP staff. Proposals that meet the eligibility requirements will be assessed by a multidisciplinary review panel </w:t>
      </w:r>
      <w:r w:rsidR="006E72C0">
        <w:rPr>
          <w:color w:val="333333"/>
          <w:lang w:val="en-GB"/>
        </w:rPr>
        <w:t xml:space="preserve">selected by </w:t>
      </w:r>
      <w:r w:rsidRPr="00F951C7">
        <w:rPr>
          <w:color w:val="333333"/>
          <w:lang w:val="en-GB"/>
        </w:rPr>
        <w:t>WHO/</w:t>
      </w:r>
      <w:r w:rsidR="006E72C0">
        <w:rPr>
          <w:color w:val="333333"/>
          <w:lang w:val="en-GB"/>
        </w:rPr>
        <w:t>HRP staff</w:t>
      </w:r>
      <w:r w:rsidRPr="00F951C7">
        <w:rPr>
          <w:color w:val="333333"/>
          <w:lang w:val="en-GB"/>
        </w:rPr>
        <w:t>.</w:t>
      </w:r>
    </w:p>
    <w:p w14:paraId="7B97CE71" w14:textId="778559ED" w:rsidR="005F40DC" w:rsidRPr="00F951C7" w:rsidRDefault="00590F36" w:rsidP="008E4801">
      <w:pPr>
        <w:spacing w:before="60" w:after="120"/>
        <w:rPr>
          <w:lang w:val="en-GB"/>
        </w:rPr>
      </w:pPr>
      <w:r w:rsidRPr="00F951C7">
        <w:rPr>
          <w:color w:val="333333"/>
          <w:lang w:val="en-GB"/>
        </w:rPr>
        <w:t xml:space="preserve">Proposals will be scored against the following criteria. </w:t>
      </w:r>
      <w:r w:rsidR="008B4C9B">
        <w:rPr>
          <w:color w:val="333333"/>
          <w:lang w:val="en-GB"/>
        </w:rPr>
        <w:t xml:space="preserve">Each criterion is scored according to the table below with a </w:t>
      </w:r>
      <w:r w:rsidRPr="00F951C7">
        <w:rPr>
          <w:color w:val="333333"/>
          <w:lang w:val="en-GB"/>
        </w:rPr>
        <w:t xml:space="preserve">maximum possible score </w:t>
      </w:r>
      <w:r w:rsidR="008B4C9B">
        <w:rPr>
          <w:color w:val="333333"/>
          <w:lang w:val="en-GB"/>
        </w:rPr>
        <w:t>of</w:t>
      </w:r>
      <w:r w:rsidRPr="00F951C7">
        <w:rPr>
          <w:color w:val="333333"/>
          <w:lang w:val="en-GB"/>
        </w:rPr>
        <w:t xml:space="preserve"> 100 points.</w:t>
      </w:r>
    </w:p>
    <w:p w14:paraId="09D7AEEE"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1826"/>
      </w:tblGrid>
      <w:tr w:rsidR="0078037C" w:rsidRPr="00F951C7" w14:paraId="2937A46E" w14:textId="77777777" w:rsidTr="7D66A2A1">
        <w:trPr>
          <w:tblHeader/>
        </w:trPr>
        <w:tc>
          <w:tcPr>
            <w:tcW w:w="7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08F969ED" w14:textId="77777777" w:rsidR="002F621D" w:rsidRPr="00F951C7" w:rsidRDefault="002F621D" w:rsidP="008E4801">
            <w:pPr>
              <w:spacing w:after="120"/>
              <w:rPr>
                <w:lang w:val="en-GB"/>
              </w:rPr>
            </w:pPr>
            <w:r w:rsidRPr="00F951C7">
              <w:rPr>
                <w:b/>
                <w:bCs/>
                <w:color w:val="FFFFFF"/>
                <w:lang w:val="en-GB"/>
              </w:rPr>
              <w:t>Criterion</w:t>
            </w:r>
          </w:p>
        </w:tc>
        <w:tc>
          <w:tcPr>
            <w:tcW w:w="182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63615CF2" w14:textId="77777777" w:rsidR="002F621D" w:rsidRPr="00F951C7" w:rsidRDefault="002F621D" w:rsidP="008E4801">
            <w:pPr>
              <w:spacing w:after="120"/>
              <w:jc w:val="center"/>
              <w:rPr>
                <w:lang w:val="en-GB"/>
              </w:rPr>
            </w:pPr>
            <w:r w:rsidRPr="00F951C7">
              <w:rPr>
                <w:b/>
                <w:bCs/>
                <w:color w:val="FFFFFF" w:themeColor="background1"/>
                <w:lang w:val="en-GB"/>
              </w:rPr>
              <w:t>Maximum score</w:t>
            </w:r>
          </w:p>
        </w:tc>
      </w:tr>
      <w:tr w:rsidR="0078037C" w:rsidRPr="00F951C7" w14:paraId="34143C8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6ABD4BE" w14:textId="697D236B" w:rsidR="002F621D" w:rsidRPr="00F951C7" w:rsidRDefault="002F621D" w:rsidP="008E4801">
            <w:pPr>
              <w:spacing w:after="120"/>
              <w:rPr>
                <w:lang w:val="en-GB"/>
              </w:rPr>
            </w:pPr>
            <w:r w:rsidRPr="00F951C7">
              <w:rPr>
                <w:b/>
                <w:bCs/>
                <w:color w:val="333333"/>
                <w:lang w:val="en-GB"/>
              </w:rPr>
              <w:t xml:space="preserve">1. </w:t>
            </w:r>
            <w:r w:rsidR="0043754A" w:rsidRPr="00F951C7">
              <w:rPr>
                <w:rStyle w:val="Strong"/>
                <w:lang w:val="en-GB"/>
              </w:rPr>
              <w:t>Research vision and scientific merit:</w:t>
            </w:r>
            <w:r w:rsidR="0043754A" w:rsidRPr="00F951C7">
              <w:rPr>
                <w:lang w:val="en-GB"/>
              </w:rPr>
              <w:t xml:space="preserve"> Clarity of the research vision and its contextual grounding; relevance to the selected priority question and to local evidence gaps; coherence of the proposed participatory and mixed methods approach; potential to generate evidence that can inform policy and practice</w:t>
            </w:r>
            <w:r w:rsidRPr="00F951C7">
              <w:rPr>
                <w:color w:val="333333"/>
                <w:lang w:val="en-GB"/>
              </w:rPr>
              <w:t>.</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190D737D" w14:textId="666C5858" w:rsidR="002F621D" w:rsidRPr="00F951C7" w:rsidRDefault="002D7CA5" w:rsidP="008E4801">
            <w:pPr>
              <w:spacing w:after="120"/>
              <w:jc w:val="center"/>
              <w:rPr>
                <w:lang w:val="en-GB"/>
              </w:rPr>
            </w:pPr>
            <w:r w:rsidRPr="00F951C7">
              <w:rPr>
                <w:b/>
                <w:bCs/>
                <w:color w:val="333333"/>
                <w:lang w:val="en-GB"/>
              </w:rPr>
              <w:t>3</w:t>
            </w:r>
            <w:r w:rsidR="002F621D" w:rsidRPr="00F951C7">
              <w:rPr>
                <w:b/>
                <w:bCs/>
                <w:color w:val="333333"/>
                <w:lang w:val="en-GB"/>
              </w:rPr>
              <w:t>5</w:t>
            </w:r>
          </w:p>
        </w:tc>
      </w:tr>
      <w:tr w:rsidR="0078037C" w:rsidRPr="00F951C7" w14:paraId="584C8314" w14:textId="77777777" w:rsidTr="00A541A0">
        <w:trPr>
          <w:trHeight w:val="15"/>
        </w:trPr>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0763EBA1" w14:textId="5B3D8C6D" w:rsidR="002F621D" w:rsidRPr="00F951C7" w:rsidRDefault="002F621D" w:rsidP="008E4801">
            <w:pPr>
              <w:spacing w:after="120"/>
              <w:rPr>
                <w:lang w:val="en-GB"/>
              </w:rPr>
            </w:pPr>
            <w:r w:rsidRPr="00F951C7">
              <w:rPr>
                <w:b/>
                <w:bCs/>
                <w:color w:val="333333"/>
                <w:lang w:val="en-GB"/>
              </w:rPr>
              <w:lastRenderedPageBreak/>
              <w:t xml:space="preserve">2. </w:t>
            </w:r>
            <w:r w:rsidR="008D5886" w:rsidRPr="00F951C7">
              <w:rPr>
                <w:rStyle w:val="Strong"/>
                <w:lang w:val="en-GB"/>
              </w:rPr>
              <w:t>Community partnership and participatory approach:</w:t>
            </w:r>
            <w:r w:rsidR="008D5886" w:rsidRPr="00F951C7">
              <w:rPr>
                <w:lang w:val="en-GB"/>
              </w:rPr>
              <w:t xml:space="preserve"> Depth and authenticity of community involvement; extent to which communities are positioned as co-researchers; clarity of participatory governance; attention to power dynamics and ethics of participation</w:t>
            </w:r>
            <w:r w:rsidRPr="00F951C7">
              <w:rPr>
                <w:color w:val="333333"/>
                <w:lang w:val="en-GB"/>
              </w:rPr>
              <w:t>.</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1F534360" w14:textId="4C389D94" w:rsidR="002F621D" w:rsidRPr="00F951C7" w:rsidRDefault="00930859" w:rsidP="008E4801">
            <w:pPr>
              <w:spacing w:after="120"/>
              <w:jc w:val="center"/>
              <w:rPr>
                <w:lang w:val="en-GB"/>
              </w:rPr>
            </w:pPr>
            <w:r w:rsidRPr="00F951C7">
              <w:rPr>
                <w:b/>
                <w:bCs/>
                <w:color w:val="333333"/>
                <w:lang w:val="en-GB"/>
              </w:rPr>
              <w:t>25</w:t>
            </w:r>
          </w:p>
        </w:tc>
      </w:tr>
      <w:tr w:rsidR="0078037C" w:rsidRPr="00F951C7" w14:paraId="5ABA8929"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0A4D81DE" w14:textId="41593FDF" w:rsidR="002F621D" w:rsidRPr="00F951C7" w:rsidRDefault="002F621D" w:rsidP="008E4801">
            <w:pPr>
              <w:spacing w:after="120"/>
              <w:rPr>
                <w:lang w:val="en-GB"/>
              </w:rPr>
            </w:pPr>
            <w:r w:rsidRPr="00F951C7">
              <w:rPr>
                <w:b/>
                <w:bCs/>
                <w:color w:val="333333"/>
                <w:lang w:val="en-GB"/>
              </w:rPr>
              <w:t xml:space="preserve">3. </w:t>
            </w:r>
            <w:r w:rsidR="00E96FB5" w:rsidRPr="00F951C7">
              <w:rPr>
                <w:b/>
                <w:bCs/>
                <w:color w:val="333333"/>
                <w:lang w:val="en-GB"/>
              </w:rPr>
              <w:t>T</w:t>
            </w:r>
            <w:r w:rsidR="00E96FB5" w:rsidRPr="00F951C7">
              <w:rPr>
                <w:rStyle w:val="Strong"/>
                <w:lang w:val="en-GB"/>
              </w:rPr>
              <w:t>eam composition, feasibility, and budget:</w:t>
            </w:r>
            <w:r w:rsidR="00E96FB5" w:rsidRPr="00F951C7">
              <w:rPr>
                <w:lang w:val="en-GB"/>
              </w:rPr>
              <w:t xml:space="preserve"> Relevant expertise in participatory and mixed methods research; institutional capacity and track record; realism of the proposed approach given the setting and resources; appropriateness and cost-effectiveness of the budget</w:t>
            </w:r>
            <w:r w:rsidRPr="00F951C7">
              <w:rPr>
                <w:color w:val="333333"/>
                <w:lang w:val="en-GB"/>
              </w:rPr>
              <w:t>.</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A7BCED4" w14:textId="044E7071" w:rsidR="002F621D" w:rsidRPr="00F951C7" w:rsidRDefault="002D7CA5" w:rsidP="008E4801">
            <w:pPr>
              <w:spacing w:after="120"/>
              <w:jc w:val="center"/>
              <w:rPr>
                <w:lang w:val="en-GB"/>
              </w:rPr>
            </w:pPr>
            <w:r w:rsidRPr="00F951C7">
              <w:rPr>
                <w:b/>
                <w:bCs/>
                <w:color w:val="333333"/>
                <w:lang w:val="en-GB"/>
              </w:rPr>
              <w:t>2</w:t>
            </w:r>
            <w:r w:rsidR="00930859" w:rsidRPr="00F951C7">
              <w:rPr>
                <w:b/>
                <w:bCs/>
                <w:color w:val="333333"/>
                <w:lang w:val="en-GB"/>
              </w:rPr>
              <w:t>0</w:t>
            </w:r>
          </w:p>
        </w:tc>
      </w:tr>
      <w:tr w:rsidR="0078037C" w:rsidRPr="00F951C7" w14:paraId="596682D3"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412CC42F" w14:textId="47C245BA" w:rsidR="002F621D" w:rsidRPr="00F951C7" w:rsidRDefault="002F621D" w:rsidP="008E4801">
            <w:pPr>
              <w:spacing w:after="120"/>
              <w:rPr>
                <w:lang w:val="en-GB"/>
              </w:rPr>
            </w:pPr>
            <w:r w:rsidRPr="00F951C7">
              <w:rPr>
                <w:b/>
                <w:bCs/>
                <w:color w:val="333333"/>
                <w:lang w:val="en-GB"/>
              </w:rPr>
              <w:t xml:space="preserve">4. </w:t>
            </w:r>
            <w:r w:rsidR="002D7CA5" w:rsidRPr="00F951C7">
              <w:rPr>
                <w:rStyle w:val="Strong"/>
                <w:lang w:val="en-GB"/>
              </w:rPr>
              <w:t>Human rights, intersectionality, and research capacity strengthening:</w:t>
            </w:r>
            <w:r w:rsidR="002D7CA5" w:rsidRPr="00F951C7">
              <w:rPr>
                <w:lang w:val="en-GB"/>
              </w:rPr>
              <w:t xml:space="preserve"> Application of a human rights framework; use of an intersectional lens in design and analysis; inclusion of early career researchers; plans for building local research capacity</w:t>
            </w:r>
            <w:r w:rsidRPr="00F951C7">
              <w:rPr>
                <w:color w:val="333333"/>
                <w:lang w:val="en-GB"/>
              </w:rPr>
              <w:t>.</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6D6F1431" w14:textId="0BBB45A0" w:rsidR="002F621D" w:rsidRPr="00F951C7" w:rsidRDefault="00930859" w:rsidP="008E4801">
            <w:pPr>
              <w:spacing w:after="120"/>
              <w:jc w:val="center"/>
              <w:rPr>
                <w:b/>
                <w:bCs/>
                <w:lang w:val="en-GB"/>
              </w:rPr>
            </w:pPr>
            <w:r w:rsidRPr="00F951C7">
              <w:rPr>
                <w:b/>
                <w:bCs/>
                <w:lang w:val="en-GB"/>
              </w:rPr>
              <w:t>20</w:t>
            </w:r>
          </w:p>
        </w:tc>
      </w:tr>
      <w:tr w:rsidR="0078037C" w:rsidRPr="00F951C7" w14:paraId="1E8CF5A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395DF789" w14:textId="77777777" w:rsidR="002F621D" w:rsidRPr="00F951C7" w:rsidRDefault="002F621D" w:rsidP="008E4801">
            <w:pPr>
              <w:spacing w:after="120"/>
              <w:rPr>
                <w:lang w:val="en-GB"/>
              </w:rPr>
            </w:pPr>
            <w:r w:rsidRPr="00F951C7">
              <w:rPr>
                <w:b/>
                <w:bCs/>
                <w:color w:val="333333"/>
                <w:lang w:val="en-GB"/>
              </w:rPr>
              <w:t>TOTAL</w:t>
            </w:r>
          </w:p>
        </w:tc>
        <w:tc>
          <w:tcPr>
            <w:tcW w:w="1826"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64EE21A0" w14:textId="77777777" w:rsidR="002F621D" w:rsidRPr="00F951C7" w:rsidRDefault="002F621D" w:rsidP="008E4801">
            <w:pPr>
              <w:spacing w:after="120"/>
              <w:jc w:val="center"/>
              <w:rPr>
                <w:lang w:val="en-GB"/>
              </w:rPr>
            </w:pPr>
            <w:r w:rsidRPr="00F951C7">
              <w:rPr>
                <w:b/>
                <w:bCs/>
                <w:color w:val="333333"/>
                <w:lang w:val="en-GB"/>
              </w:rPr>
              <w:t>100</w:t>
            </w:r>
          </w:p>
        </w:tc>
      </w:tr>
    </w:tbl>
    <w:p w14:paraId="71899403" w14:textId="77777777" w:rsidR="005F40DC" w:rsidRPr="00F951C7" w:rsidRDefault="005F40DC" w:rsidP="008E4801">
      <w:pPr>
        <w:spacing w:after="120"/>
        <w:rPr>
          <w:lang w:val="en-GB"/>
        </w:rPr>
      </w:pPr>
    </w:p>
    <w:p w14:paraId="11AF25E9" w14:textId="77777777" w:rsidR="005F40DC" w:rsidRPr="00F951C7" w:rsidRDefault="00590F36" w:rsidP="008E4801">
      <w:pPr>
        <w:spacing w:before="60" w:after="120"/>
        <w:rPr>
          <w:lang w:val="en-GB"/>
        </w:rPr>
      </w:pPr>
      <w:r w:rsidRPr="00F951C7">
        <w:rPr>
          <w:color w:val="333333"/>
          <w:lang w:val="en-GB"/>
        </w:rPr>
        <w:t>In the event of equal scores between proposals, preference will be given to the proposal that best contributes to regional balance across WHO regions and to representation of communities most acutely affected by climate change.</w:t>
      </w:r>
    </w:p>
    <w:p w14:paraId="074E2860" w14:textId="77777777" w:rsidR="005F40DC" w:rsidRPr="00F951C7" w:rsidRDefault="005F40DC" w:rsidP="008E4801">
      <w:pPr>
        <w:spacing w:after="120"/>
        <w:rPr>
          <w:lang w:val="en-GB"/>
        </w:rPr>
      </w:pPr>
    </w:p>
    <w:p w14:paraId="5C6F9E59" w14:textId="4565FCBB" w:rsidR="005F40DC" w:rsidRPr="00F951C7" w:rsidRDefault="00590F36" w:rsidP="008E4801">
      <w:pPr>
        <w:pStyle w:val="Heading1"/>
        <w:rPr>
          <w:lang w:val="en-GB"/>
        </w:rPr>
      </w:pPr>
      <w:r w:rsidRPr="00F951C7">
        <w:rPr>
          <w:lang w:val="en-GB"/>
        </w:rPr>
        <w:t xml:space="preserve">7. Budget </w:t>
      </w:r>
      <w:r w:rsidR="005A04E8" w:rsidRPr="00F951C7">
        <w:rPr>
          <w:lang w:val="en-GB"/>
        </w:rPr>
        <w:t>g</w:t>
      </w:r>
      <w:r w:rsidRPr="00F951C7">
        <w:rPr>
          <w:lang w:val="en-GB"/>
        </w:rPr>
        <w:t>uidance</w:t>
      </w:r>
    </w:p>
    <w:p w14:paraId="411AB45E" w14:textId="7D312646" w:rsidR="005F40DC" w:rsidRPr="00F951C7" w:rsidRDefault="00590F36" w:rsidP="008E4801">
      <w:pPr>
        <w:spacing w:before="60" w:after="120"/>
        <w:rPr>
          <w:lang w:val="en-GB"/>
        </w:rPr>
      </w:pPr>
      <w:r w:rsidRPr="00F951C7">
        <w:rPr>
          <w:color w:val="333333"/>
          <w:lang w:val="en-GB"/>
        </w:rPr>
        <w:t xml:space="preserve">Each selected team will receive a research grant from WHO/HRP to support implementation of the agreed study protocol. The maximum grant amount per team is </w:t>
      </w:r>
      <w:r w:rsidRPr="00DF7DC1">
        <w:rPr>
          <w:b/>
          <w:bCs/>
          <w:color w:val="333333"/>
          <w:lang w:val="en-GB"/>
        </w:rPr>
        <w:t xml:space="preserve">USD </w:t>
      </w:r>
      <w:r w:rsidR="00A409DA" w:rsidRPr="00DF7DC1">
        <w:rPr>
          <w:b/>
          <w:bCs/>
          <w:color w:val="333333"/>
          <w:lang w:val="en-GB"/>
        </w:rPr>
        <w:t>5</w:t>
      </w:r>
      <w:r w:rsidRPr="00DF7DC1">
        <w:rPr>
          <w:b/>
          <w:bCs/>
          <w:color w:val="333333"/>
          <w:lang w:val="en-GB"/>
        </w:rPr>
        <w:t>5,000</w:t>
      </w:r>
      <w:r w:rsidRPr="00F951C7">
        <w:rPr>
          <w:color w:val="333333"/>
          <w:lang w:val="en-GB"/>
        </w:rPr>
        <w:t xml:space="preserve"> for the full study duration. Final grant amounts will be negotiated with selected teams following the protocol development workshop and will be commensurate with the scope and setting of the proposed work.</w:t>
      </w:r>
      <w:r w:rsidR="0089776B" w:rsidRPr="00F951C7">
        <w:rPr>
          <w:color w:val="333333"/>
          <w:lang w:val="en-GB"/>
        </w:rPr>
        <w:t xml:space="preserve"> Teams should indicate in the application form if they are </w:t>
      </w:r>
      <w:r w:rsidR="00AC25D2" w:rsidRPr="00F951C7">
        <w:rPr>
          <w:color w:val="333333"/>
          <w:lang w:val="en-GB"/>
        </w:rPr>
        <w:t>able to obtain leveraged funding for study implementation.</w:t>
      </w:r>
    </w:p>
    <w:p w14:paraId="785AE0C8" w14:textId="03CB1093" w:rsidR="00BB64DB" w:rsidRPr="00F951C7" w:rsidRDefault="00590F36" w:rsidP="008E4801">
      <w:pPr>
        <w:spacing w:before="60" w:after="120"/>
        <w:rPr>
          <w:lang w:val="en-GB"/>
        </w:rPr>
      </w:pPr>
      <w:r w:rsidRPr="00F951C7">
        <w:rPr>
          <w:color w:val="333333"/>
          <w:lang w:val="en-GB"/>
        </w:rPr>
        <w:t xml:space="preserve">Proposals should submit a detailed budget and budget justification using the template provided in </w:t>
      </w:r>
      <w:r w:rsidR="00AC25D2" w:rsidRPr="00F951C7">
        <w:rPr>
          <w:color w:val="333333"/>
          <w:lang w:val="en-GB"/>
        </w:rPr>
        <w:t>WHO/HRP website where this call was posted</w:t>
      </w:r>
      <w:r w:rsidRPr="00F951C7">
        <w:rPr>
          <w:color w:val="333333"/>
          <w:lang w:val="en-GB"/>
        </w:rPr>
        <w:t xml:space="preserve">. Budgets must reflect the planned </w:t>
      </w:r>
      <w:r w:rsidR="00834B35" w:rsidRPr="00F951C7">
        <w:rPr>
          <w:color w:val="333333"/>
          <w:lang w:val="en-GB"/>
        </w:rPr>
        <w:t>activities,</w:t>
      </w:r>
      <w:r w:rsidRPr="00F951C7">
        <w:rPr>
          <w:color w:val="333333"/>
          <w:lang w:val="en-GB"/>
        </w:rPr>
        <w:t xml:space="preserve"> and the resources required to implement them.</w:t>
      </w:r>
    </w:p>
    <w:p w14:paraId="143FA35C" w14:textId="516E4E11" w:rsidR="005F40DC" w:rsidRPr="00F951C7" w:rsidRDefault="00590F36" w:rsidP="008E4801">
      <w:pPr>
        <w:spacing w:before="60" w:after="120"/>
        <w:rPr>
          <w:lang w:val="en-GB"/>
        </w:rPr>
      </w:pPr>
      <w:r w:rsidRPr="00F951C7">
        <w:rPr>
          <w:color w:val="333333"/>
          <w:lang w:val="en-GB"/>
        </w:rPr>
        <w:t>Eligible budget categories include:</w:t>
      </w:r>
    </w:p>
    <w:p w14:paraId="686ACC2C"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Personnel costs (research staff time, community researcher stipends and incentives)</w:t>
      </w:r>
    </w:p>
    <w:p w14:paraId="6427A653"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Services and supplies (data collection materials, transcription, translation and software)</w:t>
      </w:r>
    </w:p>
    <w:p w14:paraId="60249F08"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Participant costs (transport, childcare and other costs to enable community participation)</w:t>
      </w:r>
    </w:p>
    <w:p w14:paraId="77F5F0C9" w14:textId="2A35191E" w:rsidR="005F40DC" w:rsidRPr="00F951C7" w:rsidRDefault="00590F36" w:rsidP="008E4801">
      <w:pPr>
        <w:pStyle w:val="ListParagraph"/>
        <w:numPr>
          <w:ilvl w:val="0"/>
          <w:numId w:val="3"/>
        </w:numPr>
        <w:spacing w:before="40" w:after="120"/>
        <w:rPr>
          <w:lang w:val="en-GB"/>
        </w:rPr>
      </w:pPr>
      <w:r w:rsidRPr="00F951C7">
        <w:rPr>
          <w:color w:val="333333"/>
          <w:lang w:val="en-GB"/>
        </w:rPr>
        <w:t>Local travel and field work</w:t>
      </w:r>
      <w:r w:rsidR="00052B55" w:rsidRPr="00F951C7">
        <w:rPr>
          <w:color w:val="333333"/>
          <w:lang w:val="en-GB"/>
        </w:rPr>
        <w:t xml:space="preserve"> (no international travel)</w:t>
      </w:r>
    </w:p>
    <w:p w14:paraId="31234B07"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Dissemination and knowledge translation activities</w:t>
      </w:r>
    </w:p>
    <w:p w14:paraId="320216B2"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Indirect costs (institutional overheads), up to a maximum of 13% of direct costs</w:t>
      </w:r>
    </w:p>
    <w:p w14:paraId="5EC51EC5" w14:textId="39435AAB" w:rsidR="005F40DC" w:rsidRPr="00F951C7" w:rsidRDefault="00590F36" w:rsidP="008E4801">
      <w:pPr>
        <w:spacing w:before="60" w:after="120"/>
        <w:rPr>
          <w:lang w:val="en-GB"/>
        </w:rPr>
      </w:pPr>
      <w:r w:rsidRPr="00F951C7">
        <w:rPr>
          <w:color w:val="333333"/>
          <w:lang w:val="en-GB"/>
        </w:rPr>
        <w:t>Costs not eligible for reimbursement include: international travel</w:t>
      </w:r>
      <w:r w:rsidR="00BA125E" w:rsidRPr="00F951C7">
        <w:rPr>
          <w:color w:val="333333"/>
          <w:lang w:val="en-GB"/>
        </w:rPr>
        <w:t>,</w:t>
      </w:r>
      <w:r w:rsidRPr="00F951C7">
        <w:rPr>
          <w:color w:val="333333"/>
          <w:lang w:val="en-GB"/>
        </w:rPr>
        <w:t xml:space="preserve"> equipment purchases exceeding USD 2,000 per item without prior justification</w:t>
      </w:r>
      <w:r w:rsidR="00BA125E" w:rsidRPr="00F951C7">
        <w:rPr>
          <w:color w:val="333333"/>
          <w:lang w:val="en-GB"/>
        </w:rPr>
        <w:t>,</w:t>
      </w:r>
      <w:r w:rsidRPr="00F951C7">
        <w:rPr>
          <w:color w:val="333333"/>
          <w:lang w:val="en-GB"/>
        </w:rPr>
        <w:t xml:space="preserve"> and costs incurred before the grant agreement is signed.</w:t>
      </w:r>
      <w:r w:rsidR="00282EB7" w:rsidRPr="00F951C7">
        <w:rPr>
          <w:color w:val="333333"/>
          <w:lang w:val="en-GB"/>
        </w:rPr>
        <w:t xml:space="preserve"> N</w:t>
      </w:r>
      <w:r w:rsidRPr="00F951C7">
        <w:rPr>
          <w:color w:val="333333"/>
          <w:lang w:val="en-GB"/>
        </w:rPr>
        <w:t>o more than 15% of the total grant may be allocated to institutions or individuals based in high-income countries (as classified by the World Bank</w:t>
      </w:r>
      <w:r w:rsidR="009774C0" w:rsidRPr="00F951C7">
        <w:rPr>
          <w:rStyle w:val="FootnoteReference"/>
          <w:color w:val="333333"/>
          <w:lang w:val="en-GB"/>
        </w:rPr>
        <w:footnoteReference w:id="4"/>
      </w:r>
      <w:r w:rsidRPr="00F951C7">
        <w:rPr>
          <w:color w:val="333333"/>
          <w:lang w:val="en-GB"/>
        </w:rPr>
        <w:t>). This restriction applies across the full project budget, including any subcontract or consultancy arrangements.</w:t>
      </w:r>
    </w:p>
    <w:p w14:paraId="191D4F12" w14:textId="5EE709E2" w:rsidR="005F40DC" w:rsidRPr="00F951C7" w:rsidRDefault="00590F36" w:rsidP="00100FC7">
      <w:pPr>
        <w:spacing w:before="60" w:after="120"/>
        <w:rPr>
          <w:lang w:val="en-GB"/>
        </w:rPr>
      </w:pPr>
      <w:r w:rsidRPr="00F951C7">
        <w:rPr>
          <w:color w:val="333333"/>
          <w:lang w:val="en-GB"/>
        </w:rPr>
        <w:lastRenderedPageBreak/>
        <w:t>All teams will have access to WHO/HRP-supported research capacity strengthening resources, including data analysis software, training courses, and tools, at no charge to the project budget.</w:t>
      </w:r>
      <w:r w:rsidR="00282EB7" w:rsidRPr="00F951C7">
        <w:rPr>
          <w:color w:val="333333"/>
          <w:lang w:val="en-GB"/>
        </w:rPr>
        <w:t xml:space="preserve"> Travel costs relating to the protocol development workshop will be covered by WHO/HRP.</w:t>
      </w:r>
    </w:p>
    <w:p w14:paraId="146F308C" w14:textId="5550A735" w:rsidR="005F40DC" w:rsidRPr="00F951C7" w:rsidRDefault="00590F36" w:rsidP="008E4801">
      <w:pPr>
        <w:pStyle w:val="Heading1"/>
        <w:rPr>
          <w:lang w:val="en-GB"/>
        </w:rPr>
      </w:pPr>
      <w:r w:rsidRPr="00F951C7">
        <w:rPr>
          <w:lang w:val="en-GB"/>
        </w:rPr>
        <w:t xml:space="preserve">8. Application </w:t>
      </w:r>
      <w:r w:rsidR="005A04E8" w:rsidRPr="00F951C7">
        <w:rPr>
          <w:lang w:val="en-GB"/>
        </w:rPr>
        <w:t>p</w:t>
      </w:r>
      <w:r w:rsidRPr="00F951C7">
        <w:rPr>
          <w:lang w:val="en-GB"/>
        </w:rPr>
        <w:t>rocedure</w:t>
      </w:r>
    </w:p>
    <w:p w14:paraId="08A61785" w14:textId="273355D8" w:rsidR="005F40DC" w:rsidRPr="00F951C7" w:rsidRDefault="00590F36" w:rsidP="008E4801">
      <w:pPr>
        <w:pStyle w:val="Heading2"/>
        <w:pBdr>
          <w:bottom w:val="single" w:sz="2" w:space="4" w:color="CCCCCC"/>
        </w:pBdr>
        <w:spacing w:after="120"/>
        <w:rPr>
          <w:lang w:val="en-GB"/>
        </w:rPr>
      </w:pPr>
      <w:r w:rsidRPr="00F951C7">
        <w:rPr>
          <w:lang w:val="en-GB"/>
        </w:rPr>
        <w:t xml:space="preserve">8.1 How to </w:t>
      </w:r>
      <w:r w:rsidR="005A04E8" w:rsidRPr="00F951C7">
        <w:rPr>
          <w:lang w:val="en-GB"/>
        </w:rPr>
        <w:t>a</w:t>
      </w:r>
      <w:r w:rsidRPr="00F951C7">
        <w:rPr>
          <w:lang w:val="en-GB"/>
        </w:rPr>
        <w:t>pply</w:t>
      </w:r>
    </w:p>
    <w:p w14:paraId="66E106AE" w14:textId="61721332" w:rsidR="005F40DC" w:rsidRPr="00F951C7" w:rsidRDefault="00590F36" w:rsidP="008E4801">
      <w:pPr>
        <w:spacing w:before="60" w:after="120"/>
        <w:rPr>
          <w:lang w:val="en-GB"/>
        </w:rPr>
      </w:pPr>
      <w:r w:rsidRPr="00F951C7">
        <w:rPr>
          <w:color w:val="333333"/>
          <w:lang w:val="en-GB"/>
        </w:rPr>
        <w:t xml:space="preserve">Interested teams must submit a completed proposal using the </w:t>
      </w:r>
      <w:hyperlink r:id="rId12" w:history="1">
        <w:r w:rsidR="00CB6342" w:rsidRPr="00F951C7">
          <w:rPr>
            <w:rStyle w:val="Hyperlink"/>
            <w:lang w:val="en-GB"/>
          </w:rPr>
          <w:t>application form in this link</w:t>
        </w:r>
      </w:hyperlink>
      <w:r w:rsidR="002F7E57" w:rsidRPr="00F951C7">
        <w:rPr>
          <w:color w:val="333333"/>
          <w:lang w:val="en-GB"/>
        </w:rPr>
        <w:t xml:space="preserve">. </w:t>
      </w:r>
      <w:r w:rsidRPr="00F951C7">
        <w:rPr>
          <w:color w:val="333333"/>
          <w:lang w:val="en-GB"/>
        </w:rPr>
        <w:t xml:space="preserve">All proposals must be submitted </w:t>
      </w:r>
      <w:r w:rsidRPr="00F951C7">
        <w:rPr>
          <w:b/>
          <w:bCs/>
          <w:color w:val="333333"/>
          <w:lang w:val="en-GB"/>
        </w:rPr>
        <w:t xml:space="preserve">by </w:t>
      </w:r>
      <w:r w:rsidR="00F54B03">
        <w:rPr>
          <w:b/>
          <w:bCs/>
          <w:color w:val="333333"/>
          <w:lang w:val="en-GB"/>
        </w:rPr>
        <w:t>12</w:t>
      </w:r>
      <w:r w:rsidRPr="00F951C7">
        <w:rPr>
          <w:b/>
          <w:bCs/>
          <w:color w:val="333333"/>
          <w:lang w:val="en-GB"/>
        </w:rPr>
        <w:t xml:space="preserve"> April 2026, 23:59 GMT+1</w:t>
      </w:r>
      <w:r w:rsidR="00707434" w:rsidRPr="00F951C7">
        <w:rPr>
          <w:b/>
          <w:bCs/>
          <w:color w:val="333333"/>
          <w:lang w:val="en-GB"/>
        </w:rPr>
        <w:t xml:space="preserve"> </w:t>
      </w:r>
      <w:r w:rsidR="00707434" w:rsidRPr="00F951C7">
        <w:rPr>
          <w:color w:val="333333"/>
          <w:lang w:val="en-GB"/>
        </w:rPr>
        <w:t>through the online platform. No submissions will be accepted over email</w:t>
      </w:r>
      <w:r w:rsidRPr="00F951C7">
        <w:rPr>
          <w:color w:val="333333"/>
          <w:lang w:val="en-GB"/>
        </w:rPr>
        <w:t>. Submissions received after th</w:t>
      </w:r>
      <w:r w:rsidR="00707434" w:rsidRPr="00F951C7">
        <w:rPr>
          <w:color w:val="333333"/>
          <w:lang w:val="en-GB"/>
        </w:rPr>
        <w:t>e deadline for submissions will</w:t>
      </w:r>
      <w:r w:rsidRPr="00F951C7">
        <w:rPr>
          <w:color w:val="333333"/>
          <w:lang w:val="en-GB"/>
        </w:rPr>
        <w:t xml:space="preserve"> not be accepted. All submissions will </w:t>
      </w:r>
      <w:r w:rsidR="00CB6342" w:rsidRPr="00F951C7">
        <w:rPr>
          <w:color w:val="333333"/>
          <w:lang w:val="en-GB"/>
        </w:rPr>
        <w:t xml:space="preserve">receive an automated </w:t>
      </w:r>
      <w:r w:rsidRPr="00F951C7">
        <w:rPr>
          <w:color w:val="333333"/>
          <w:lang w:val="en-GB"/>
        </w:rPr>
        <w:t>acknowledge</w:t>
      </w:r>
      <w:r w:rsidR="00CB6342" w:rsidRPr="00F951C7">
        <w:rPr>
          <w:color w:val="333333"/>
          <w:lang w:val="en-GB"/>
        </w:rPr>
        <w:t>ment from the system</w:t>
      </w:r>
      <w:r w:rsidR="00244F2D" w:rsidRPr="00F951C7">
        <w:rPr>
          <w:color w:val="333333"/>
          <w:lang w:val="en-GB"/>
        </w:rPr>
        <w:t>.</w:t>
      </w:r>
    </w:p>
    <w:p w14:paraId="61CA3858" w14:textId="159591F4" w:rsidR="005F40DC" w:rsidRPr="00F951C7" w:rsidRDefault="00590F36" w:rsidP="008E4801">
      <w:pPr>
        <w:spacing w:before="60" w:after="120"/>
        <w:rPr>
          <w:color w:val="333333"/>
          <w:lang w:val="en-GB"/>
        </w:rPr>
      </w:pPr>
      <w:r w:rsidRPr="00F951C7">
        <w:rPr>
          <w:color w:val="333333"/>
          <w:lang w:val="en-GB"/>
        </w:rPr>
        <w:t xml:space="preserve">All applicants will receive a written response confirming whether their proposal has been selected or not. </w:t>
      </w:r>
      <w:r w:rsidR="00244F2D" w:rsidRPr="00F951C7">
        <w:rPr>
          <w:color w:val="333333"/>
          <w:lang w:val="en-GB"/>
        </w:rPr>
        <w:t xml:space="preserve">Notifications will be sent out on </w:t>
      </w:r>
      <w:r w:rsidR="00F54B03">
        <w:rPr>
          <w:b/>
          <w:bCs/>
          <w:color w:val="333333"/>
          <w:lang w:val="en-GB"/>
        </w:rPr>
        <w:t>11</w:t>
      </w:r>
      <w:r w:rsidRPr="00F951C7">
        <w:rPr>
          <w:b/>
          <w:bCs/>
          <w:color w:val="333333"/>
          <w:lang w:val="en-GB"/>
        </w:rPr>
        <w:t xml:space="preserve"> May 2026</w:t>
      </w:r>
      <w:r w:rsidRPr="00F951C7">
        <w:rPr>
          <w:color w:val="333333"/>
          <w:lang w:val="en-GB"/>
        </w:rPr>
        <w:t xml:space="preserve">. Teams whose proposals are not selected will also be notified by this date and, </w:t>
      </w:r>
      <w:r w:rsidR="00B3461A">
        <w:rPr>
          <w:color w:val="333333"/>
          <w:lang w:val="en-GB"/>
        </w:rPr>
        <w:t xml:space="preserve">when requested and if </w:t>
      </w:r>
      <w:r w:rsidRPr="00F951C7">
        <w:rPr>
          <w:color w:val="333333"/>
          <w:lang w:val="en-GB"/>
        </w:rPr>
        <w:t>possible, will receive brief feedback on the assessment of their proposal.</w:t>
      </w:r>
    </w:p>
    <w:p w14:paraId="40398DD0" w14:textId="77777777" w:rsidR="00155739" w:rsidRPr="00F951C7" w:rsidRDefault="00155739" w:rsidP="008E4801">
      <w:pPr>
        <w:spacing w:before="60"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F951C7" w14:paraId="15876A23"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25E080D4" w14:textId="77777777" w:rsidR="005F40DC" w:rsidRPr="00F951C7" w:rsidRDefault="00590F36" w:rsidP="008E4801">
            <w:pPr>
              <w:spacing w:after="120"/>
              <w:rPr>
                <w:lang w:val="en-GB"/>
              </w:rPr>
            </w:pPr>
            <w:r w:rsidRPr="00F951C7">
              <w:rPr>
                <w:b/>
                <w:bCs/>
                <w:color w:val="006BB6"/>
                <w:lang w:val="en-GB"/>
              </w:rPr>
              <w:t>Important: proposals are research visions, not final protocols</w:t>
            </w:r>
          </w:p>
          <w:p w14:paraId="30BB1E55" w14:textId="55574A2F" w:rsidR="005F40DC" w:rsidRPr="00F951C7" w:rsidRDefault="00590F36" w:rsidP="008E4801">
            <w:pPr>
              <w:spacing w:before="40" w:after="120"/>
              <w:rPr>
                <w:lang w:val="en-GB"/>
              </w:rPr>
            </w:pPr>
            <w:r w:rsidRPr="00F951C7">
              <w:rPr>
                <w:color w:val="333333"/>
                <w:lang w:val="en-GB"/>
              </w:rPr>
              <w:t xml:space="preserve">Selected teams will collectively develop a single shared research protocol at the Protocol Development Workshop (Section 4), held </w:t>
            </w:r>
            <w:r w:rsidR="00B3461A">
              <w:rPr>
                <w:color w:val="333333"/>
                <w:lang w:val="en-GB"/>
              </w:rPr>
              <w:t>over the course of one</w:t>
            </w:r>
            <w:r w:rsidR="00F32438" w:rsidRPr="00F951C7">
              <w:rPr>
                <w:color w:val="333333"/>
                <w:lang w:val="en-GB"/>
              </w:rPr>
              <w:t xml:space="preserve"> week in </w:t>
            </w:r>
            <w:r w:rsidR="00B3461A">
              <w:rPr>
                <w:color w:val="333333"/>
                <w:lang w:val="en-GB"/>
              </w:rPr>
              <w:t>July</w:t>
            </w:r>
            <w:r w:rsidRPr="00F951C7">
              <w:rPr>
                <w:color w:val="333333"/>
                <w:lang w:val="en-GB"/>
              </w:rPr>
              <w:t>. Applicants should focus their proposal on demonstrating team suitability, community partnerships and research vision — not on presenting a fully finalised methodology.</w:t>
            </w:r>
          </w:p>
        </w:tc>
      </w:tr>
    </w:tbl>
    <w:p w14:paraId="06FF9098"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F951C7" w14:paraId="54FCB8E8" w14:textId="77777777">
        <w:tc>
          <w:tcPr>
            <w:tcW w:w="0" w:type="auto"/>
            <w:tcBorders>
              <w:top w:val="single" w:sz="4" w:space="0" w:color="006BB6"/>
              <w:left w:val="single" w:sz="12" w:space="0" w:color="006BB6"/>
              <w:bottom w:val="none" w:sz="0" w:space="0" w:color="FFFFFF"/>
              <w:right w:val="none" w:sz="0" w:space="0" w:color="FFFFFF"/>
            </w:tcBorders>
            <w:shd w:val="clear" w:color="auto" w:fill="EBF4FB"/>
            <w:tcMar>
              <w:top w:w="100" w:type="dxa"/>
              <w:left w:w="160" w:type="dxa"/>
              <w:bottom w:w="100" w:type="dxa"/>
              <w:right w:w="160" w:type="dxa"/>
            </w:tcMar>
          </w:tcPr>
          <w:p w14:paraId="155ABC76" w14:textId="1212ABB4" w:rsidR="005F40DC" w:rsidRPr="00F951C7" w:rsidRDefault="00590F36" w:rsidP="008E4801">
            <w:pPr>
              <w:spacing w:after="120"/>
              <w:rPr>
                <w:lang w:val="en-GB"/>
              </w:rPr>
            </w:pPr>
            <w:r w:rsidRPr="00F951C7">
              <w:rPr>
                <w:b/>
                <w:bCs/>
                <w:color w:val="006BB6"/>
                <w:lang w:val="en-GB"/>
              </w:rPr>
              <w:t xml:space="preserve">Language of submission: </w:t>
            </w:r>
            <w:r w:rsidRPr="00F951C7">
              <w:rPr>
                <w:color w:val="333333"/>
                <w:lang w:val="en-GB"/>
              </w:rPr>
              <w:t xml:space="preserve">Proposals may be submitted in English, French or Spanish. The application form is available in all </w:t>
            </w:r>
            <w:r w:rsidR="00804455" w:rsidRPr="00F951C7">
              <w:rPr>
                <w:color w:val="333333"/>
                <w:lang w:val="en-GB"/>
              </w:rPr>
              <w:t>three</w:t>
            </w:r>
            <w:r w:rsidRPr="00F951C7">
              <w:rPr>
                <w:color w:val="333333"/>
                <w:lang w:val="en-GB"/>
              </w:rPr>
              <w:t xml:space="preserve"> languages.</w:t>
            </w:r>
          </w:p>
        </w:tc>
      </w:tr>
    </w:tbl>
    <w:p w14:paraId="7E4E8567" w14:textId="77777777" w:rsidR="005F40DC" w:rsidRPr="00F951C7" w:rsidRDefault="005F40DC" w:rsidP="008E4801">
      <w:pPr>
        <w:spacing w:after="120"/>
        <w:rPr>
          <w:lang w:val="en-GB"/>
        </w:rPr>
      </w:pPr>
    </w:p>
    <w:p w14:paraId="696C1554" w14:textId="38CBF51D" w:rsidR="00100FC7" w:rsidRPr="00F951C7" w:rsidRDefault="00100FC7" w:rsidP="00100FC7">
      <w:pPr>
        <w:spacing w:before="40" w:after="120"/>
        <w:rPr>
          <w:color w:val="333333"/>
          <w:lang w:val="en-GB"/>
        </w:rPr>
      </w:pPr>
      <w:r w:rsidRPr="00F951C7">
        <w:rPr>
          <w:color w:val="333333"/>
          <w:lang w:val="en-GB"/>
        </w:rPr>
        <w:t xml:space="preserve">The full proposal must be submitted through the online platform. The platform includes the application form (Parts I–V), which covers all sections of the proposal including provisional confirmation of institutional endorsement. In addition, the following documents </w:t>
      </w:r>
      <w:r w:rsidRPr="00B21731">
        <w:rPr>
          <w:color w:val="333333"/>
          <w:u w:val="single"/>
          <w:lang w:val="en-GB"/>
        </w:rPr>
        <w:t>must be uploaded directly onto the platform</w:t>
      </w:r>
      <w:r w:rsidRPr="00F951C7">
        <w:rPr>
          <w:color w:val="333333"/>
          <w:lang w:val="en-GB"/>
        </w:rPr>
        <w:t xml:space="preserve"> before submission:</w:t>
      </w:r>
    </w:p>
    <w:p w14:paraId="786689EE" w14:textId="3EF09252" w:rsidR="00100FC7" w:rsidRPr="00F951C7" w:rsidRDefault="00100FC7" w:rsidP="00100FC7">
      <w:pPr>
        <w:pStyle w:val="ListParagraph"/>
        <w:numPr>
          <w:ilvl w:val="0"/>
          <w:numId w:val="3"/>
        </w:numPr>
        <w:spacing w:before="40" w:after="120"/>
        <w:rPr>
          <w:color w:val="333333"/>
          <w:lang w:val="en-GB"/>
        </w:rPr>
      </w:pPr>
      <w:r w:rsidRPr="00B21731">
        <w:rPr>
          <w:i/>
          <w:iCs/>
          <w:color w:val="333333"/>
          <w:u w:val="single"/>
          <w:lang w:val="en-GB"/>
        </w:rPr>
        <w:t>Budget</w:t>
      </w:r>
      <w:r w:rsidRPr="00F951C7">
        <w:rPr>
          <w:color w:val="333333"/>
          <w:lang w:val="en-GB"/>
        </w:rPr>
        <w:t xml:space="preserve">: </w:t>
      </w:r>
      <w:r w:rsidR="00DE1BC5">
        <w:rPr>
          <w:color w:val="333333"/>
          <w:lang w:val="en-GB"/>
        </w:rPr>
        <w:t xml:space="preserve">a budget for the full study implementation </w:t>
      </w:r>
      <w:r w:rsidR="00DE511D">
        <w:rPr>
          <w:color w:val="333333"/>
          <w:lang w:val="en-GB"/>
        </w:rPr>
        <w:t xml:space="preserve">using the </w:t>
      </w:r>
      <w:r w:rsidRPr="00F951C7">
        <w:rPr>
          <w:color w:val="333333"/>
          <w:lang w:val="en-GB"/>
        </w:rPr>
        <w:t xml:space="preserve">Excel template </w:t>
      </w:r>
      <w:r w:rsidR="00DE511D">
        <w:rPr>
          <w:color w:val="333333"/>
          <w:lang w:val="en-GB"/>
        </w:rPr>
        <w:t>provided on the WHO/HRP website</w:t>
      </w:r>
      <w:r w:rsidRPr="00F951C7">
        <w:rPr>
          <w:color w:val="333333"/>
          <w:lang w:val="en-GB"/>
        </w:rPr>
        <w:t>.</w:t>
      </w:r>
    </w:p>
    <w:p w14:paraId="10C6785C" w14:textId="1FC42DD5" w:rsidR="00100FC7" w:rsidRPr="00F951C7" w:rsidRDefault="00100FC7" w:rsidP="00100FC7">
      <w:pPr>
        <w:pStyle w:val="ListParagraph"/>
        <w:numPr>
          <w:ilvl w:val="0"/>
          <w:numId w:val="3"/>
        </w:numPr>
        <w:spacing w:before="40" w:after="120"/>
        <w:rPr>
          <w:color w:val="333333"/>
          <w:lang w:val="en-GB"/>
        </w:rPr>
      </w:pPr>
      <w:r w:rsidRPr="00B21731">
        <w:rPr>
          <w:i/>
          <w:iCs/>
          <w:color w:val="333333"/>
          <w:u w:val="single"/>
          <w:lang w:val="en-GB"/>
        </w:rPr>
        <w:t>CVs</w:t>
      </w:r>
      <w:r w:rsidRPr="00F951C7">
        <w:rPr>
          <w:color w:val="333333"/>
          <w:lang w:val="en-GB"/>
        </w:rPr>
        <w:t xml:space="preserve">: </w:t>
      </w:r>
      <w:r w:rsidR="00DE511D">
        <w:rPr>
          <w:color w:val="333333"/>
          <w:lang w:val="en-GB"/>
        </w:rPr>
        <w:t>A</w:t>
      </w:r>
      <w:r w:rsidRPr="00F951C7">
        <w:rPr>
          <w:color w:val="333333"/>
          <w:lang w:val="en-GB"/>
        </w:rPr>
        <w:t xml:space="preserve"> short CV for the Principal Investigator and all key team members, using the provided template</w:t>
      </w:r>
      <w:r w:rsidR="0097199B" w:rsidRPr="00F951C7">
        <w:rPr>
          <w:color w:val="333333"/>
          <w:lang w:val="en-GB"/>
        </w:rPr>
        <w:t xml:space="preserve"> found on the WHO/HRP website</w:t>
      </w:r>
      <w:r w:rsidRPr="00F951C7">
        <w:rPr>
          <w:color w:val="333333"/>
          <w:lang w:val="en-GB"/>
        </w:rPr>
        <w:t>.</w:t>
      </w:r>
    </w:p>
    <w:p w14:paraId="43D13B43" w14:textId="226C4D4A" w:rsidR="005F40DC" w:rsidRPr="00F951C7" w:rsidRDefault="00100FC7" w:rsidP="00100FC7">
      <w:pPr>
        <w:pStyle w:val="ListParagraph"/>
        <w:numPr>
          <w:ilvl w:val="0"/>
          <w:numId w:val="3"/>
        </w:numPr>
        <w:spacing w:before="40" w:after="120"/>
        <w:rPr>
          <w:lang w:val="en-GB"/>
        </w:rPr>
      </w:pPr>
      <w:r w:rsidRPr="00B21731">
        <w:rPr>
          <w:i/>
          <w:iCs/>
          <w:color w:val="333333"/>
          <w:u w:val="single"/>
          <w:lang w:val="en-GB"/>
        </w:rPr>
        <w:t>Conflict of interest declaration</w:t>
      </w:r>
      <w:r w:rsidRPr="00F951C7">
        <w:rPr>
          <w:color w:val="333333"/>
          <w:lang w:val="en-GB"/>
        </w:rPr>
        <w:t xml:space="preserve">: </w:t>
      </w:r>
      <w:r w:rsidR="00B21731">
        <w:rPr>
          <w:color w:val="333333"/>
          <w:lang w:val="en-GB"/>
        </w:rPr>
        <w:t>a completed COI form for the</w:t>
      </w:r>
      <w:r w:rsidRPr="00F951C7">
        <w:rPr>
          <w:color w:val="333333"/>
          <w:lang w:val="en-GB"/>
        </w:rPr>
        <w:t xml:space="preserve"> </w:t>
      </w:r>
      <w:r w:rsidR="00B21731" w:rsidRPr="00F951C7">
        <w:rPr>
          <w:color w:val="333333"/>
          <w:lang w:val="en-GB"/>
        </w:rPr>
        <w:t xml:space="preserve">Principal Investigator and co-investigator </w:t>
      </w:r>
      <w:r w:rsidR="00B21731">
        <w:rPr>
          <w:color w:val="333333"/>
          <w:lang w:val="en-GB"/>
        </w:rPr>
        <w:t xml:space="preserve">using the </w:t>
      </w:r>
      <w:r w:rsidRPr="00F951C7">
        <w:rPr>
          <w:color w:val="333333"/>
          <w:lang w:val="en-GB"/>
        </w:rPr>
        <w:t>form</w:t>
      </w:r>
      <w:r w:rsidR="00740C5C" w:rsidRPr="00F951C7">
        <w:rPr>
          <w:color w:val="333333"/>
          <w:lang w:val="en-GB"/>
        </w:rPr>
        <w:t xml:space="preserve"> from the WHO/HRP website</w:t>
      </w:r>
      <w:r w:rsidRPr="00F951C7">
        <w:rPr>
          <w:color w:val="333333"/>
          <w:lang w:val="en-GB"/>
        </w:rPr>
        <w:t>.</w:t>
      </w:r>
    </w:p>
    <w:p w14:paraId="6F2B8CA1" w14:textId="21AB18DD" w:rsidR="005F40DC" w:rsidRPr="00F951C7" w:rsidRDefault="00590F36" w:rsidP="008E4801">
      <w:pPr>
        <w:pStyle w:val="Heading2"/>
        <w:pBdr>
          <w:bottom w:val="single" w:sz="2" w:space="4" w:color="CCCCCC"/>
        </w:pBdr>
        <w:spacing w:after="120"/>
        <w:rPr>
          <w:lang w:val="en-GB"/>
        </w:rPr>
      </w:pPr>
      <w:r w:rsidRPr="00F951C7">
        <w:rPr>
          <w:lang w:val="en-GB"/>
        </w:rPr>
        <w:t xml:space="preserve">8.2 Questions and </w:t>
      </w:r>
      <w:r w:rsidR="005A04E8" w:rsidRPr="00F951C7">
        <w:rPr>
          <w:lang w:val="en-GB"/>
        </w:rPr>
        <w:t>c</w:t>
      </w:r>
      <w:r w:rsidRPr="00F951C7">
        <w:rPr>
          <w:lang w:val="en-GB"/>
        </w:rPr>
        <w:t>larifications</w:t>
      </w:r>
    </w:p>
    <w:p w14:paraId="74BEF8B7" w14:textId="5CB57378" w:rsidR="005F40DC" w:rsidRDefault="00590F36" w:rsidP="008E4801">
      <w:pPr>
        <w:spacing w:before="60" w:after="120"/>
        <w:rPr>
          <w:color w:val="333333"/>
          <w:lang w:val="en-GB"/>
        </w:rPr>
      </w:pPr>
      <w:r w:rsidRPr="00F951C7">
        <w:rPr>
          <w:color w:val="333333"/>
          <w:lang w:val="en-GB"/>
        </w:rPr>
        <w:t xml:space="preserve">An open period for questions will run from </w:t>
      </w:r>
      <w:r w:rsidRPr="00F951C7">
        <w:rPr>
          <w:b/>
          <w:bCs/>
          <w:color w:val="333333"/>
          <w:lang w:val="en-GB"/>
        </w:rPr>
        <w:t>1</w:t>
      </w:r>
      <w:r w:rsidR="000A51F9">
        <w:rPr>
          <w:b/>
          <w:bCs/>
          <w:color w:val="333333"/>
          <w:lang w:val="en-GB"/>
        </w:rPr>
        <w:t>4 March to 10 April</w:t>
      </w:r>
      <w:r w:rsidRPr="00F951C7">
        <w:rPr>
          <w:b/>
          <w:bCs/>
          <w:color w:val="333333"/>
          <w:lang w:val="en-GB"/>
        </w:rPr>
        <w:t xml:space="preserve"> 2026</w:t>
      </w:r>
      <w:r w:rsidRPr="00F951C7">
        <w:rPr>
          <w:color w:val="333333"/>
          <w:lang w:val="en-GB"/>
        </w:rPr>
        <w:t xml:space="preserve">. Questions should be submitted by email to </w:t>
      </w:r>
      <w:hyperlink r:id="rId13" w:history="1">
        <w:r w:rsidR="00282EB7" w:rsidRPr="00F951C7">
          <w:rPr>
            <w:rStyle w:val="Hyperlink"/>
            <w:lang w:val="en-GB"/>
          </w:rPr>
          <w:t>srhmph@who.int</w:t>
        </w:r>
      </w:hyperlink>
      <w:r w:rsidR="00282EB7" w:rsidRPr="00F951C7">
        <w:rPr>
          <w:color w:val="333333"/>
          <w:lang w:val="en-GB"/>
        </w:rPr>
        <w:t xml:space="preserve"> </w:t>
      </w:r>
      <w:r w:rsidRPr="00F951C7">
        <w:rPr>
          <w:color w:val="333333"/>
          <w:lang w:val="en-GB"/>
        </w:rPr>
        <w:t>with the subject line “</w:t>
      </w:r>
      <w:r w:rsidRPr="00F951C7">
        <w:rPr>
          <w:b/>
          <w:bCs/>
          <w:color w:val="333333"/>
          <w:lang w:val="en-GB"/>
        </w:rPr>
        <w:t>SRHR-Climate</w:t>
      </w:r>
      <w:r w:rsidR="00BB64DB" w:rsidRPr="00F951C7">
        <w:rPr>
          <w:b/>
          <w:bCs/>
          <w:color w:val="333333"/>
          <w:lang w:val="en-GB"/>
        </w:rPr>
        <w:t xml:space="preserve"> &amp; SRHR</w:t>
      </w:r>
      <w:r w:rsidRPr="00F951C7">
        <w:rPr>
          <w:b/>
          <w:bCs/>
          <w:color w:val="333333"/>
          <w:lang w:val="en-GB"/>
        </w:rPr>
        <w:t xml:space="preserve"> – Question</w:t>
      </w:r>
      <w:r w:rsidRPr="00F951C7">
        <w:rPr>
          <w:color w:val="333333"/>
          <w:lang w:val="en-GB"/>
        </w:rPr>
        <w:t xml:space="preserve">.” Responses to frequently asked questions will be posted on the WHO/HRP website and shared with all applicants. Individual responses to questions submitted after </w:t>
      </w:r>
      <w:r w:rsidR="000A51F9">
        <w:rPr>
          <w:color w:val="333333"/>
          <w:lang w:val="en-GB"/>
        </w:rPr>
        <w:t>10 April</w:t>
      </w:r>
      <w:r w:rsidRPr="00F951C7">
        <w:rPr>
          <w:color w:val="333333"/>
          <w:lang w:val="en-GB"/>
        </w:rPr>
        <w:t xml:space="preserve"> 2026 cannot be guaranteed.</w:t>
      </w:r>
    </w:p>
    <w:p w14:paraId="3AE5C35E" w14:textId="77777777" w:rsidR="00986655" w:rsidRDefault="00986655" w:rsidP="008E4801">
      <w:pPr>
        <w:spacing w:before="60" w:after="120"/>
        <w:rPr>
          <w:color w:val="333333"/>
          <w:lang w:val="en-GB"/>
        </w:rPr>
      </w:pPr>
    </w:p>
    <w:p w14:paraId="4CB38D89" w14:textId="77777777" w:rsidR="00986655" w:rsidRDefault="00986655" w:rsidP="008E4801">
      <w:pPr>
        <w:spacing w:before="60" w:after="120"/>
        <w:rPr>
          <w:color w:val="333333"/>
          <w:lang w:val="en-GB"/>
        </w:rPr>
      </w:pPr>
    </w:p>
    <w:p w14:paraId="64E2AE2C" w14:textId="77777777" w:rsidR="00986655" w:rsidRDefault="00986655" w:rsidP="008E4801">
      <w:pPr>
        <w:spacing w:before="60" w:after="120"/>
        <w:rPr>
          <w:color w:val="333333"/>
          <w:lang w:val="en-GB"/>
        </w:rPr>
      </w:pPr>
    </w:p>
    <w:p w14:paraId="3753513D" w14:textId="77777777" w:rsidR="00986655" w:rsidRPr="00F951C7" w:rsidRDefault="00986655" w:rsidP="008E4801">
      <w:pPr>
        <w:spacing w:before="60" w:after="120"/>
        <w:rPr>
          <w:lang w:val="en-GB"/>
        </w:rPr>
      </w:pPr>
    </w:p>
    <w:p w14:paraId="366BB82F" w14:textId="77777777" w:rsidR="005F40DC" w:rsidRPr="00F951C7" w:rsidRDefault="00590F36" w:rsidP="008E4801">
      <w:pPr>
        <w:pStyle w:val="Heading1"/>
        <w:rPr>
          <w:lang w:val="en-GB"/>
        </w:rPr>
      </w:pPr>
      <w:r w:rsidRPr="00F951C7">
        <w:rPr>
          <w:lang w:val="en-GB"/>
        </w:rPr>
        <w:lastRenderedPageBreak/>
        <w:t>9. Timeline</w:t>
      </w:r>
    </w:p>
    <w:p w14:paraId="5D85A589"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3826"/>
      </w:tblGrid>
      <w:tr w:rsidR="0078037C" w:rsidRPr="00F951C7" w14:paraId="4D3CFCFB" w14:textId="77777777">
        <w:trPr>
          <w:tblHeader/>
        </w:trPr>
        <w:tc>
          <w:tcPr>
            <w:tcW w:w="5200"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6B2C5707" w14:textId="5FC8AAC5" w:rsidR="005F40DC" w:rsidRPr="00F951C7" w:rsidRDefault="00590F36" w:rsidP="008E4801">
            <w:pPr>
              <w:spacing w:after="120"/>
              <w:rPr>
                <w:lang w:val="en-GB"/>
              </w:rPr>
            </w:pPr>
            <w:r w:rsidRPr="00F951C7">
              <w:rPr>
                <w:b/>
                <w:bCs/>
                <w:color w:val="FFFFFF"/>
                <w:lang w:val="en-GB"/>
              </w:rPr>
              <w:t>Milestone</w:t>
            </w:r>
            <w:r w:rsidR="000A51F9">
              <w:rPr>
                <w:b/>
                <w:bCs/>
                <w:color w:val="FFFFFF"/>
                <w:lang w:val="en-GB"/>
              </w:rPr>
              <w:t>*</w:t>
            </w:r>
          </w:p>
        </w:tc>
        <w:tc>
          <w:tcPr>
            <w:tcW w:w="3826"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1F1394B7" w14:textId="77777777" w:rsidR="005F40DC" w:rsidRPr="00F951C7" w:rsidRDefault="00590F36" w:rsidP="008E4801">
            <w:pPr>
              <w:spacing w:after="120"/>
              <w:rPr>
                <w:lang w:val="en-GB"/>
              </w:rPr>
            </w:pPr>
            <w:r w:rsidRPr="00F951C7">
              <w:rPr>
                <w:b/>
                <w:bCs/>
                <w:color w:val="FFFFFF"/>
                <w:lang w:val="en-GB"/>
              </w:rPr>
              <w:t>Date</w:t>
            </w:r>
          </w:p>
        </w:tc>
      </w:tr>
      <w:tr w:rsidR="0078037C" w:rsidRPr="00F951C7" w14:paraId="16F4BB1D"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37C2147B" w14:textId="77777777" w:rsidR="005F40DC" w:rsidRPr="00F951C7" w:rsidRDefault="00590F36" w:rsidP="008E4801">
            <w:pPr>
              <w:spacing w:after="120"/>
              <w:rPr>
                <w:lang w:val="en-GB"/>
              </w:rPr>
            </w:pPr>
            <w:r w:rsidRPr="00F951C7">
              <w:rPr>
                <w:color w:val="333333"/>
                <w:lang w:val="en-GB"/>
              </w:rPr>
              <w:t>Call for proposals published</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B9890B8" w14:textId="07E82426" w:rsidR="005F40DC" w:rsidRPr="00F951C7" w:rsidRDefault="002623C9" w:rsidP="008E4801">
            <w:pPr>
              <w:spacing w:after="120"/>
              <w:rPr>
                <w:lang w:val="en-GB"/>
              </w:rPr>
            </w:pPr>
            <w:r>
              <w:rPr>
                <w:color w:val="333333"/>
                <w:lang w:val="en-GB"/>
              </w:rPr>
              <w:t>13</w:t>
            </w:r>
            <w:r w:rsidR="00590F36" w:rsidRPr="00F951C7">
              <w:rPr>
                <w:color w:val="333333"/>
                <w:lang w:val="en-GB"/>
              </w:rPr>
              <w:t xml:space="preserve"> March 2026</w:t>
            </w:r>
          </w:p>
        </w:tc>
      </w:tr>
      <w:tr w:rsidR="0078037C" w:rsidRPr="00F951C7" w14:paraId="6F580EC2"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5BAF9F6" w14:textId="77777777" w:rsidR="005F40DC" w:rsidRPr="00F951C7" w:rsidRDefault="00590F36" w:rsidP="008E4801">
            <w:pPr>
              <w:spacing w:after="120"/>
              <w:rPr>
                <w:lang w:val="en-GB"/>
              </w:rPr>
            </w:pPr>
            <w:r w:rsidRPr="00F951C7">
              <w:rPr>
                <w:color w:val="333333"/>
                <w:lang w:val="en-GB"/>
              </w:rPr>
              <w:t>Open period for questions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1143593" w14:textId="030921CC" w:rsidR="005F40DC" w:rsidRPr="00F951C7" w:rsidRDefault="00EA622A" w:rsidP="008E4801">
            <w:pPr>
              <w:spacing w:after="120"/>
              <w:rPr>
                <w:lang w:val="en-GB"/>
              </w:rPr>
            </w:pPr>
            <w:r>
              <w:rPr>
                <w:color w:val="333333"/>
                <w:lang w:val="en-GB"/>
              </w:rPr>
              <w:t>14 March</w:t>
            </w:r>
            <w:r w:rsidR="00590F36" w:rsidRPr="00F951C7">
              <w:rPr>
                <w:color w:val="333333"/>
                <w:lang w:val="en-GB"/>
              </w:rPr>
              <w:t>–</w:t>
            </w:r>
            <w:r w:rsidR="000526AA">
              <w:rPr>
                <w:color w:val="333333"/>
                <w:lang w:val="en-GB"/>
              </w:rPr>
              <w:t>10 April</w:t>
            </w:r>
            <w:r w:rsidR="00590F36" w:rsidRPr="00F951C7">
              <w:rPr>
                <w:color w:val="333333"/>
                <w:lang w:val="en-GB"/>
              </w:rPr>
              <w:t xml:space="preserve"> 2026</w:t>
            </w:r>
          </w:p>
        </w:tc>
      </w:tr>
      <w:tr w:rsidR="0078037C" w:rsidRPr="00F951C7" w14:paraId="253EE218"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03B17D3" w14:textId="77777777" w:rsidR="005F40DC" w:rsidRPr="00F951C7" w:rsidRDefault="00590F36" w:rsidP="008E4801">
            <w:pPr>
              <w:spacing w:after="120"/>
              <w:rPr>
                <w:lang w:val="en-GB"/>
              </w:rPr>
            </w:pPr>
            <w:r w:rsidRPr="00F951C7">
              <w:rPr>
                <w:color w:val="333333"/>
                <w:lang w:val="en-GB"/>
              </w:rPr>
              <w:t>Submission deadline</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160DA9FC" w14:textId="72177D7C" w:rsidR="005F40DC" w:rsidRPr="00F951C7" w:rsidRDefault="000526AA" w:rsidP="008E4801">
            <w:pPr>
              <w:spacing w:after="120"/>
              <w:rPr>
                <w:lang w:val="en-GB"/>
              </w:rPr>
            </w:pPr>
            <w:r>
              <w:rPr>
                <w:color w:val="333333"/>
                <w:lang w:val="en-GB"/>
              </w:rPr>
              <w:t>12</w:t>
            </w:r>
            <w:r w:rsidR="00590F36" w:rsidRPr="00F951C7">
              <w:rPr>
                <w:color w:val="333333"/>
                <w:lang w:val="en-GB"/>
              </w:rPr>
              <w:t xml:space="preserve"> April 2026</w:t>
            </w:r>
          </w:p>
        </w:tc>
      </w:tr>
      <w:tr w:rsidR="0078037C" w:rsidRPr="00F951C7" w14:paraId="58639824"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7874795F" w14:textId="77777777" w:rsidR="005F40DC" w:rsidRPr="00F951C7" w:rsidRDefault="00590F36" w:rsidP="008E4801">
            <w:pPr>
              <w:spacing w:after="120"/>
              <w:rPr>
                <w:lang w:val="en-GB"/>
              </w:rPr>
            </w:pPr>
            <w:r w:rsidRPr="00F951C7">
              <w:rPr>
                <w:color w:val="333333"/>
                <w:lang w:val="en-GB"/>
              </w:rPr>
              <w:t>Assessment of proposals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7613CBB" w14:textId="30A25F36" w:rsidR="005F40DC" w:rsidRPr="00F951C7" w:rsidRDefault="000526AA" w:rsidP="008E4801">
            <w:pPr>
              <w:spacing w:after="120"/>
              <w:rPr>
                <w:lang w:val="en-GB"/>
              </w:rPr>
            </w:pPr>
            <w:r>
              <w:rPr>
                <w:color w:val="333333"/>
                <w:lang w:val="en-GB"/>
              </w:rPr>
              <w:t>13</w:t>
            </w:r>
            <w:r w:rsidR="00F833B5">
              <w:rPr>
                <w:color w:val="333333"/>
                <w:lang w:val="en-GB"/>
              </w:rPr>
              <w:t xml:space="preserve"> April</w:t>
            </w:r>
            <w:r w:rsidR="00590F36" w:rsidRPr="00F951C7">
              <w:rPr>
                <w:color w:val="333333"/>
                <w:lang w:val="en-GB"/>
              </w:rPr>
              <w:t xml:space="preserve">–8 </w:t>
            </w:r>
            <w:r w:rsidR="00F833B5">
              <w:rPr>
                <w:color w:val="333333"/>
                <w:lang w:val="en-GB"/>
              </w:rPr>
              <w:t>May</w:t>
            </w:r>
            <w:r w:rsidR="00590F36" w:rsidRPr="00F951C7">
              <w:rPr>
                <w:color w:val="333333"/>
                <w:lang w:val="en-GB"/>
              </w:rPr>
              <w:t xml:space="preserve"> 2026</w:t>
            </w:r>
          </w:p>
        </w:tc>
      </w:tr>
      <w:tr w:rsidR="0078037C" w:rsidRPr="00F951C7" w14:paraId="6A6A316A"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7FD07E7B" w14:textId="77777777" w:rsidR="005F40DC" w:rsidRPr="00F951C7" w:rsidRDefault="00590F36" w:rsidP="008E4801">
            <w:pPr>
              <w:spacing w:after="120"/>
              <w:rPr>
                <w:lang w:val="en-GB"/>
              </w:rPr>
            </w:pPr>
            <w:r w:rsidRPr="00F951C7">
              <w:rPr>
                <w:color w:val="333333"/>
                <w:lang w:val="en-GB"/>
              </w:rPr>
              <w:t>Announcement of selected proposals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7C9139FA" w14:textId="23C1E05A" w:rsidR="005F40DC" w:rsidRPr="00F951C7" w:rsidRDefault="000A51F9" w:rsidP="008E4801">
            <w:pPr>
              <w:spacing w:after="120"/>
              <w:rPr>
                <w:lang w:val="en-GB"/>
              </w:rPr>
            </w:pPr>
            <w:r>
              <w:rPr>
                <w:color w:val="333333"/>
                <w:lang w:val="en-GB"/>
              </w:rPr>
              <w:t>11</w:t>
            </w:r>
            <w:r w:rsidR="00590F36" w:rsidRPr="00F951C7">
              <w:rPr>
                <w:color w:val="333333"/>
                <w:lang w:val="en-GB"/>
              </w:rPr>
              <w:t xml:space="preserve"> May 2026</w:t>
            </w:r>
          </w:p>
        </w:tc>
      </w:tr>
      <w:tr w:rsidR="0078037C" w:rsidRPr="00F951C7" w14:paraId="4953C035"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6F6AA9E" w14:textId="304C2BBF" w:rsidR="005F40DC" w:rsidRPr="00F951C7" w:rsidRDefault="00590F36" w:rsidP="008E4801">
            <w:pPr>
              <w:spacing w:after="120"/>
              <w:rPr>
                <w:lang w:val="en-GB"/>
              </w:rPr>
            </w:pPr>
            <w:r w:rsidRPr="00F951C7">
              <w:rPr>
                <w:color w:val="333333"/>
                <w:lang w:val="en-GB"/>
              </w:rPr>
              <w:t>Protocol development workshop</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FFC3395" w14:textId="0695EEA5" w:rsidR="005F40DC" w:rsidRPr="00F951C7" w:rsidRDefault="00986655" w:rsidP="006E3CED">
            <w:pPr>
              <w:tabs>
                <w:tab w:val="right" w:pos="3586"/>
              </w:tabs>
              <w:spacing w:after="120"/>
              <w:rPr>
                <w:lang w:val="en-GB"/>
              </w:rPr>
            </w:pPr>
            <w:r>
              <w:rPr>
                <w:color w:val="333333"/>
                <w:lang w:val="en-GB"/>
              </w:rPr>
              <w:t>One week in July</w:t>
            </w:r>
            <w:r w:rsidR="006E3CED">
              <w:rPr>
                <w:color w:val="333333"/>
                <w:lang w:val="en-GB"/>
              </w:rPr>
              <w:t xml:space="preserve"> 2026</w:t>
            </w:r>
            <w:r w:rsidR="006E3CED">
              <w:rPr>
                <w:color w:val="333333"/>
                <w:lang w:val="en-GB"/>
              </w:rPr>
              <w:tab/>
            </w:r>
          </w:p>
        </w:tc>
      </w:tr>
      <w:tr w:rsidR="0078037C" w:rsidRPr="00F951C7" w14:paraId="615082DB"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D018C5E" w14:textId="77777777" w:rsidR="005F40DC" w:rsidRPr="00F951C7" w:rsidRDefault="00590F36" w:rsidP="008E4801">
            <w:pPr>
              <w:spacing w:after="120"/>
              <w:rPr>
                <w:lang w:val="en-GB"/>
              </w:rPr>
            </w:pPr>
            <w:r w:rsidRPr="00F951C7">
              <w:rPr>
                <w:color w:val="333333"/>
                <w:lang w:val="en-GB"/>
              </w:rPr>
              <w:t>Submission for HRP/WHO scientific review</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F72C732" w14:textId="77777777" w:rsidR="005F40DC" w:rsidRPr="00F951C7" w:rsidRDefault="00590F36" w:rsidP="008E4801">
            <w:pPr>
              <w:spacing w:after="120"/>
              <w:rPr>
                <w:lang w:val="en-GB"/>
              </w:rPr>
            </w:pPr>
            <w:r w:rsidRPr="00F951C7">
              <w:rPr>
                <w:color w:val="333333"/>
                <w:lang w:val="en-GB"/>
              </w:rPr>
              <w:t>July – September 2026</w:t>
            </w:r>
          </w:p>
        </w:tc>
      </w:tr>
      <w:tr w:rsidR="0078037C" w:rsidRPr="00F951C7" w14:paraId="1B09CBA3"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8B90684" w14:textId="77777777" w:rsidR="005F40DC" w:rsidRPr="00F951C7" w:rsidRDefault="00590F36" w:rsidP="008E4801">
            <w:pPr>
              <w:spacing w:after="120"/>
              <w:rPr>
                <w:lang w:val="en-GB"/>
              </w:rPr>
            </w:pPr>
            <w:r w:rsidRPr="00F951C7">
              <w:rPr>
                <w:color w:val="333333"/>
                <w:lang w:val="en-GB"/>
              </w:rPr>
              <w:t>Ethics review (WHO and national/local)</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D3BD291" w14:textId="77777777" w:rsidR="005F40DC" w:rsidRPr="00F951C7" w:rsidRDefault="00590F36" w:rsidP="008E4801">
            <w:pPr>
              <w:spacing w:after="120"/>
              <w:rPr>
                <w:lang w:val="en-GB"/>
              </w:rPr>
            </w:pPr>
            <w:r w:rsidRPr="00F951C7">
              <w:rPr>
                <w:color w:val="333333"/>
                <w:lang w:val="en-GB"/>
              </w:rPr>
              <w:t>September – December 2026</w:t>
            </w:r>
          </w:p>
        </w:tc>
      </w:tr>
      <w:tr w:rsidR="0078037C" w:rsidRPr="00F951C7" w14:paraId="6AE2C114"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1D5E037" w14:textId="77777777" w:rsidR="005F40DC" w:rsidRPr="00F951C7" w:rsidRDefault="00590F36" w:rsidP="008E4801">
            <w:pPr>
              <w:spacing w:after="120"/>
              <w:rPr>
                <w:lang w:val="en-GB"/>
              </w:rPr>
            </w:pPr>
            <w:r w:rsidRPr="00F951C7">
              <w:rPr>
                <w:color w:val="333333"/>
                <w:lang w:val="en-GB"/>
              </w:rPr>
              <w:t>Start of data collection</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5077A11" w14:textId="77777777" w:rsidR="005F40DC" w:rsidRPr="00F951C7" w:rsidRDefault="00590F36" w:rsidP="008E4801">
            <w:pPr>
              <w:spacing w:after="120"/>
              <w:rPr>
                <w:lang w:val="en-GB"/>
              </w:rPr>
            </w:pPr>
            <w:r w:rsidRPr="00F951C7">
              <w:rPr>
                <w:color w:val="333333"/>
                <w:lang w:val="en-GB"/>
              </w:rPr>
              <w:t>December 2026</w:t>
            </w:r>
          </w:p>
        </w:tc>
      </w:tr>
      <w:tr w:rsidR="0078037C" w:rsidRPr="00F951C7" w14:paraId="76BEBC15"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816137B" w14:textId="7537129A" w:rsidR="005F40DC" w:rsidRPr="00F951C7" w:rsidRDefault="00590F36" w:rsidP="008E4801">
            <w:pPr>
              <w:spacing w:after="120"/>
              <w:rPr>
                <w:lang w:val="en-GB"/>
              </w:rPr>
            </w:pPr>
            <w:r w:rsidRPr="00F951C7">
              <w:rPr>
                <w:color w:val="333333"/>
                <w:lang w:val="en-GB"/>
              </w:rPr>
              <w:t>End of data collection</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1F608DD" w14:textId="4A36DC48" w:rsidR="005F40DC" w:rsidRPr="00F951C7" w:rsidRDefault="00F52282" w:rsidP="008E4801">
            <w:pPr>
              <w:spacing w:after="120"/>
              <w:rPr>
                <w:lang w:val="en-GB"/>
              </w:rPr>
            </w:pPr>
            <w:r w:rsidRPr="00F951C7">
              <w:rPr>
                <w:color w:val="333333"/>
                <w:lang w:val="en-GB"/>
              </w:rPr>
              <w:t>May 2027</w:t>
            </w:r>
          </w:p>
        </w:tc>
      </w:tr>
      <w:tr w:rsidR="0078037C" w:rsidRPr="00F951C7" w14:paraId="4F00CA91"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0E425B82" w14:textId="77777777" w:rsidR="005F40DC" w:rsidRPr="00F951C7" w:rsidRDefault="00590F36" w:rsidP="008E4801">
            <w:pPr>
              <w:spacing w:after="120"/>
              <w:rPr>
                <w:lang w:val="en-GB"/>
              </w:rPr>
            </w:pPr>
            <w:r w:rsidRPr="00F951C7">
              <w:rPr>
                <w:color w:val="333333"/>
                <w:lang w:val="en-GB"/>
              </w:rPr>
              <w:t>Data cleaning and analysis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2BD30AB" w14:textId="03B260C2" w:rsidR="005F40DC" w:rsidRPr="00F951C7" w:rsidRDefault="00F52282" w:rsidP="008E4801">
            <w:pPr>
              <w:spacing w:after="120"/>
              <w:rPr>
                <w:lang w:val="en-GB"/>
              </w:rPr>
            </w:pPr>
            <w:r w:rsidRPr="00F951C7">
              <w:rPr>
                <w:color w:val="333333"/>
                <w:lang w:val="en-GB"/>
              </w:rPr>
              <w:t>June – August 2027</w:t>
            </w:r>
          </w:p>
        </w:tc>
      </w:tr>
      <w:tr w:rsidR="0078037C" w:rsidRPr="00F951C7" w14:paraId="0FD4B873"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C67EA39" w14:textId="77777777" w:rsidR="005F40DC" w:rsidRPr="00F951C7" w:rsidRDefault="00590F36" w:rsidP="008E4801">
            <w:pPr>
              <w:spacing w:after="120"/>
              <w:rPr>
                <w:lang w:val="en-GB"/>
              </w:rPr>
            </w:pPr>
            <w:r w:rsidRPr="00F951C7">
              <w:rPr>
                <w:color w:val="333333"/>
                <w:lang w:val="en-GB"/>
              </w:rPr>
              <w:t>Dissemination activities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9918CD5" w14:textId="3F9CDF20" w:rsidR="005F40DC" w:rsidRPr="00F951C7" w:rsidRDefault="00F52282" w:rsidP="008E4801">
            <w:pPr>
              <w:spacing w:after="120"/>
              <w:rPr>
                <w:lang w:val="en-GB"/>
              </w:rPr>
            </w:pPr>
            <w:r w:rsidRPr="00F951C7">
              <w:rPr>
                <w:color w:val="333333"/>
                <w:lang w:val="en-GB"/>
              </w:rPr>
              <w:t>September – December 2027</w:t>
            </w:r>
          </w:p>
        </w:tc>
      </w:tr>
    </w:tbl>
    <w:p w14:paraId="6EB4CAEC" w14:textId="7EE82009" w:rsidR="005F40DC" w:rsidRPr="00F951C7" w:rsidRDefault="00C033B8" w:rsidP="008E4801">
      <w:pPr>
        <w:spacing w:after="120"/>
        <w:rPr>
          <w:sz w:val="16"/>
          <w:szCs w:val="16"/>
          <w:lang w:val="en-GB"/>
        </w:rPr>
      </w:pPr>
      <w:r w:rsidRPr="00F951C7">
        <w:rPr>
          <w:sz w:val="16"/>
          <w:szCs w:val="16"/>
          <w:lang w:val="en-GB"/>
        </w:rPr>
        <w:t>*Indicative, subject to change</w:t>
      </w:r>
    </w:p>
    <w:p w14:paraId="4B2B1CDD" w14:textId="77777777" w:rsidR="003E63FD" w:rsidRPr="00F951C7" w:rsidRDefault="003E63FD" w:rsidP="008E4801">
      <w:pPr>
        <w:pStyle w:val="Heading1"/>
        <w:rPr>
          <w:lang w:val="en-GB"/>
        </w:rPr>
      </w:pPr>
    </w:p>
    <w:p w14:paraId="28D9B3F3" w14:textId="6AFB7101" w:rsidR="005F40DC" w:rsidRPr="00F951C7" w:rsidRDefault="00590F36" w:rsidP="008E4801">
      <w:pPr>
        <w:pStyle w:val="Heading1"/>
        <w:rPr>
          <w:lang w:val="en-GB"/>
        </w:rPr>
      </w:pPr>
      <w:r w:rsidRPr="00F951C7">
        <w:rPr>
          <w:lang w:val="en-GB"/>
        </w:rPr>
        <w:t xml:space="preserve">10. Support </w:t>
      </w:r>
      <w:r w:rsidR="005A04E8" w:rsidRPr="00F951C7">
        <w:rPr>
          <w:lang w:val="en-GB"/>
        </w:rPr>
        <w:t>p</w:t>
      </w:r>
      <w:r w:rsidRPr="00F951C7">
        <w:rPr>
          <w:lang w:val="en-GB"/>
        </w:rPr>
        <w:t xml:space="preserve">rovided to </w:t>
      </w:r>
      <w:r w:rsidR="005A04E8" w:rsidRPr="00F951C7">
        <w:rPr>
          <w:lang w:val="en-GB"/>
        </w:rPr>
        <w:t>s</w:t>
      </w:r>
      <w:r w:rsidRPr="00F951C7">
        <w:rPr>
          <w:lang w:val="en-GB"/>
        </w:rPr>
        <w:t xml:space="preserve">elected </w:t>
      </w:r>
      <w:r w:rsidR="005A04E8" w:rsidRPr="00F951C7">
        <w:rPr>
          <w:lang w:val="en-GB"/>
        </w:rPr>
        <w:t>t</w:t>
      </w:r>
      <w:r w:rsidRPr="00F951C7">
        <w:rPr>
          <w:lang w:val="en-GB"/>
        </w:rPr>
        <w:t>eams</w:t>
      </w:r>
    </w:p>
    <w:p w14:paraId="42D940A0" w14:textId="1914DA30" w:rsidR="005F40DC" w:rsidRPr="00F951C7" w:rsidRDefault="00590F36" w:rsidP="008E4801">
      <w:pPr>
        <w:spacing w:before="60" w:after="120"/>
        <w:rPr>
          <w:lang w:val="en-GB"/>
        </w:rPr>
      </w:pPr>
      <w:r w:rsidRPr="00F951C7">
        <w:rPr>
          <w:color w:val="333333"/>
          <w:lang w:val="en-GB"/>
        </w:rPr>
        <w:t>All selected teams will have access to the following support</w:t>
      </w:r>
      <w:r w:rsidR="00381B7E" w:rsidRPr="00F951C7">
        <w:rPr>
          <w:color w:val="333333"/>
          <w:lang w:val="en-GB"/>
        </w:rPr>
        <w:t>:</w:t>
      </w:r>
    </w:p>
    <w:p w14:paraId="239121AE" w14:textId="7328E817" w:rsidR="005F40DC" w:rsidRPr="00F951C7" w:rsidRDefault="00381B7E" w:rsidP="008E4801">
      <w:pPr>
        <w:pStyle w:val="ListParagraph"/>
        <w:numPr>
          <w:ilvl w:val="0"/>
          <w:numId w:val="3"/>
        </w:numPr>
        <w:spacing w:before="40" w:after="120"/>
        <w:rPr>
          <w:lang w:val="en-GB"/>
        </w:rPr>
      </w:pPr>
      <w:r w:rsidRPr="00F951C7">
        <w:rPr>
          <w:color w:val="333333"/>
          <w:lang w:val="en-GB"/>
        </w:rPr>
        <w:t>Support to strengthen r</w:t>
      </w:r>
      <w:r w:rsidR="00590F36" w:rsidRPr="00F951C7">
        <w:rPr>
          <w:color w:val="333333"/>
          <w:lang w:val="en-GB"/>
        </w:rPr>
        <w:t xml:space="preserve">esearch capacity </w:t>
      </w:r>
      <w:r w:rsidRPr="00F951C7">
        <w:rPr>
          <w:color w:val="333333"/>
          <w:lang w:val="en-GB"/>
        </w:rPr>
        <w:t>of teams</w:t>
      </w:r>
      <w:r w:rsidR="000E6DB5" w:rsidRPr="00F951C7">
        <w:rPr>
          <w:color w:val="333333"/>
          <w:lang w:val="en-GB"/>
        </w:rPr>
        <w:t xml:space="preserve">, which can include access to specific </w:t>
      </w:r>
      <w:r w:rsidR="00590F36" w:rsidRPr="00F951C7">
        <w:rPr>
          <w:color w:val="333333"/>
          <w:lang w:val="en-GB"/>
        </w:rPr>
        <w:t xml:space="preserve">training </w:t>
      </w:r>
    </w:p>
    <w:p w14:paraId="11C5C4BD" w14:textId="47B1AA1E" w:rsidR="005F40DC" w:rsidRPr="00F951C7" w:rsidRDefault="00590F36" w:rsidP="008E4801">
      <w:pPr>
        <w:pStyle w:val="ListParagraph"/>
        <w:numPr>
          <w:ilvl w:val="0"/>
          <w:numId w:val="3"/>
        </w:numPr>
        <w:spacing w:before="40" w:after="120"/>
        <w:rPr>
          <w:lang w:val="en-GB"/>
        </w:rPr>
      </w:pPr>
      <w:r w:rsidRPr="00F951C7">
        <w:rPr>
          <w:color w:val="333333"/>
          <w:lang w:val="en-GB"/>
        </w:rPr>
        <w:t>Access to licensed data analysis software</w:t>
      </w:r>
    </w:p>
    <w:p w14:paraId="6B1946CC"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Linkage with WHO country offices for support during data collection, ethics navigation, and dissemination</w:t>
      </w:r>
    </w:p>
    <w:p w14:paraId="6827F0F3" w14:textId="77777777" w:rsidR="005F40DC" w:rsidRPr="00F951C7" w:rsidRDefault="00590F36" w:rsidP="008E4801">
      <w:pPr>
        <w:pStyle w:val="ListParagraph"/>
        <w:numPr>
          <w:ilvl w:val="0"/>
          <w:numId w:val="3"/>
        </w:numPr>
        <w:spacing w:before="40" w:after="120"/>
        <w:rPr>
          <w:lang w:val="en-GB"/>
        </w:rPr>
      </w:pPr>
      <w:r w:rsidRPr="00F951C7">
        <w:rPr>
          <w:color w:val="333333"/>
          <w:lang w:val="en-GB"/>
        </w:rPr>
        <w:t>Technical support in the development of community-facing research tools and consent processes</w:t>
      </w:r>
    </w:p>
    <w:p w14:paraId="08A9C1DB" w14:textId="01F31AAC" w:rsidR="003E63FD" w:rsidRPr="00F951C7" w:rsidRDefault="00590F36" w:rsidP="008E4801">
      <w:pPr>
        <w:pStyle w:val="ListParagraph"/>
        <w:numPr>
          <w:ilvl w:val="0"/>
          <w:numId w:val="3"/>
        </w:numPr>
        <w:spacing w:before="40" w:after="120"/>
        <w:rPr>
          <w:lang w:val="en-GB"/>
        </w:rPr>
      </w:pPr>
      <w:r w:rsidRPr="00F951C7">
        <w:rPr>
          <w:color w:val="333333"/>
          <w:lang w:val="en-GB"/>
        </w:rPr>
        <w:t>Facilitated cross-country exchange with other selected teams throughout the study period</w:t>
      </w:r>
    </w:p>
    <w:p w14:paraId="1B6EB47F" w14:textId="77777777" w:rsidR="00475D04" w:rsidRPr="00F951C7" w:rsidRDefault="00475D04" w:rsidP="008E4801">
      <w:pPr>
        <w:pStyle w:val="Heading1"/>
        <w:rPr>
          <w:lang w:val="en-GB"/>
        </w:rPr>
      </w:pPr>
    </w:p>
    <w:p w14:paraId="3C003E6C" w14:textId="77777777" w:rsidR="00475D04" w:rsidRPr="00F951C7" w:rsidRDefault="00475D04" w:rsidP="008E4801">
      <w:pPr>
        <w:pStyle w:val="Heading1"/>
        <w:rPr>
          <w:lang w:val="en-GB"/>
        </w:rPr>
      </w:pPr>
    </w:p>
    <w:p w14:paraId="514FF8DF" w14:textId="77777777" w:rsidR="00475D04" w:rsidRPr="00F951C7" w:rsidRDefault="00475D04" w:rsidP="008E4801">
      <w:pPr>
        <w:pStyle w:val="Heading1"/>
        <w:rPr>
          <w:lang w:val="en-GB"/>
        </w:rPr>
      </w:pPr>
    </w:p>
    <w:p w14:paraId="4000F6CC" w14:textId="5ABDFD97" w:rsidR="005F40DC" w:rsidRPr="00F951C7" w:rsidRDefault="00590F36" w:rsidP="008E4801">
      <w:pPr>
        <w:pStyle w:val="Heading1"/>
        <w:rPr>
          <w:lang w:val="en-GB"/>
        </w:rPr>
      </w:pPr>
      <w:r w:rsidRPr="00F951C7">
        <w:rPr>
          <w:lang w:val="en-GB"/>
        </w:rPr>
        <w:lastRenderedPageBreak/>
        <w:t xml:space="preserve">11. Legal </w:t>
      </w:r>
      <w:r w:rsidR="005A04E8" w:rsidRPr="00F951C7">
        <w:rPr>
          <w:lang w:val="en-GB"/>
        </w:rPr>
        <w:t>n</w:t>
      </w:r>
      <w:r w:rsidRPr="00F951C7">
        <w:rPr>
          <w:lang w:val="en-GB"/>
        </w:rPr>
        <w:t>otice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F951C7" w14:paraId="4FDF36BF" w14:textId="77777777">
        <w:tc>
          <w:tcPr>
            <w:tcW w:w="0" w:type="auto"/>
            <w:tcBorders>
              <w:top w:val="single" w:sz="6" w:space="0" w:color="888888"/>
              <w:left w:val="single" w:sz="6" w:space="0" w:color="888888"/>
              <w:bottom w:val="single" w:sz="6" w:space="0" w:color="888888"/>
              <w:right w:val="single" w:sz="6" w:space="0" w:color="888888"/>
            </w:tcBorders>
            <w:shd w:val="clear" w:color="auto" w:fill="F5F5F5"/>
            <w:tcMar>
              <w:top w:w="160" w:type="dxa"/>
              <w:left w:w="200" w:type="dxa"/>
              <w:bottom w:w="160" w:type="dxa"/>
              <w:right w:w="200" w:type="dxa"/>
            </w:tcMar>
          </w:tcPr>
          <w:p w14:paraId="0008D724" w14:textId="77777777" w:rsidR="005F40DC" w:rsidRPr="00F951C7" w:rsidRDefault="00590F36" w:rsidP="008E4801">
            <w:pPr>
              <w:spacing w:after="120"/>
              <w:rPr>
                <w:lang w:val="en-GB"/>
              </w:rPr>
            </w:pPr>
            <w:r w:rsidRPr="00F951C7">
              <w:rPr>
                <w:color w:val="555555"/>
                <w:sz w:val="18"/>
                <w:szCs w:val="18"/>
                <w:lang w:val="en-GB"/>
              </w:rPr>
              <w:t>WHO/HRP is acting in good faith by issuing this call for proposals. However, this document does not obligate WHO to contract for the performance of any work, nor does it commit WHO to pay any costs incurred in the preparation of a proposal. WHO/HRP reserves the right to accept or reject any proposal, to annul the process, and to reject all proposals at any time prior to award of a grant, without thereby incurring any liability to the affected applicants.</w:t>
            </w:r>
          </w:p>
          <w:p w14:paraId="6E322A2F" w14:textId="77777777" w:rsidR="005F40DC" w:rsidRPr="00F951C7" w:rsidRDefault="00590F36" w:rsidP="008E4801">
            <w:pPr>
              <w:spacing w:after="120"/>
              <w:rPr>
                <w:lang w:val="en-GB"/>
              </w:rPr>
            </w:pPr>
            <w:r w:rsidRPr="00F951C7">
              <w:rPr>
                <w:color w:val="555555"/>
                <w:sz w:val="18"/>
                <w:szCs w:val="18"/>
                <w:lang w:val="en-GB"/>
              </w:rPr>
              <w:t>Information provided in proposals will be used solely for the purpose of evaluating applications under this call. WHO will handle all proposal information in accordance with its Information Disclosure Policy. Proposal content may be shared, on a confidential basis, with external reviewers engaged to assess technical quality.</w:t>
            </w:r>
          </w:p>
          <w:p w14:paraId="1589506E" w14:textId="77777777" w:rsidR="005F40DC" w:rsidRPr="00F951C7" w:rsidRDefault="00590F36" w:rsidP="008E4801">
            <w:pPr>
              <w:spacing w:after="120"/>
              <w:rPr>
                <w:lang w:val="en-GB"/>
              </w:rPr>
            </w:pPr>
            <w:r w:rsidRPr="00F951C7">
              <w:rPr>
                <w:color w:val="555555"/>
                <w:sz w:val="18"/>
                <w:szCs w:val="18"/>
                <w:lang w:val="en-GB"/>
              </w:rPr>
              <w:t>This call does not constitute a contractual offer or commitment by WHO. Any grant awarded under this call will be governed by the terms of a formal grant agreement to be concluded between WHO and the selected institution.</w:t>
            </w:r>
          </w:p>
        </w:tc>
      </w:tr>
    </w:tbl>
    <w:p w14:paraId="41440C5D" w14:textId="77777777" w:rsidR="005F40DC" w:rsidRPr="00F951C7" w:rsidRDefault="005F40DC" w:rsidP="008E4801">
      <w:pPr>
        <w:spacing w:after="120"/>
        <w:rPr>
          <w:lang w:val="en-GB"/>
        </w:rPr>
      </w:pPr>
    </w:p>
    <w:p w14:paraId="7FAA50B1" w14:textId="3E0B2BF3" w:rsidR="00C049A4" w:rsidRPr="00F951C7" w:rsidRDefault="00C049A4" w:rsidP="008E4801">
      <w:pPr>
        <w:pStyle w:val="Heading1"/>
        <w:rPr>
          <w:lang w:val="en-GB"/>
        </w:rPr>
      </w:pPr>
      <w:r w:rsidRPr="00F951C7">
        <w:rPr>
          <w:lang w:val="en-GB"/>
        </w:rPr>
        <w:t>References</w:t>
      </w:r>
    </w:p>
    <w:p w14:paraId="5025732B" w14:textId="77777777" w:rsidR="00D544EF" w:rsidRPr="00F951C7" w:rsidRDefault="00C049A4" w:rsidP="00D544EF">
      <w:pPr>
        <w:pStyle w:val="Bibliography"/>
        <w:rPr>
          <w:lang w:val="en-GB"/>
        </w:rPr>
      </w:pPr>
      <w:r w:rsidRPr="00F951C7">
        <w:rPr>
          <w:lang w:val="en-GB"/>
        </w:rPr>
        <w:fldChar w:fldCharType="begin"/>
      </w:r>
      <w:r w:rsidR="005B7E20" w:rsidRPr="00F951C7">
        <w:rPr>
          <w:lang w:val="en-GB"/>
        </w:rPr>
        <w:instrText xml:space="preserve"> ADDIN ZOTERO_BIBL {"uncited":[],"omitted":[],"custom":[]} CSL_BIBLIOGRAPHY </w:instrText>
      </w:r>
      <w:r w:rsidRPr="00F951C7">
        <w:rPr>
          <w:lang w:val="en-GB"/>
        </w:rPr>
        <w:fldChar w:fldCharType="separate"/>
      </w:r>
      <w:r w:rsidR="00D544EF" w:rsidRPr="00F951C7">
        <w:rPr>
          <w:lang w:val="en-GB"/>
        </w:rPr>
        <w:t>1. Climate change - Fact sheet [Internet]. [cited 2025 Mar 17]. https://www.who.int/news-room/fact-sheets/detail/climate-change-and-health. Accessed 17 Mar 2025</w:t>
      </w:r>
    </w:p>
    <w:p w14:paraId="47C019F4" w14:textId="77777777" w:rsidR="00D544EF" w:rsidRPr="00F951C7" w:rsidRDefault="00D544EF" w:rsidP="00D544EF">
      <w:pPr>
        <w:pStyle w:val="Bibliography"/>
        <w:rPr>
          <w:lang w:val="en-GB"/>
        </w:rPr>
      </w:pPr>
      <w:r w:rsidRPr="00F951C7">
        <w:rPr>
          <w:lang w:val="en-GB"/>
        </w:rPr>
        <w:t xml:space="preserve">2. World Health Organization. COP29 special report on climate change and health: Health is the argument for climate action. Geneva: World Health Organization; 2024. </w:t>
      </w:r>
    </w:p>
    <w:p w14:paraId="2FB07D9C" w14:textId="77777777" w:rsidR="00D544EF" w:rsidRPr="00F951C7" w:rsidRDefault="00D544EF" w:rsidP="00D544EF">
      <w:pPr>
        <w:pStyle w:val="Bibliography"/>
        <w:rPr>
          <w:lang w:val="en-GB"/>
        </w:rPr>
      </w:pPr>
      <w:r w:rsidRPr="00F951C7">
        <w:rPr>
          <w:lang w:val="en-GB"/>
        </w:rPr>
        <w:t>3. Arunda MO, Sorcher R, Canabarro APF, Svallfors S, Endler M, Gemzell-Danielsson K, et al. Climate change and sexual and reproductive health and rights research in low-income and middle-income countries: a scoping review. BMJ Public Health [Internet]. BMJ Publishing Group Ltd; 2024 [cited 2024 Sept 19];2. https://doi.org/10.1136/bmjph-2024-001090</w:t>
      </w:r>
    </w:p>
    <w:p w14:paraId="20CF8697" w14:textId="77777777" w:rsidR="00D544EF" w:rsidRPr="00F951C7" w:rsidRDefault="00D544EF" w:rsidP="00D544EF">
      <w:pPr>
        <w:pStyle w:val="Bibliography"/>
        <w:rPr>
          <w:lang w:val="en-GB"/>
        </w:rPr>
      </w:pPr>
      <w:r w:rsidRPr="00F951C7">
        <w:rPr>
          <w:lang w:val="en-GB"/>
        </w:rPr>
        <w:t>4. Conway F, Portela A, Filippi V, Chou D, Kovats S. Climate change, air pollution and maternal and newborn health: An overview of reviews of health outcomes. JOGH [Internet]. 2024 [cited 2024 Aug 5];14. https://doi.org/10.7189/jogh.14.04128</w:t>
      </w:r>
    </w:p>
    <w:p w14:paraId="546B1C2E" w14:textId="77777777" w:rsidR="00D544EF" w:rsidRPr="00F951C7" w:rsidRDefault="00D544EF" w:rsidP="00D544EF">
      <w:pPr>
        <w:pStyle w:val="Bibliography"/>
        <w:rPr>
          <w:lang w:val="en-GB"/>
        </w:rPr>
      </w:pPr>
      <w:r w:rsidRPr="00F951C7">
        <w:rPr>
          <w:lang w:val="en-GB"/>
        </w:rPr>
        <w:t>5. Logie CH, Toccalino D, MacKenzie F, Hasham A, Narasimhan M, Donkers H, et al. Associations between climate change-related factors and sexual health: A scoping review. Glob Public Health. Taylor &amp; Francis; 2024;19:2299718. https://doi.org/10.1080/17441692.2023.2299718</w:t>
      </w:r>
    </w:p>
    <w:p w14:paraId="2C24FBEF" w14:textId="77777777" w:rsidR="00D544EF" w:rsidRPr="00F951C7" w:rsidRDefault="00D544EF" w:rsidP="00D544EF">
      <w:pPr>
        <w:pStyle w:val="Bibliography"/>
        <w:rPr>
          <w:lang w:val="en-GB"/>
        </w:rPr>
      </w:pPr>
      <w:r w:rsidRPr="00F951C7">
        <w:rPr>
          <w:lang w:val="en-GB"/>
        </w:rPr>
        <w:t>6. World Health Organization, UNICEF, UNFPA, PMNCH. Protecting maternal, newborn and child health from the impacts of climate change: A call for action [Internet]. https://www.who.int/publications/i/item/9789240085350. Accessed 7 Aug 2024</w:t>
      </w:r>
    </w:p>
    <w:p w14:paraId="21E1D6E5" w14:textId="77777777" w:rsidR="00D544EF" w:rsidRPr="002623C9" w:rsidRDefault="00D544EF" w:rsidP="00D544EF">
      <w:pPr>
        <w:pStyle w:val="Bibliography"/>
        <w:rPr>
          <w:lang w:val="pt-BR"/>
        </w:rPr>
      </w:pPr>
      <w:r w:rsidRPr="00F951C7">
        <w:rPr>
          <w:lang w:val="en-GB"/>
        </w:rPr>
        <w:t xml:space="preserve">7. Sexual and Reproductive Health and Rights and Climate Change Delphi Consensus Building Group. Research priorities in sexual and reproductive health and rights and climate change: results of a consensus building and prioritisation process. </w:t>
      </w:r>
      <w:r w:rsidRPr="002623C9">
        <w:rPr>
          <w:lang w:val="pt-BR"/>
        </w:rPr>
        <w:t xml:space="preserve">PLOS Clim. </w:t>
      </w:r>
    </w:p>
    <w:p w14:paraId="6FFDC536" w14:textId="77777777" w:rsidR="00D544EF" w:rsidRPr="00F951C7" w:rsidRDefault="00D544EF" w:rsidP="00D544EF">
      <w:pPr>
        <w:pStyle w:val="Bibliography"/>
        <w:rPr>
          <w:lang w:val="en-GB"/>
        </w:rPr>
      </w:pPr>
      <w:r w:rsidRPr="002623C9">
        <w:rPr>
          <w:lang w:val="pt-BR"/>
        </w:rPr>
        <w:t xml:space="preserve">8. Sorcher R, Arunda MO, Ajayi AI, Alger J, Ali M, Allen E, et al. </w:t>
      </w:r>
      <w:r w:rsidRPr="00F951C7">
        <w:rPr>
          <w:lang w:val="en-GB"/>
        </w:rPr>
        <w:t>Key considerations for research into how climate change affects sexual and reproductive health and rights. Lancet Planet Health. Elsevier; 2024;8:e347–8. https://doi.org/10.1016/S2542-5196(24)00093-7</w:t>
      </w:r>
    </w:p>
    <w:p w14:paraId="7583A765" w14:textId="77777777" w:rsidR="00D544EF" w:rsidRPr="00F951C7" w:rsidRDefault="00D544EF" w:rsidP="00D544EF">
      <w:pPr>
        <w:pStyle w:val="Bibliography"/>
        <w:rPr>
          <w:lang w:val="en-GB"/>
        </w:rPr>
      </w:pPr>
      <w:r w:rsidRPr="00F951C7">
        <w:rPr>
          <w:lang w:val="en-GB"/>
        </w:rPr>
        <w:t>9. Health at the heart of national adaptation planning: a global review of national adaptation plans and health national adaptation plans [Internet]. Geneva: World Health Organization; 2025. https://www.who.int/publications/i/item/9789240118447. Accessed 26 Feb 2026</w:t>
      </w:r>
    </w:p>
    <w:p w14:paraId="56B9B46B" w14:textId="77777777" w:rsidR="00D544EF" w:rsidRPr="00F951C7" w:rsidRDefault="00D544EF" w:rsidP="00D544EF">
      <w:pPr>
        <w:pStyle w:val="Bibliography"/>
        <w:rPr>
          <w:lang w:val="en-GB"/>
        </w:rPr>
      </w:pPr>
      <w:r w:rsidRPr="00F951C7">
        <w:rPr>
          <w:lang w:val="en-GB"/>
        </w:rPr>
        <w:t>10. Alagarajah J, Beeman A, Brown M, Aibe S, Fuchs NR, Gibbs T. Sexual and Reproductive Health and Rights in National Adaptation Plan &amp; Health National Adaptation Plans: A Global Review [Internet]. YLabs; 2024. https://climate-srhr.org/s/AGlobalReview-ClimatexSRHR-Ylabs.pdf</w:t>
      </w:r>
    </w:p>
    <w:p w14:paraId="2D4B47E9" w14:textId="77777777" w:rsidR="00D544EF" w:rsidRPr="00F951C7" w:rsidRDefault="00D544EF" w:rsidP="00D544EF">
      <w:pPr>
        <w:pStyle w:val="Bibliography"/>
        <w:rPr>
          <w:lang w:val="en-GB"/>
        </w:rPr>
      </w:pPr>
      <w:r w:rsidRPr="00F951C7">
        <w:rPr>
          <w:lang w:val="en-GB"/>
        </w:rPr>
        <w:lastRenderedPageBreak/>
        <w:t>11. Israel BA, Schulz AJ, Parker EA, Becker AB. Review of community-based research: assessing partnership approaches to improve public health. Annu Rev Public Health. 1998;19:173–202. https://doi.org/10.1146/annurev.publhealth.19.1.173</w:t>
      </w:r>
    </w:p>
    <w:p w14:paraId="3C1283B8" w14:textId="77777777" w:rsidR="00D544EF" w:rsidRPr="00F951C7" w:rsidRDefault="00D544EF" w:rsidP="00D544EF">
      <w:pPr>
        <w:pStyle w:val="Bibliography"/>
        <w:rPr>
          <w:lang w:val="en-GB"/>
        </w:rPr>
      </w:pPr>
      <w:r w:rsidRPr="00F951C7">
        <w:rPr>
          <w:lang w:val="en-GB"/>
        </w:rPr>
        <w:t xml:space="preserve">12. Minkler M, Wallerstein N, editors. Community-Based Participatory Research for Health: From Process to Outcomes. 2nd ed. San Francisco: Jossey-Bass; 2008. </w:t>
      </w:r>
    </w:p>
    <w:p w14:paraId="2D540E06" w14:textId="77777777" w:rsidR="00D544EF" w:rsidRPr="00F951C7" w:rsidRDefault="00D544EF" w:rsidP="00D544EF">
      <w:pPr>
        <w:pStyle w:val="Bibliography"/>
        <w:rPr>
          <w:lang w:val="en-GB"/>
        </w:rPr>
      </w:pPr>
      <w:r w:rsidRPr="00F951C7">
        <w:rPr>
          <w:lang w:val="en-GB"/>
        </w:rPr>
        <w:t>13. Wallerstein N, Duran B. Community-based participatory research contributions to intervention research: the intersection of science and practice to improve health equity. Am J Public Health. 2010;100 Suppl 1:S40-46. https://doi.org/10.2105/AJPH.2009.184036</w:t>
      </w:r>
    </w:p>
    <w:p w14:paraId="0CAAD067" w14:textId="77777777" w:rsidR="00D544EF" w:rsidRPr="00F951C7" w:rsidRDefault="00D544EF" w:rsidP="00D544EF">
      <w:pPr>
        <w:pStyle w:val="Bibliography"/>
        <w:rPr>
          <w:lang w:val="en-GB"/>
        </w:rPr>
      </w:pPr>
      <w:r w:rsidRPr="00F951C7">
        <w:rPr>
          <w:lang w:val="en-GB"/>
        </w:rPr>
        <w:t>14. Cargo M, Mercer SL. The value and challenges of participatory research: strengthening its practice. Annu Rev Public Health. 2008;29:325–50. https://doi.org/10.1146/annurev.publhealth.29.091307.083824</w:t>
      </w:r>
    </w:p>
    <w:p w14:paraId="1009B931" w14:textId="77777777" w:rsidR="00D544EF" w:rsidRPr="00F951C7" w:rsidRDefault="00D544EF" w:rsidP="00D544EF">
      <w:pPr>
        <w:pStyle w:val="Bibliography"/>
        <w:rPr>
          <w:lang w:val="en-GB"/>
        </w:rPr>
      </w:pPr>
      <w:r w:rsidRPr="00F951C7">
        <w:rPr>
          <w:lang w:val="en-GB"/>
        </w:rPr>
        <w:t>15. Wang C, Burris MA. Photovoice: concept, methodology, and use for participatory needs assessment. Health Educ Behav. 1997;24:369–87. https://doi.org/10.1177/109019819702400309</w:t>
      </w:r>
    </w:p>
    <w:p w14:paraId="60124200" w14:textId="77777777" w:rsidR="00D544EF" w:rsidRPr="00F951C7" w:rsidRDefault="00D544EF" w:rsidP="00D544EF">
      <w:pPr>
        <w:pStyle w:val="Bibliography"/>
        <w:rPr>
          <w:lang w:val="en-GB"/>
        </w:rPr>
      </w:pPr>
      <w:r w:rsidRPr="00F951C7">
        <w:rPr>
          <w:lang w:val="en-GB"/>
        </w:rPr>
        <w:t>16. Wang CC, Pies CA. Family, maternal, and child health through photovoice. Matern Child Health J. 2004;8:95–102. https://doi.org/10.1023/b:maci.0000025732.32293.4f</w:t>
      </w:r>
    </w:p>
    <w:p w14:paraId="377AD27E" w14:textId="77777777" w:rsidR="00D544EF" w:rsidRPr="00F951C7" w:rsidRDefault="00D544EF" w:rsidP="00D544EF">
      <w:pPr>
        <w:pStyle w:val="Bibliography"/>
        <w:rPr>
          <w:lang w:val="en-GB"/>
        </w:rPr>
      </w:pPr>
      <w:r w:rsidRPr="00F951C7">
        <w:rPr>
          <w:lang w:val="en-GB"/>
        </w:rPr>
        <w:t>17. Palmeiro-Silva Y, Nyamwanza A, Vu AN. Participatory research and community engagement in climate and health research. Bulletin of the World Health Organization; 2026;104:206–8. https://doi.org/10.2471/BLT.25.294164</w:t>
      </w:r>
    </w:p>
    <w:p w14:paraId="7DE9F31A" w14:textId="77777777" w:rsidR="00D544EF" w:rsidRPr="00F951C7" w:rsidRDefault="00D544EF" w:rsidP="00D544EF">
      <w:pPr>
        <w:pStyle w:val="Bibliography"/>
        <w:rPr>
          <w:lang w:val="en-GB"/>
        </w:rPr>
      </w:pPr>
      <w:r w:rsidRPr="00F951C7">
        <w:rPr>
          <w:lang w:val="en-GB"/>
        </w:rPr>
        <w:t>18. Duea SR, Zimmerman EB, Vaughn LM, Dias S, Harris J. A Guide to Selecting Participatory Research Methods Based on Project and Partnership Goals. J Particip Res Methods. 2022;3. https://doi.org/10.35844/001c.32605</w:t>
      </w:r>
    </w:p>
    <w:p w14:paraId="132029A7" w14:textId="77777777" w:rsidR="00D544EF" w:rsidRPr="00F951C7" w:rsidRDefault="00D544EF" w:rsidP="00D544EF">
      <w:pPr>
        <w:pStyle w:val="Bibliography"/>
        <w:rPr>
          <w:lang w:val="en-GB"/>
        </w:rPr>
      </w:pPr>
      <w:r w:rsidRPr="00F951C7">
        <w:rPr>
          <w:lang w:val="en-GB"/>
        </w:rPr>
        <w:t xml:space="preserve">19. Zampas C, Nihlén Å. The state of international human rights law on sexual and reproductive health: an overview. Health Hum Rights. 2025;27:291–304. </w:t>
      </w:r>
    </w:p>
    <w:p w14:paraId="53EAB339" w14:textId="77777777" w:rsidR="00D544EF" w:rsidRPr="00F951C7" w:rsidRDefault="00D544EF" w:rsidP="00D544EF">
      <w:pPr>
        <w:pStyle w:val="Bibliography"/>
        <w:rPr>
          <w:lang w:val="en-GB"/>
        </w:rPr>
      </w:pPr>
      <w:r w:rsidRPr="00F951C7">
        <w:rPr>
          <w:lang w:val="en-GB"/>
        </w:rPr>
        <w:t>20. UNFPA. Elevating rights and choices for all: guidance note for applying a human rights-based approach to programming [Internet]. New York: UNFPA; 2020. https://www.unfpa.org/sites/default/files/pub-pdf/2020_HRBA_guidance.pdf</w:t>
      </w:r>
    </w:p>
    <w:p w14:paraId="6DEA7D74" w14:textId="77777777" w:rsidR="00D544EF" w:rsidRPr="00F951C7" w:rsidRDefault="00D544EF" w:rsidP="00D544EF">
      <w:pPr>
        <w:pStyle w:val="Bibliography"/>
        <w:rPr>
          <w:lang w:val="en-GB"/>
        </w:rPr>
      </w:pPr>
      <w:r w:rsidRPr="00F951C7">
        <w:rPr>
          <w:lang w:val="en-GB"/>
        </w:rPr>
        <w:t>21. Kaijser A, Kronsell A. Climate change through the lens of intersectionality. Environ Polit. Routledge; 2014;23:417–33. https://doi.org/10.1080/09644016.2013.835203</w:t>
      </w:r>
    </w:p>
    <w:p w14:paraId="57DBAC9F" w14:textId="77777777" w:rsidR="00D544EF" w:rsidRPr="00F951C7" w:rsidRDefault="00D544EF" w:rsidP="00D544EF">
      <w:pPr>
        <w:pStyle w:val="Bibliography"/>
        <w:rPr>
          <w:lang w:val="en-GB"/>
        </w:rPr>
      </w:pPr>
      <w:r w:rsidRPr="00F951C7">
        <w:rPr>
          <w:lang w:val="en-GB"/>
        </w:rPr>
        <w:t>22. Larson E, George A, Morgan R, Poteat T. 10 Best resources on… intersectionality with an emphasis on low- and middle-income countries. Health Policy Plan. 2016;31:964–9. https://doi.org/10.1093/heapol/czw020</w:t>
      </w:r>
    </w:p>
    <w:p w14:paraId="217A35BE" w14:textId="77777777" w:rsidR="00D544EF" w:rsidRPr="00F951C7" w:rsidRDefault="00D544EF" w:rsidP="00D544EF">
      <w:pPr>
        <w:pStyle w:val="Bibliography"/>
        <w:rPr>
          <w:lang w:val="en-GB"/>
        </w:rPr>
      </w:pPr>
      <w:r w:rsidRPr="00F951C7">
        <w:rPr>
          <w:lang w:val="en-GB"/>
        </w:rPr>
        <w:t>23. Parry L, Radel C, Adamo SB, Clark N, Counterman M, Flores-Yeffal N, et al. The (in)visible health risks of climate change. Soc Sci Med. 2019;241:112448. https://doi.org/10.1016/j.socscimed.2019.112448</w:t>
      </w:r>
    </w:p>
    <w:p w14:paraId="686C75AA" w14:textId="77777777" w:rsidR="00D544EF" w:rsidRPr="00F951C7" w:rsidRDefault="00D544EF" w:rsidP="00D544EF">
      <w:pPr>
        <w:pStyle w:val="Bibliography"/>
        <w:rPr>
          <w:lang w:val="en-GB"/>
        </w:rPr>
      </w:pPr>
      <w:r w:rsidRPr="00F951C7">
        <w:rPr>
          <w:lang w:val="en-GB"/>
        </w:rPr>
        <w:t>24. Sasser JS. At the intersection of climate justice and reproductive justice. WIREs Clim Change. 2024;15:e860. https://doi.org/10.1002/wcc.860</w:t>
      </w:r>
    </w:p>
    <w:p w14:paraId="6A9B107E" w14:textId="23EAEB14" w:rsidR="005F40DC" w:rsidRPr="00F951C7" w:rsidRDefault="00C049A4" w:rsidP="00D544EF">
      <w:pPr>
        <w:pStyle w:val="Bibliography"/>
        <w:rPr>
          <w:lang w:val="en-GB"/>
        </w:rPr>
      </w:pPr>
      <w:r w:rsidRPr="00F951C7">
        <w:rPr>
          <w:lang w:val="en-GB"/>
        </w:rPr>
        <w:fldChar w:fldCharType="end"/>
      </w:r>
      <w:r w:rsidRPr="00F951C7">
        <w:rPr>
          <w:lang w:val="en-GB"/>
        </w:rPr>
        <w:br w:type="page"/>
      </w:r>
    </w:p>
    <w:p w14:paraId="382F27F7" w14:textId="77777777" w:rsidR="00C049A4" w:rsidRPr="00F951C7" w:rsidRDefault="00C049A4" w:rsidP="008E4801">
      <w:pPr>
        <w:pStyle w:val="Heading1"/>
        <w:rPr>
          <w:lang w:val="en-GB"/>
        </w:rPr>
      </w:pPr>
      <w:r w:rsidRPr="00F951C7">
        <w:rPr>
          <w:lang w:val="en-GB"/>
        </w:rPr>
        <w:lastRenderedPageBreak/>
        <w:t>Appendix 1: Further guidance for applicants</w:t>
      </w:r>
    </w:p>
    <w:p w14:paraId="041CEDF9" w14:textId="77777777" w:rsidR="00C049A4" w:rsidRPr="00F951C7" w:rsidRDefault="00C049A4" w:rsidP="008E4801">
      <w:pPr>
        <w:spacing w:before="60" w:after="120"/>
        <w:rPr>
          <w:lang w:val="en-GB"/>
        </w:rPr>
      </w:pPr>
      <w:r w:rsidRPr="00F951C7">
        <w:rPr>
          <w:color w:val="333333"/>
          <w:lang w:val="en-GB"/>
        </w:rPr>
        <w:t>This appendix provides supplementary guidance on methodological requirements. It is intended as a resource and does not add requirements beyond those stated in Section 3.</w:t>
      </w:r>
    </w:p>
    <w:p w14:paraId="64E2289F" w14:textId="77777777" w:rsidR="00C049A4" w:rsidRPr="00F951C7" w:rsidRDefault="00C049A4" w:rsidP="008E4801">
      <w:pPr>
        <w:spacing w:after="120"/>
        <w:rPr>
          <w:lang w:val="en-GB"/>
        </w:rPr>
      </w:pPr>
    </w:p>
    <w:p w14:paraId="533D3A52" w14:textId="77777777" w:rsidR="00C049A4" w:rsidRPr="00F951C7" w:rsidRDefault="00C049A4" w:rsidP="008E4801">
      <w:pPr>
        <w:pStyle w:val="Heading2"/>
        <w:pBdr>
          <w:bottom w:val="single" w:sz="2" w:space="4" w:color="CCCCCC"/>
        </w:pBdr>
        <w:spacing w:after="120"/>
        <w:rPr>
          <w:lang w:val="en-GB"/>
        </w:rPr>
      </w:pPr>
      <w:r w:rsidRPr="00F951C7">
        <w:rPr>
          <w:lang w:val="en-GB"/>
        </w:rPr>
        <w:t>Participatory research: governance frameworks</w:t>
      </w:r>
    </w:p>
    <w:p w14:paraId="6EF33E78" w14:textId="306CB712" w:rsidR="00C049A4" w:rsidRPr="00F951C7" w:rsidRDefault="00C049A4" w:rsidP="008E4801">
      <w:pPr>
        <w:spacing w:before="60" w:after="120"/>
        <w:rPr>
          <w:lang w:val="en-GB"/>
        </w:rPr>
      </w:pPr>
      <w:r w:rsidRPr="00F951C7">
        <w:rPr>
          <w:color w:val="333333"/>
          <w:lang w:val="en-GB"/>
        </w:rPr>
        <w:t>P</w:t>
      </w:r>
      <w:r w:rsidR="00FB10D6" w:rsidRPr="00F951C7">
        <w:rPr>
          <w:color w:val="333333"/>
          <w:lang w:val="en-GB"/>
        </w:rPr>
        <w:t>articipatory research p</w:t>
      </w:r>
      <w:r w:rsidRPr="00F951C7">
        <w:rPr>
          <w:color w:val="333333"/>
          <w:lang w:val="en-GB"/>
        </w:rPr>
        <w:t xml:space="preserve">roposals describe how community partners </w:t>
      </w:r>
      <w:r w:rsidR="00040B21" w:rsidRPr="00F951C7">
        <w:rPr>
          <w:color w:val="333333"/>
          <w:lang w:val="en-GB"/>
        </w:rPr>
        <w:t>are</w:t>
      </w:r>
      <w:r w:rsidRPr="00F951C7">
        <w:rPr>
          <w:color w:val="333333"/>
          <w:lang w:val="en-GB"/>
        </w:rPr>
        <w:t xml:space="preserve"> involved in decision-making throughout the research cycle. A strong governance structure addresses: the role and authority of community members within the research team; mechanisms for resolving disagreements between </w:t>
      </w:r>
      <w:r w:rsidR="0051775C" w:rsidRPr="00F951C7">
        <w:rPr>
          <w:color w:val="333333"/>
          <w:lang w:val="en-GB"/>
        </w:rPr>
        <w:t>research</w:t>
      </w:r>
      <w:r w:rsidRPr="00F951C7">
        <w:rPr>
          <w:color w:val="333333"/>
          <w:lang w:val="en-GB"/>
        </w:rPr>
        <w:t xml:space="preserve"> and community partners; how the research agenda </w:t>
      </w:r>
      <w:r w:rsidR="00FC4E33" w:rsidRPr="00F951C7">
        <w:rPr>
          <w:color w:val="333333"/>
          <w:lang w:val="en-GB"/>
        </w:rPr>
        <w:t>is</w:t>
      </w:r>
      <w:r w:rsidRPr="00F951C7">
        <w:rPr>
          <w:color w:val="333333"/>
          <w:lang w:val="en-GB"/>
        </w:rPr>
        <w:t xml:space="preserve"> protected from commercial or institutional capture; and how intellectual property and data ownership </w:t>
      </w:r>
      <w:r w:rsidR="00FC4E33" w:rsidRPr="00F951C7">
        <w:rPr>
          <w:color w:val="333333"/>
          <w:lang w:val="en-GB"/>
        </w:rPr>
        <w:t>is</w:t>
      </w:r>
      <w:r w:rsidRPr="00F951C7">
        <w:rPr>
          <w:color w:val="333333"/>
          <w:lang w:val="en-GB"/>
        </w:rPr>
        <w:t xml:space="preserve"> negotiated with community partners. </w:t>
      </w:r>
      <w:r w:rsidR="00FC4E33" w:rsidRPr="00F951C7">
        <w:rPr>
          <w:color w:val="333333"/>
          <w:lang w:val="en-GB"/>
        </w:rPr>
        <w:t>You can find some useful resources in the references section</w:t>
      </w:r>
      <w:r w:rsidRPr="00F951C7">
        <w:rPr>
          <w:color w:val="333333"/>
          <w:lang w:val="en-GB"/>
        </w:rPr>
        <w:t>.</w:t>
      </w:r>
    </w:p>
    <w:p w14:paraId="04B063E7" w14:textId="77777777" w:rsidR="00C049A4" w:rsidRPr="00F951C7" w:rsidRDefault="00C049A4" w:rsidP="008E4801">
      <w:pPr>
        <w:spacing w:after="120"/>
        <w:rPr>
          <w:lang w:val="en-GB"/>
        </w:rPr>
      </w:pPr>
    </w:p>
    <w:p w14:paraId="30B8A3E8" w14:textId="77777777" w:rsidR="00C049A4" w:rsidRPr="00F951C7" w:rsidRDefault="00C049A4" w:rsidP="008E4801">
      <w:pPr>
        <w:pStyle w:val="Heading2"/>
        <w:pBdr>
          <w:bottom w:val="single" w:sz="2" w:space="4" w:color="CCCCCC"/>
        </w:pBdr>
        <w:spacing w:after="120"/>
        <w:rPr>
          <w:lang w:val="en-GB"/>
        </w:rPr>
      </w:pPr>
      <w:r w:rsidRPr="00F951C7">
        <w:rPr>
          <w:lang w:val="en-GB"/>
        </w:rPr>
        <w:t>Mixed methods integration options</w:t>
      </w:r>
    </w:p>
    <w:p w14:paraId="3674CBE8" w14:textId="575EEABC" w:rsidR="00C049A4" w:rsidRPr="00F951C7" w:rsidRDefault="00FB10D6" w:rsidP="008E4801">
      <w:pPr>
        <w:spacing w:before="60" w:after="120"/>
        <w:rPr>
          <w:lang w:val="en-GB"/>
        </w:rPr>
      </w:pPr>
      <w:r w:rsidRPr="00F951C7">
        <w:rPr>
          <w:color w:val="333333"/>
          <w:lang w:val="en-GB"/>
        </w:rPr>
        <w:t>Mixed methods p</w:t>
      </w:r>
      <w:r w:rsidR="00C049A4" w:rsidRPr="00F951C7">
        <w:rPr>
          <w:color w:val="333333"/>
          <w:lang w:val="en-GB"/>
        </w:rPr>
        <w:t xml:space="preserve">roposals </w:t>
      </w:r>
      <w:r w:rsidRPr="00F951C7">
        <w:rPr>
          <w:color w:val="333333"/>
          <w:lang w:val="en-GB"/>
        </w:rPr>
        <w:t>need to</w:t>
      </w:r>
      <w:r w:rsidR="00C049A4" w:rsidRPr="00F951C7">
        <w:rPr>
          <w:color w:val="333333"/>
          <w:lang w:val="en-GB"/>
        </w:rPr>
        <w:t xml:space="preserve"> indicate which mixed methods design they plan to use. </w:t>
      </w:r>
      <w:r w:rsidR="001F0D22" w:rsidRPr="00F951C7">
        <w:rPr>
          <w:color w:val="333333"/>
          <w:lang w:val="en-GB"/>
        </w:rPr>
        <w:t>Below are some of the most frequently used in mixed-methods design studies</w:t>
      </w:r>
      <w:r w:rsidR="00C049A4" w:rsidRPr="00F951C7">
        <w:rPr>
          <w:color w:val="333333"/>
          <w:lang w:val="en-GB"/>
        </w:rPr>
        <w:t>:</w:t>
      </w:r>
    </w:p>
    <w:p w14:paraId="39BF47D7" w14:textId="77777777" w:rsidR="00C049A4" w:rsidRPr="00F951C7" w:rsidRDefault="00C049A4" w:rsidP="008E4801">
      <w:pPr>
        <w:pStyle w:val="ListParagraph"/>
        <w:numPr>
          <w:ilvl w:val="0"/>
          <w:numId w:val="3"/>
        </w:numPr>
        <w:spacing w:before="40" w:after="120"/>
        <w:rPr>
          <w:lang w:val="en-GB"/>
        </w:rPr>
      </w:pPr>
      <w:r w:rsidRPr="00F951C7">
        <w:rPr>
          <w:color w:val="333333"/>
          <w:lang w:val="en-GB"/>
        </w:rPr>
        <w:t>Convergent design: qualitative and quantitative data collected in parallel, then merged at the interpretation stage</w:t>
      </w:r>
    </w:p>
    <w:p w14:paraId="7A33E4A9" w14:textId="77777777" w:rsidR="00C049A4" w:rsidRPr="00F951C7" w:rsidRDefault="00C049A4" w:rsidP="008E4801">
      <w:pPr>
        <w:pStyle w:val="ListParagraph"/>
        <w:numPr>
          <w:ilvl w:val="0"/>
          <w:numId w:val="3"/>
        </w:numPr>
        <w:spacing w:before="40" w:after="120"/>
        <w:rPr>
          <w:lang w:val="en-GB"/>
        </w:rPr>
      </w:pPr>
      <w:r w:rsidRPr="00F951C7">
        <w:rPr>
          <w:color w:val="333333"/>
          <w:lang w:val="en-GB"/>
        </w:rPr>
        <w:t>Explanatory sequential design: quantitative data collected first; qualitative data then used to explain or elaborate on findings</w:t>
      </w:r>
    </w:p>
    <w:p w14:paraId="33D81444" w14:textId="77777777" w:rsidR="00C049A4" w:rsidRPr="00F951C7" w:rsidRDefault="00C049A4" w:rsidP="008E4801">
      <w:pPr>
        <w:pStyle w:val="ListParagraph"/>
        <w:numPr>
          <w:ilvl w:val="0"/>
          <w:numId w:val="3"/>
        </w:numPr>
        <w:spacing w:before="40" w:after="120"/>
        <w:rPr>
          <w:lang w:val="en-GB"/>
        </w:rPr>
      </w:pPr>
      <w:r w:rsidRPr="00F951C7">
        <w:rPr>
          <w:color w:val="333333"/>
          <w:lang w:val="en-GB"/>
        </w:rPr>
        <w:t>Exploratory sequential design: qualitative data collected first to inform the design of quantitative instruments</w:t>
      </w:r>
    </w:p>
    <w:p w14:paraId="3DBFABAE" w14:textId="77777777" w:rsidR="001F0D22" w:rsidRPr="00F951C7" w:rsidRDefault="001F0D22" w:rsidP="001F0D22">
      <w:pPr>
        <w:spacing w:before="40" w:after="120"/>
        <w:rPr>
          <w:lang w:val="en-GB"/>
        </w:rPr>
      </w:pPr>
    </w:p>
    <w:p w14:paraId="1F6BA11E" w14:textId="77777777" w:rsidR="001F0D22" w:rsidRPr="00F951C7" w:rsidRDefault="001F0D22" w:rsidP="001F0D22">
      <w:pPr>
        <w:pStyle w:val="Heading2"/>
        <w:pBdr>
          <w:bottom w:val="single" w:sz="2" w:space="4" w:color="CCCCCC"/>
        </w:pBdr>
        <w:spacing w:after="120"/>
        <w:rPr>
          <w:lang w:val="en-GB"/>
        </w:rPr>
      </w:pPr>
      <w:r w:rsidRPr="00F951C7">
        <w:rPr>
          <w:lang w:val="en-GB"/>
        </w:rPr>
        <w:t>Quantitative data sources</w:t>
      </w:r>
    </w:p>
    <w:p w14:paraId="7F10AC26" w14:textId="77777777" w:rsidR="001F0D22" w:rsidRPr="00F951C7" w:rsidRDefault="001F0D22" w:rsidP="001F0D22">
      <w:pPr>
        <w:spacing w:before="60" w:after="120"/>
        <w:rPr>
          <w:lang w:val="en-GB"/>
        </w:rPr>
      </w:pPr>
      <w:r w:rsidRPr="00F951C7">
        <w:rPr>
          <w:color w:val="333333"/>
          <w:lang w:val="en-GB"/>
        </w:rPr>
        <w:t>The quantitative component of the study may draw on any of the following, depending on availability and relevance in the study setting:</w:t>
      </w:r>
    </w:p>
    <w:p w14:paraId="3DA92D1C" w14:textId="77777777" w:rsidR="001F0D22" w:rsidRPr="00F951C7" w:rsidRDefault="001F0D22" w:rsidP="001F0D22">
      <w:pPr>
        <w:pStyle w:val="ListParagraph"/>
        <w:numPr>
          <w:ilvl w:val="0"/>
          <w:numId w:val="3"/>
        </w:numPr>
        <w:spacing w:before="40" w:after="120"/>
        <w:rPr>
          <w:lang w:val="en-GB"/>
        </w:rPr>
      </w:pPr>
      <w:r w:rsidRPr="00F951C7">
        <w:rPr>
          <w:color w:val="333333"/>
          <w:lang w:val="en-GB"/>
        </w:rPr>
        <w:t>National vital statistics and civil registration data</w:t>
      </w:r>
    </w:p>
    <w:p w14:paraId="1E345607" w14:textId="77777777" w:rsidR="001F0D22" w:rsidRPr="00F951C7" w:rsidRDefault="001F0D22" w:rsidP="001F0D22">
      <w:pPr>
        <w:pStyle w:val="ListParagraph"/>
        <w:numPr>
          <w:ilvl w:val="0"/>
          <w:numId w:val="3"/>
        </w:numPr>
        <w:spacing w:before="40" w:after="120"/>
        <w:rPr>
          <w:lang w:val="en-GB"/>
        </w:rPr>
      </w:pPr>
      <w:r w:rsidRPr="00F951C7">
        <w:rPr>
          <w:color w:val="333333"/>
          <w:lang w:val="en-GB"/>
        </w:rPr>
        <w:t>Harmonised health facility assessments</w:t>
      </w:r>
    </w:p>
    <w:p w14:paraId="58D50FA0" w14:textId="77777777" w:rsidR="001F0D22" w:rsidRPr="00F951C7" w:rsidRDefault="001F0D22" w:rsidP="001F0D22">
      <w:pPr>
        <w:pStyle w:val="ListParagraph"/>
        <w:numPr>
          <w:ilvl w:val="0"/>
          <w:numId w:val="3"/>
        </w:numPr>
        <w:spacing w:before="40" w:after="120"/>
        <w:rPr>
          <w:lang w:val="en-GB"/>
        </w:rPr>
      </w:pPr>
      <w:r w:rsidRPr="00F951C7">
        <w:rPr>
          <w:color w:val="333333"/>
          <w:lang w:val="en-GB"/>
        </w:rPr>
        <w:t>Facility-based medical records</w:t>
      </w:r>
    </w:p>
    <w:p w14:paraId="00C5591A" w14:textId="77777777" w:rsidR="001F0D22" w:rsidRPr="00F951C7" w:rsidRDefault="001F0D22" w:rsidP="001F0D22">
      <w:pPr>
        <w:pStyle w:val="ListParagraph"/>
        <w:numPr>
          <w:ilvl w:val="0"/>
          <w:numId w:val="3"/>
        </w:numPr>
        <w:spacing w:before="40" w:after="120"/>
        <w:rPr>
          <w:lang w:val="en-GB"/>
        </w:rPr>
      </w:pPr>
      <w:r w:rsidRPr="00F951C7">
        <w:rPr>
          <w:color w:val="333333"/>
          <w:lang w:val="en-GB"/>
        </w:rPr>
        <w:t>Existing national household or demographic surveys that include SRHR outcomes</w:t>
      </w:r>
    </w:p>
    <w:p w14:paraId="2DF7E41B" w14:textId="77777777" w:rsidR="001F0D22" w:rsidRPr="00F951C7" w:rsidRDefault="001F0D22" w:rsidP="001F0D22">
      <w:pPr>
        <w:pStyle w:val="ListParagraph"/>
        <w:numPr>
          <w:ilvl w:val="0"/>
          <w:numId w:val="3"/>
        </w:numPr>
        <w:spacing w:before="40" w:after="120"/>
        <w:rPr>
          <w:lang w:val="en-GB"/>
        </w:rPr>
      </w:pPr>
      <w:r w:rsidRPr="00F951C7">
        <w:rPr>
          <w:color w:val="333333"/>
          <w:lang w:val="en-GB"/>
        </w:rPr>
        <w:t>Community-level surveys designed and administered in partnership with the research team</w:t>
      </w:r>
    </w:p>
    <w:p w14:paraId="0C226DB6" w14:textId="77777777" w:rsidR="00645F5F" w:rsidRPr="00F951C7" w:rsidRDefault="00645F5F" w:rsidP="008E4801">
      <w:pPr>
        <w:spacing w:after="120"/>
        <w:rPr>
          <w:b/>
          <w:bCs/>
          <w:color w:val="006BB6"/>
          <w:sz w:val="28"/>
          <w:szCs w:val="28"/>
          <w:lang w:val="en-GB"/>
        </w:rPr>
      </w:pPr>
      <w:r w:rsidRPr="00F951C7">
        <w:rPr>
          <w:lang w:val="en-GB"/>
        </w:rPr>
        <w:br w:type="page"/>
      </w:r>
    </w:p>
    <w:p w14:paraId="59D4A144" w14:textId="1B552359" w:rsidR="005F40DC" w:rsidRPr="00F951C7" w:rsidRDefault="00590F36" w:rsidP="008E4801">
      <w:pPr>
        <w:pStyle w:val="Heading1"/>
        <w:rPr>
          <w:lang w:val="en-GB"/>
        </w:rPr>
      </w:pPr>
      <w:r w:rsidRPr="00F951C7">
        <w:rPr>
          <w:lang w:val="en-GB"/>
        </w:rPr>
        <w:lastRenderedPageBreak/>
        <w:t xml:space="preserve">Appendix </w:t>
      </w:r>
      <w:r w:rsidR="00C049A4" w:rsidRPr="00F951C7">
        <w:rPr>
          <w:lang w:val="en-GB"/>
        </w:rPr>
        <w:t>2</w:t>
      </w:r>
      <w:r w:rsidRPr="00F951C7">
        <w:rPr>
          <w:lang w:val="en-GB"/>
        </w:rPr>
        <w:t xml:space="preserve">: </w:t>
      </w:r>
      <w:r w:rsidR="00D84226" w:rsidRPr="00F951C7">
        <w:rPr>
          <w:lang w:val="en-GB"/>
        </w:rPr>
        <w:t>Priority</w:t>
      </w:r>
      <w:r w:rsidRPr="00F951C7">
        <w:rPr>
          <w:lang w:val="en-GB"/>
        </w:rPr>
        <w:t xml:space="preserve"> </w:t>
      </w:r>
      <w:r w:rsidR="005A04E8" w:rsidRPr="00F951C7">
        <w:rPr>
          <w:lang w:val="en-GB"/>
        </w:rPr>
        <w:t>c</w:t>
      </w:r>
      <w:r w:rsidRPr="00F951C7">
        <w:rPr>
          <w:lang w:val="en-GB"/>
        </w:rPr>
        <w:t>ountries</w:t>
      </w:r>
    </w:p>
    <w:p w14:paraId="4D3B9255" w14:textId="50F64936" w:rsidR="005F40DC" w:rsidRPr="00F951C7" w:rsidRDefault="00590F36" w:rsidP="008E4801">
      <w:pPr>
        <w:spacing w:before="60" w:after="120"/>
        <w:rPr>
          <w:lang w:val="en-GB"/>
        </w:rPr>
      </w:pPr>
      <w:r w:rsidRPr="00F951C7">
        <w:rPr>
          <w:color w:val="333333"/>
          <w:lang w:val="en-GB"/>
        </w:rPr>
        <w:t>The following countries have been identified as having included aspects of SRHR in their National Adaptation Plans (NAPs) or Health National Adaptation Plans (HNAPs) as of 2024.</w:t>
      </w:r>
    </w:p>
    <w:p w14:paraId="01699E8D" w14:textId="77777777" w:rsidR="005F40DC" w:rsidRPr="00F951C7" w:rsidRDefault="005F40DC" w:rsidP="008E4801">
      <w:pPr>
        <w:spacing w:after="120"/>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78037C" w:rsidRPr="00F951C7" w14:paraId="3BB9F36E"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4BF42844" w14:textId="77777777" w:rsidR="005F40DC" w:rsidRPr="00F951C7" w:rsidRDefault="00590F36" w:rsidP="008E4801">
            <w:pPr>
              <w:spacing w:after="120"/>
              <w:rPr>
                <w:lang w:val="en-GB"/>
              </w:rPr>
            </w:pPr>
            <w:r w:rsidRPr="00F951C7">
              <w:rPr>
                <w:color w:val="333333"/>
                <w:lang w:val="en-GB"/>
              </w:rPr>
              <w:t>Bangladesh</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B99683" w14:textId="77777777" w:rsidR="005F40DC" w:rsidRPr="00F951C7" w:rsidRDefault="00590F36" w:rsidP="008E4801">
            <w:pPr>
              <w:spacing w:after="120"/>
              <w:rPr>
                <w:lang w:val="en-GB"/>
              </w:rPr>
            </w:pPr>
            <w:r w:rsidRPr="00F951C7">
              <w:rPr>
                <w:color w:val="333333"/>
                <w:lang w:val="en-GB"/>
              </w:rPr>
              <w:t>Grenada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AD014C8" w14:textId="77777777" w:rsidR="005F40DC" w:rsidRPr="00F951C7" w:rsidRDefault="00590F36" w:rsidP="008E4801">
            <w:pPr>
              <w:spacing w:after="120"/>
              <w:rPr>
                <w:lang w:val="en-GB"/>
              </w:rPr>
            </w:pPr>
            <w:r w:rsidRPr="00F951C7">
              <w:rPr>
                <w:color w:val="333333"/>
                <w:lang w:val="en-GB"/>
              </w:rPr>
              <w:t>Peru</w:t>
            </w:r>
          </w:p>
        </w:tc>
      </w:tr>
      <w:tr w:rsidR="0078037C" w:rsidRPr="00F951C7" w14:paraId="1BA40CB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7BC9455" w14:textId="77777777" w:rsidR="005F40DC" w:rsidRPr="00F951C7" w:rsidRDefault="00590F36" w:rsidP="008E4801">
            <w:pPr>
              <w:spacing w:after="120"/>
              <w:rPr>
                <w:lang w:val="en-GB"/>
              </w:rPr>
            </w:pPr>
            <w:r w:rsidRPr="00F951C7">
              <w:rPr>
                <w:color w:val="333333"/>
                <w:lang w:val="en-GB"/>
              </w:rPr>
              <w:t>Benin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89364C2" w14:textId="77777777" w:rsidR="005F40DC" w:rsidRPr="00F951C7" w:rsidRDefault="00590F36" w:rsidP="008E4801">
            <w:pPr>
              <w:spacing w:after="120"/>
              <w:rPr>
                <w:lang w:val="en-GB"/>
              </w:rPr>
            </w:pPr>
            <w:r w:rsidRPr="00F951C7">
              <w:rPr>
                <w:color w:val="333333"/>
                <w:lang w:val="en-GB"/>
              </w:rPr>
              <w:t>Guatemala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98D452F" w14:textId="77777777" w:rsidR="005F40DC" w:rsidRPr="00F951C7" w:rsidRDefault="00590F36" w:rsidP="008E4801">
            <w:pPr>
              <w:spacing w:after="120"/>
              <w:rPr>
                <w:lang w:val="en-GB"/>
              </w:rPr>
            </w:pPr>
            <w:r w:rsidRPr="00F951C7">
              <w:rPr>
                <w:color w:val="333333"/>
                <w:lang w:val="en-GB"/>
              </w:rPr>
              <w:t>Serbia</w:t>
            </w:r>
          </w:p>
        </w:tc>
      </w:tr>
      <w:tr w:rsidR="0078037C" w:rsidRPr="00F951C7" w14:paraId="2A63D8C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F87BC5C" w14:textId="77777777" w:rsidR="005F40DC" w:rsidRPr="00F951C7" w:rsidRDefault="00590F36" w:rsidP="008E4801">
            <w:pPr>
              <w:spacing w:after="120"/>
              <w:rPr>
                <w:lang w:val="en-GB"/>
              </w:rPr>
            </w:pPr>
            <w:r w:rsidRPr="00F951C7">
              <w:rPr>
                <w:color w:val="333333"/>
                <w:lang w:val="en-GB"/>
              </w:rPr>
              <w:t>Bosnia and Herzegovina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552225D" w14:textId="77777777" w:rsidR="005F40DC" w:rsidRPr="00F951C7" w:rsidRDefault="00590F36" w:rsidP="008E4801">
            <w:pPr>
              <w:spacing w:after="120"/>
              <w:rPr>
                <w:lang w:val="en-GB"/>
              </w:rPr>
            </w:pPr>
            <w:r w:rsidRPr="00F951C7">
              <w:rPr>
                <w:color w:val="333333"/>
                <w:lang w:val="en-GB"/>
              </w:rPr>
              <w:t>Kenya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AFD16E4" w14:textId="77777777" w:rsidR="005F40DC" w:rsidRPr="00F951C7" w:rsidRDefault="00590F36" w:rsidP="008E4801">
            <w:pPr>
              <w:spacing w:after="120"/>
              <w:rPr>
                <w:lang w:val="en-GB"/>
              </w:rPr>
            </w:pPr>
            <w:r w:rsidRPr="00F951C7">
              <w:rPr>
                <w:color w:val="333333"/>
                <w:lang w:val="en-GB"/>
              </w:rPr>
              <w:t>Sierra Leone</w:t>
            </w:r>
          </w:p>
        </w:tc>
      </w:tr>
      <w:tr w:rsidR="0078037C" w:rsidRPr="00F951C7" w14:paraId="32B7021C"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3805416" w14:textId="77777777" w:rsidR="005F40DC" w:rsidRPr="00F951C7" w:rsidRDefault="00590F36" w:rsidP="008E4801">
            <w:pPr>
              <w:spacing w:after="120"/>
              <w:rPr>
                <w:lang w:val="en-GB"/>
              </w:rPr>
            </w:pPr>
            <w:r w:rsidRPr="00F951C7">
              <w:rPr>
                <w:color w:val="333333"/>
                <w:lang w:val="en-GB"/>
              </w:rPr>
              <w:t>Brazil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D26AB40" w14:textId="77777777" w:rsidR="005F40DC" w:rsidRPr="00F951C7" w:rsidRDefault="00590F36" w:rsidP="008E4801">
            <w:pPr>
              <w:spacing w:after="120"/>
              <w:rPr>
                <w:lang w:val="en-GB"/>
              </w:rPr>
            </w:pPr>
            <w:r w:rsidRPr="00F951C7">
              <w:rPr>
                <w:color w:val="333333"/>
                <w:lang w:val="en-GB"/>
              </w:rPr>
              <w:t>Kiribati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F84BF98" w14:textId="77777777" w:rsidR="005F40DC" w:rsidRPr="00F951C7" w:rsidRDefault="00590F36" w:rsidP="008E4801">
            <w:pPr>
              <w:spacing w:after="120"/>
              <w:rPr>
                <w:lang w:val="en-GB"/>
              </w:rPr>
            </w:pPr>
            <w:r w:rsidRPr="00F951C7">
              <w:rPr>
                <w:color w:val="333333"/>
                <w:lang w:val="en-GB"/>
              </w:rPr>
              <w:t>South Africa</w:t>
            </w:r>
          </w:p>
        </w:tc>
      </w:tr>
      <w:tr w:rsidR="0078037C" w:rsidRPr="00F951C7" w14:paraId="6F6AC85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1D8C87C" w14:textId="77777777" w:rsidR="005F40DC" w:rsidRPr="00F951C7" w:rsidRDefault="00590F36" w:rsidP="008E4801">
            <w:pPr>
              <w:spacing w:after="120"/>
              <w:rPr>
                <w:lang w:val="en-GB"/>
              </w:rPr>
            </w:pPr>
            <w:r w:rsidRPr="00F951C7">
              <w:rPr>
                <w:color w:val="333333"/>
                <w:lang w:val="en-GB"/>
              </w:rPr>
              <w:t>Burkina Faso</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64900E7E" w14:textId="77777777" w:rsidR="005F40DC" w:rsidRPr="00F951C7" w:rsidRDefault="00590F36" w:rsidP="008E4801">
            <w:pPr>
              <w:spacing w:after="120"/>
              <w:rPr>
                <w:lang w:val="en-GB"/>
              </w:rPr>
            </w:pPr>
            <w:r w:rsidRPr="00F951C7">
              <w:rPr>
                <w:color w:val="333333"/>
                <w:lang w:val="en-GB"/>
              </w:rPr>
              <w:t>Liberia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588E2A0" w14:textId="77777777" w:rsidR="005F40DC" w:rsidRPr="00F951C7" w:rsidRDefault="00590F36" w:rsidP="008E4801">
            <w:pPr>
              <w:spacing w:after="120"/>
              <w:rPr>
                <w:lang w:val="en-GB"/>
              </w:rPr>
            </w:pPr>
            <w:r w:rsidRPr="00F951C7">
              <w:rPr>
                <w:color w:val="333333"/>
                <w:lang w:val="en-GB"/>
              </w:rPr>
              <w:t>Sudan</w:t>
            </w:r>
          </w:p>
        </w:tc>
      </w:tr>
      <w:tr w:rsidR="0078037C" w:rsidRPr="00F951C7" w14:paraId="7F5B82FB"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E94EF52" w14:textId="77777777" w:rsidR="005F40DC" w:rsidRPr="00F951C7" w:rsidRDefault="00590F36" w:rsidP="008E4801">
            <w:pPr>
              <w:spacing w:after="120"/>
              <w:rPr>
                <w:lang w:val="en-GB"/>
              </w:rPr>
            </w:pPr>
            <w:r w:rsidRPr="00F951C7">
              <w:rPr>
                <w:color w:val="333333"/>
                <w:lang w:val="en-GB"/>
              </w:rPr>
              <w:t>Cambodia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AE19B1" w14:textId="77777777" w:rsidR="005F40DC" w:rsidRPr="00F951C7" w:rsidRDefault="00590F36" w:rsidP="008E4801">
            <w:pPr>
              <w:spacing w:after="120"/>
              <w:rPr>
                <w:lang w:val="en-GB"/>
              </w:rPr>
            </w:pPr>
            <w:r w:rsidRPr="00F951C7">
              <w:rPr>
                <w:color w:val="333333"/>
                <w:lang w:val="en-GB"/>
              </w:rPr>
              <w:t>Moldova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C1C93B6" w14:textId="77777777" w:rsidR="005F40DC" w:rsidRPr="00F951C7" w:rsidRDefault="00590F36" w:rsidP="008E4801">
            <w:pPr>
              <w:spacing w:after="120"/>
              <w:rPr>
                <w:lang w:val="en-GB"/>
              </w:rPr>
            </w:pPr>
            <w:r w:rsidRPr="00F951C7">
              <w:rPr>
                <w:color w:val="333333"/>
                <w:lang w:val="en-GB"/>
              </w:rPr>
              <w:t>Suriname</w:t>
            </w:r>
          </w:p>
        </w:tc>
      </w:tr>
      <w:tr w:rsidR="0078037C" w:rsidRPr="00F951C7" w14:paraId="4D76C2EC"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4BCDD87" w14:textId="77777777" w:rsidR="005F40DC" w:rsidRPr="00F951C7" w:rsidRDefault="00590F36" w:rsidP="008E4801">
            <w:pPr>
              <w:spacing w:after="120"/>
              <w:rPr>
                <w:lang w:val="en-GB"/>
              </w:rPr>
            </w:pPr>
            <w:r w:rsidRPr="00F951C7">
              <w:rPr>
                <w:color w:val="333333"/>
                <w:lang w:val="en-GB"/>
              </w:rPr>
              <w:t>Central African Republic</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C8B781C" w14:textId="77777777" w:rsidR="005F40DC" w:rsidRPr="00F951C7" w:rsidRDefault="00590F36" w:rsidP="008E4801">
            <w:pPr>
              <w:spacing w:after="120"/>
              <w:rPr>
                <w:lang w:val="en-GB"/>
              </w:rPr>
            </w:pPr>
            <w:r w:rsidRPr="00F951C7">
              <w:rPr>
                <w:color w:val="333333"/>
                <w:lang w:val="en-GB"/>
              </w:rPr>
              <w:t>Mozambique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5D8B8B95" w14:textId="77777777" w:rsidR="005F40DC" w:rsidRPr="00F951C7" w:rsidRDefault="00590F36" w:rsidP="008E4801">
            <w:pPr>
              <w:spacing w:after="120"/>
              <w:rPr>
                <w:lang w:val="en-GB"/>
              </w:rPr>
            </w:pPr>
            <w:r w:rsidRPr="00F951C7">
              <w:rPr>
                <w:color w:val="333333"/>
                <w:lang w:val="en-GB"/>
              </w:rPr>
              <w:t>Thailand</w:t>
            </w:r>
          </w:p>
        </w:tc>
      </w:tr>
      <w:tr w:rsidR="0078037C" w:rsidRPr="00F951C7" w14:paraId="0EE5CC49"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020B1DF" w14:textId="77777777" w:rsidR="005F40DC" w:rsidRPr="00F951C7" w:rsidRDefault="00590F36" w:rsidP="008E4801">
            <w:pPr>
              <w:spacing w:after="120"/>
              <w:rPr>
                <w:lang w:val="en-GB"/>
              </w:rPr>
            </w:pPr>
            <w:r w:rsidRPr="00F951C7">
              <w:rPr>
                <w:color w:val="333333"/>
                <w:lang w:val="en-GB"/>
              </w:rPr>
              <w:t>Chad</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54A58E" w14:textId="77777777" w:rsidR="005F40DC" w:rsidRPr="00F951C7" w:rsidRDefault="00590F36" w:rsidP="008E4801">
            <w:pPr>
              <w:spacing w:after="120"/>
              <w:rPr>
                <w:lang w:val="en-GB"/>
              </w:rPr>
            </w:pPr>
            <w:r w:rsidRPr="00F951C7">
              <w:rPr>
                <w:color w:val="333333"/>
                <w:lang w:val="en-GB"/>
              </w:rPr>
              <w:t>Nepal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076027DC" w14:textId="77777777" w:rsidR="005F40DC" w:rsidRPr="00F951C7" w:rsidRDefault="00590F36" w:rsidP="008E4801">
            <w:pPr>
              <w:spacing w:after="120"/>
              <w:rPr>
                <w:lang w:val="en-GB"/>
              </w:rPr>
            </w:pPr>
            <w:r w:rsidRPr="00F951C7">
              <w:rPr>
                <w:color w:val="333333"/>
                <w:lang w:val="en-GB"/>
              </w:rPr>
              <w:t>Timor-Leste</w:t>
            </w:r>
          </w:p>
        </w:tc>
      </w:tr>
      <w:tr w:rsidR="0078037C" w:rsidRPr="00F951C7" w14:paraId="5429CF28"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0DACA30" w14:textId="77777777" w:rsidR="005F40DC" w:rsidRPr="00F951C7" w:rsidRDefault="00590F36" w:rsidP="008E4801">
            <w:pPr>
              <w:spacing w:after="120"/>
              <w:rPr>
                <w:lang w:val="en-GB"/>
              </w:rPr>
            </w:pPr>
            <w:r w:rsidRPr="00F951C7">
              <w:rPr>
                <w:color w:val="333333"/>
                <w:lang w:val="en-GB"/>
              </w:rPr>
              <w:t>Costa Rica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48B59B9" w14:textId="77777777" w:rsidR="005F40DC" w:rsidRPr="00F951C7" w:rsidRDefault="00590F36" w:rsidP="008E4801">
            <w:pPr>
              <w:spacing w:after="120"/>
              <w:rPr>
                <w:lang w:val="en-GB"/>
              </w:rPr>
            </w:pPr>
            <w:r w:rsidRPr="00F951C7">
              <w:rPr>
                <w:color w:val="333333"/>
                <w:lang w:val="en-GB"/>
              </w:rPr>
              <w:t>Niger</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FDD037" w14:textId="77777777" w:rsidR="005F40DC" w:rsidRPr="00F951C7" w:rsidRDefault="00590F36" w:rsidP="008E4801">
            <w:pPr>
              <w:spacing w:after="120"/>
              <w:rPr>
                <w:lang w:val="en-GB"/>
              </w:rPr>
            </w:pPr>
            <w:r w:rsidRPr="00F951C7">
              <w:rPr>
                <w:color w:val="333333"/>
                <w:lang w:val="en-GB"/>
              </w:rPr>
              <w:t>Trinidad and Tobago</w:t>
            </w:r>
          </w:p>
        </w:tc>
      </w:tr>
      <w:tr w:rsidR="0078037C" w:rsidRPr="00F951C7" w14:paraId="43F57BDE"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FD1110" w14:textId="77777777" w:rsidR="005F40DC" w:rsidRPr="00F951C7" w:rsidRDefault="00590F36" w:rsidP="008E4801">
            <w:pPr>
              <w:spacing w:after="120"/>
              <w:rPr>
                <w:lang w:val="en-GB"/>
              </w:rPr>
            </w:pPr>
            <w:r w:rsidRPr="00F951C7">
              <w:rPr>
                <w:color w:val="333333"/>
                <w:lang w:val="en-GB"/>
              </w:rPr>
              <w:t>Democratic Republic of Congo</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2184835B" w14:textId="77777777" w:rsidR="005F40DC" w:rsidRPr="00F951C7" w:rsidRDefault="00590F36" w:rsidP="008E4801">
            <w:pPr>
              <w:spacing w:after="120"/>
              <w:rPr>
                <w:lang w:val="en-GB"/>
              </w:rPr>
            </w:pPr>
            <w:r w:rsidRPr="00F951C7">
              <w:rPr>
                <w:color w:val="333333"/>
                <w:lang w:val="en-GB"/>
              </w:rPr>
              <w:t>Nigeria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3B00D27" w14:textId="77777777" w:rsidR="005F40DC" w:rsidRPr="00F951C7" w:rsidRDefault="00590F36" w:rsidP="008E4801">
            <w:pPr>
              <w:spacing w:after="120"/>
              <w:rPr>
                <w:lang w:val="en-GB"/>
              </w:rPr>
            </w:pPr>
            <w:r w:rsidRPr="00F951C7">
              <w:rPr>
                <w:color w:val="333333"/>
                <w:lang w:val="en-GB"/>
              </w:rPr>
              <w:t>United Republic of Tanzania</w:t>
            </w:r>
          </w:p>
        </w:tc>
      </w:tr>
      <w:tr w:rsidR="0078037C" w:rsidRPr="00F951C7" w14:paraId="3E5BC35B"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B9DC04D" w14:textId="77777777" w:rsidR="005F40DC" w:rsidRPr="00F951C7" w:rsidRDefault="00590F36" w:rsidP="008E4801">
            <w:pPr>
              <w:spacing w:after="120"/>
              <w:rPr>
                <w:lang w:val="en-GB"/>
              </w:rPr>
            </w:pPr>
            <w:r w:rsidRPr="00F951C7">
              <w:rPr>
                <w:color w:val="333333"/>
                <w:lang w:val="en-GB"/>
              </w:rPr>
              <w:t>Ethiopia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DE71CD8" w14:textId="77777777" w:rsidR="005F40DC" w:rsidRPr="00F951C7" w:rsidRDefault="00590F36" w:rsidP="008E4801">
            <w:pPr>
              <w:spacing w:after="120"/>
              <w:rPr>
                <w:lang w:val="en-GB"/>
              </w:rPr>
            </w:pPr>
            <w:r w:rsidRPr="00F951C7">
              <w:rPr>
                <w:color w:val="333333"/>
                <w:lang w:val="en-GB"/>
              </w:rPr>
              <w:t>Occupied Palestinian Territory and East Jerusalem</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64A6044" w14:textId="77777777" w:rsidR="005F40DC" w:rsidRPr="00F951C7" w:rsidRDefault="00590F36" w:rsidP="008E4801">
            <w:pPr>
              <w:spacing w:after="120"/>
              <w:rPr>
                <w:lang w:val="en-GB"/>
              </w:rPr>
            </w:pPr>
            <w:r w:rsidRPr="00F951C7">
              <w:rPr>
                <w:color w:val="333333"/>
                <w:lang w:val="en-GB"/>
              </w:rPr>
              <w:t>Uruguay</w:t>
            </w:r>
          </w:p>
        </w:tc>
      </w:tr>
      <w:tr w:rsidR="0078037C" w:rsidRPr="00F951C7" w14:paraId="1904B93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624BCE" w14:textId="77777777" w:rsidR="005F40DC" w:rsidRPr="00F951C7" w:rsidRDefault="00590F36" w:rsidP="008E4801">
            <w:pPr>
              <w:spacing w:after="120"/>
              <w:rPr>
                <w:lang w:val="en-GB"/>
              </w:rPr>
            </w:pPr>
            <w:r w:rsidRPr="00F951C7">
              <w:rPr>
                <w:color w:val="333333"/>
                <w:lang w:val="en-GB"/>
              </w:rPr>
              <w:t>Fiji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1302FE32" w14:textId="77777777" w:rsidR="005F40DC" w:rsidRPr="00F951C7" w:rsidRDefault="00590F36" w:rsidP="008E4801">
            <w:pPr>
              <w:spacing w:after="120"/>
              <w:rPr>
                <w:lang w:val="en-GB"/>
              </w:rPr>
            </w:pPr>
            <w:r w:rsidRPr="00F951C7">
              <w:rPr>
                <w:color w:val="333333"/>
                <w:lang w:val="en-GB"/>
              </w:rPr>
              <w:t>Pakistan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4DE8E44" w14:textId="77777777" w:rsidR="005F40DC" w:rsidRPr="00F951C7" w:rsidRDefault="00590F36" w:rsidP="008E4801">
            <w:pPr>
              <w:spacing w:after="120"/>
              <w:rPr>
                <w:lang w:val="en-GB"/>
              </w:rPr>
            </w:pPr>
            <w:r w:rsidRPr="00F951C7">
              <w:rPr>
                <w:color w:val="333333"/>
                <w:lang w:val="en-GB"/>
              </w:rPr>
              <w:t>Zambia</w:t>
            </w:r>
          </w:p>
        </w:tc>
      </w:tr>
    </w:tbl>
    <w:p w14:paraId="65417B9E" w14:textId="77777777" w:rsidR="005F40DC" w:rsidRPr="00F951C7" w:rsidRDefault="005F40DC" w:rsidP="008E4801">
      <w:pPr>
        <w:spacing w:after="120"/>
        <w:rPr>
          <w:lang w:val="en-GB"/>
        </w:rPr>
      </w:pPr>
    </w:p>
    <w:p w14:paraId="1C304F0B" w14:textId="77777777" w:rsidR="005F40DC" w:rsidRPr="00751A0F" w:rsidRDefault="00590F36" w:rsidP="008E4801">
      <w:pPr>
        <w:spacing w:before="60" w:after="120"/>
        <w:rPr>
          <w:sz w:val="18"/>
          <w:szCs w:val="18"/>
          <w:lang w:val="en-GB"/>
        </w:rPr>
      </w:pPr>
      <w:r w:rsidRPr="00751A0F">
        <w:rPr>
          <w:i/>
          <w:iCs/>
          <w:color w:val="333333"/>
          <w:sz w:val="18"/>
          <w:szCs w:val="18"/>
          <w:lang w:val="en-GB"/>
        </w:rPr>
        <w:t>Source: Alagarajah J, Beeman A, Brown M, Aibe S, Fuchs NR, Gibbs T. Sexual and Reproductive Health and Rights in National Adaptation Plans and Health National Adaptation Plans: A Global Review. 2024: YLabs.</w:t>
      </w:r>
    </w:p>
    <w:p w14:paraId="04550907" w14:textId="77777777" w:rsidR="005F40DC" w:rsidRPr="00F951C7" w:rsidRDefault="005F40DC" w:rsidP="008E4801">
      <w:pPr>
        <w:spacing w:after="120"/>
        <w:rPr>
          <w:lang w:val="en-GB"/>
        </w:rPr>
      </w:pPr>
    </w:p>
    <w:p w14:paraId="399998A3" w14:textId="0A5F28BB" w:rsidR="005F40DC" w:rsidRPr="00F951C7" w:rsidRDefault="005F40DC" w:rsidP="008E4801">
      <w:pPr>
        <w:spacing w:after="120"/>
        <w:rPr>
          <w:lang w:val="en-GB"/>
        </w:rPr>
      </w:pPr>
    </w:p>
    <w:p w14:paraId="4E5F58E5" w14:textId="2612CD91" w:rsidR="005F40DC" w:rsidRPr="00F951C7" w:rsidRDefault="005F40DC" w:rsidP="008E4801">
      <w:pPr>
        <w:spacing w:after="120"/>
        <w:rPr>
          <w:lang w:val="en-GB"/>
        </w:rPr>
      </w:pPr>
    </w:p>
    <w:sectPr w:rsidR="005F40DC" w:rsidRPr="00F951C7">
      <w:headerReference w:type="default" r:id="rId14"/>
      <w:footerReference w:type="default" r:id="rId1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24B5" w14:textId="77777777" w:rsidR="00AC3A2D" w:rsidRDefault="00AC3A2D">
      <w:r>
        <w:separator/>
      </w:r>
    </w:p>
  </w:endnote>
  <w:endnote w:type="continuationSeparator" w:id="0">
    <w:p w14:paraId="4CAC0882" w14:textId="77777777" w:rsidR="00AC3A2D" w:rsidRDefault="00AC3A2D">
      <w:r>
        <w:continuationSeparator/>
      </w:r>
    </w:p>
  </w:endnote>
  <w:endnote w:type="continuationNotice" w:id="1">
    <w:p w14:paraId="70499CA1" w14:textId="77777777" w:rsidR="00AC3A2D" w:rsidRDefault="00AC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9774C0" w14:paraId="57AA5606" w14:textId="77777777">
      <w:tc>
        <w:tcPr>
          <w:tcW w:w="6000"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3D0F1086" w14:textId="77777777" w:rsidR="005F40DC" w:rsidRDefault="00590F36">
          <w:r>
            <w:rPr>
              <w:color w:val="666666"/>
              <w:sz w:val="14"/>
              <w:szCs w:val="14"/>
            </w:rPr>
            <w:t>UNDP/UNFPA/UNICEF/WHO/World Bank Special Programme of Research (HRP)</w:t>
          </w:r>
        </w:p>
      </w:tc>
      <w:tc>
        <w:tcPr>
          <w:tcW w:w="3026"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05F9B53B" w14:textId="31EFCE25" w:rsidR="005F40DC" w:rsidRDefault="0083106E">
          <w:pPr>
            <w:jc w:val="right"/>
          </w:pPr>
          <w:r>
            <w:rPr>
              <w:color w:val="666666"/>
              <w:sz w:val="14"/>
              <w:szCs w:val="14"/>
            </w:rPr>
            <w:t>Call for proposals climate-SRHR 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13D4" w14:textId="77777777" w:rsidR="00AC3A2D" w:rsidRDefault="00AC3A2D">
      <w:r>
        <w:separator/>
      </w:r>
    </w:p>
  </w:footnote>
  <w:footnote w:type="continuationSeparator" w:id="0">
    <w:p w14:paraId="4FF9F94A" w14:textId="77777777" w:rsidR="00AC3A2D" w:rsidRDefault="00AC3A2D">
      <w:r>
        <w:continuationSeparator/>
      </w:r>
    </w:p>
  </w:footnote>
  <w:footnote w:type="continuationNotice" w:id="1">
    <w:p w14:paraId="2199A49A" w14:textId="77777777" w:rsidR="00AC3A2D" w:rsidRDefault="00AC3A2D"/>
  </w:footnote>
  <w:footnote w:id="2">
    <w:p w14:paraId="66C9D0C6" w14:textId="728A94D5" w:rsidR="001773FA" w:rsidRPr="005B1829" w:rsidRDefault="001773FA">
      <w:pPr>
        <w:pStyle w:val="FootnoteText"/>
        <w:rPr>
          <w:sz w:val="16"/>
          <w:szCs w:val="16"/>
        </w:rPr>
      </w:pPr>
      <w:r w:rsidRPr="005B1829">
        <w:rPr>
          <w:rStyle w:val="FootnoteReference"/>
          <w:sz w:val="16"/>
          <w:szCs w:val="16"/>
        </w:rPr>
        <w:footnoteRef/>
      </w:r>
      <w:r w:rsidRPr="005B1829">
        <w:rPr>
          <w:sz w:val="16"/>
          <w:szCs w:val="16"/>
        </w:rPr>
        <w:t xml:space="preserve"> </w:t>
      </w:r>
      <w:hyperlink r:id="rId1" w:history="1">
        <w:r w:rsidR="00590F36" w:rsidRPr="005B1829">
          <w:rPr>
            <w:rStyle w:val="Hyperlink"/>
            <w:sz w:val="16"/>
            <w:szCs w:val="16"/>
          </w:rPr>
          <w:t>https://blogs.worldbank.org/en/opendata/world-bank-country-classifications-by-income-level-for-2024-2025</w:t>
        </w:r>
      </w:hyperlink>
      <w:r w:rsidR="00590F36" w:rsidRPr="005B1829">
        <w:rPr>
          <w:sz w:val="16"/>
          <w:szCs w:val="16"/>
        </w:rPr>
        <w:t xml:space="preserve"> </w:t>
      </w:r>
    </w:p>
  </w:footnote>
  <w:footnote w:id="3">
    <w:p w14:paraId="268D67E6" w14:textId="0AA63FED" w:rsidR="002837E0" w:rsidRPr="002837E0" w:rsidRDefault="002837E0">
      <w:pPr>
        <w:pStyle w:val="FootnoteText"/>
        <w:rPr>
          <w:sz w:val="18"/>
          <w:szCs w:val="18"/>
        </w:rPr>
      </w:pPr>
      <w:r w:rsidRPr="002837E0">
        <w:rPr>
          <w:rStyle w:val="FootnoteReference"/>
          <w:sz w:val="18"/>
          <w:szCs w:val="18"/>
        </w:rPr>
        <w:footnoteRef/>
      </w:r>
      <w:r w:rsidRPr="002837E0">
        <w:rPr>
          <w:sz w:val="18"/>
          <w:szCs w:val="18"/>
        </w:rPr>
        <w:t xml:space="preserve"> </w:t>
      </w:r>
      <w:hyperlink r:id="rId2" w:history="1">
        <w:r w:rsidRPr="002837E0">
          <w:rPr>
            <w:rStyle w:val="Hyperlink"/>
            <w:sz w:val="18"/>
            <w:szCs w:val="18"/>
          </w:rPr>
          <w:t>https://www.who.int/about/who-we-are/regional-offices</w:t>
        </w:r>
      </w:hyperlink>
      <w:r w:rsidRPr="002837E0">
        <w:rPr>
          <w:sz w:val="18"/>
          <w:szCs w:val="18"/>
        </w:rPr>
        <w:t xml:space="preserve"> </w:t>
      </w:r>
    </w:p>
  </w:footnote>
  <w:footnote w:id="4">
    <w:p w14:paraId="67FA2284" w14:textId="7CBD2E39" w:rsidR="009774C0" w:rsidRPr="00822602" w:rsidRDefault="009774C0">
      <w:pPr>
        <w:pStyle w:val="FootnoteText"/>
        <w:rPr>
          <w:sz w:val="16"/>
          <w:szCs w:val="16"/>
        </w:rPr>
      </w:pPr>
      <w:r w:rsidRPr="00822602">
        <w:rPr>
          <w:rStyle w:val="FootnoteReference"/>
          <w:sz w:val="16"/>
          <w:szCs w:val="16"/>
        </w:rPr>
        <w:footnoteRef/>
      </w:r>
      <w:r w:rsidRPr="00822602">
        <w:rPr>
          <w:sz w:val="16"/>
          <w:szCs w:val="16"/>
        </w:rPr>
        <w:t xml:space="preserve"> </w:t>
      </w:r>
      <w:hyperlink r:id="rId3" w:history="1">
        <w:r w:rsidR="00954885" w:rsidRPr="00954885">
          <w:rPr>
            <w:rStyle w:val="Hyperlink"/>
            <w:sz w:val="16"/>
            <w:szCs w:val="16"/>
          </w:rPr>
          <w:t>https://blogs.worldbank.org/en/opendata/world-bank-country-classifications-by-income-level-for-2024-2025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51C3" w14:textId="48C9A167" w:rsidR="006015F8" w:rsidRDefault="006015F8" w:rsidP="006015F8">
    <w:pPr>
      <w:pStyle w:val="Header"/>
      <w:rPr>
        <w:rFonts w:ascii="Cambria" w:hAnsi="Cambria"/>
        <w:noProof/>
        <w:lang w:val="en-GB"/>
      </w:rPr>
    </w:pPr>
    <w:r w:rsidRPr="00F258D7">
      <w:rPr>
        <w:rFonts w:ascii="Cambria" w:hAnsi="Cambria"/>
        <w:noProof/>
        <w:lang w:val="en-GB"/>
      </w:rPr>
      <w:drawing>
        <wp:anchor distT="0" distB="0" distL="114300" distR="114300" simplePos="0" relativeHeight="251658240" behindDoc="1" locked="0" layoutInCell="1" allowOverlap="1" wp14:anchorId="2D50F958" wp14:editId="15E08AA8">
          <wp:simplePos x="0" y="0"/>
          <wp:positionH relativeFrom="column">
            <wp:posOffset>4695825</wp:posOffset>
          </wp:positionH>
          <wp:positionV relativeFrom="paragraph">
            <wp:posOffset>-147320</wp:posOffset>
          </wp:positionV>
          <wp:extent cx="1325880" cy="590550"/>
          <wp:effectExtent l="0" t="0" r="7620" b="0"/>
          <wp:wrapTight wrapText="bothSides">
            <wp:wrapPolygon edited="0">
              <wp:start x="0" y="0"/>
              <wp:lineTo x="0" y="20903"/>
              <wp:lineTo x="21414" y="20903"/>
              <wp:lineTo x="21414" y="0"/>
              <wp:lineTo x="0" y="0"/>
            </wp:wrapPolygon>
          </wp:wrapTight>
          <wp:docPr id="3" name="Picture 3"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and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590550"/>
                  </a:xfrm>
                  <a:prstGeom prst="rect">
                    <a:avLst/>
                  </a:prstGeom>
                </pic:spPr>
              </pic:pic>
            </a:graphicData>
          </a:graphic>
        </wp:anchor>
      </w:drawing>
    </w:r>
    <w:r w:rsidRPr="00F258D7">
      <w:rPr>
        <w:rFonts w:ascii="Cambria" w:hAnsi="Cambria"/>
        <w:noProof/>
        <w:lang w:val="en-GB"/>
      </w:rPr>
      <w:drawing>
        <wp:inline distT="0" distB="0" distL="0" distR="0" wp14:anchorId="71743E7E" wp14:editId="4B482227">
          <wp:extent cx="1516380" cy="464796"/>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6909" cy="464958"/>
                  </a:xfrm>
                  <a:prstGeom prst="rect">
                    <a:avLst/>
                  </a:prstGeom>
                </pic:spPr>
              </pic:pic>
            </a:graphicData>
          </a:graphic>
        </wp:inline>
      </w:drawing>
    </w:r>
    <w:r w:rsidRPr="00B803D2">
      <w:rPr>
        <w:rFonts w:ascii="Cambria" w:hAnsi="Cambria"/>
        <w:noProof/>
        <w:lang w:val="en-GB"/>
      </w:rPr>
      <w:t xml:space="preserve"> </w:t>
    </w:r>
  </w:p>
  <w:p w14:paraId="596CA578" w14:textId="6D502C59" w:rsidR="00054D6D" w:rsidRDefault="00054D6D">
    <w:pPr>
      <w:pStyle w:val="Header"/>
      <w:rPr>
        <w:color w:val="A5C9EB" w:themeColor="text2" w:themeTint="40"/>
      </w:rPr>
    </w:pPr>
    <w:r w:rsidRPr="00054D6D">
      <w:rPr>
        <w:color w:val="A5C9EB" w:themeColor="text2" w:themeTint="40"/>
      </w:rPr>
      <w:t>______________________________________________________________________________________</w:t>
    </w:r>
  </w:p>
  <w:p w14:paraId="11F41AD6" w14:textId="77777777" w:rsidR="00F32438" w:rsidRDefault="00F32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33EC"/>
    <w:multiLevelType w:val="hybridMultilevel"/>
    <w:tmpl w:val="3F90DD88"/>
    <w:lvl w:ilvl="0" w:tplc="5F4C54C0">
      <w:start w:val="1"/>
      <w:numFmt w:val="bullet"/>
      <w:lvlText w:val="●"/>
      <w:lvlJc w:val="left"/>
      <w:pPr>
        <w:ind w:left="720" w:hanging="360"/>
      </w:pPr>
    </w:lvl>
    <w:lvl w:ilvl="1" w:tplc="B398482C">
      <w:start w:val="1"/>
      <w:numFmt w:val="bullet"/>
      <w:lvlText w:val="○"/>
      <w:lvlJc w:val="left"/>
      <w:pPr>
        <w:ind w:left="1440" w:hanging="360"/>
      </w:pPr>
    </w:lvl>
    <w:lvl w:ilvl="2" w:tplc="18303894">
      <w:start w:val="1"/>
      <w:numFmt w:val="bullet"/>
      <w:lvlText w:val="■"/>
      <w:lvlJc w:val="left"/>
      <w:pPr>
        <w:ind w:left="2160" w:hanging="360"/>
      </w:pPr>
    </w:lvl>
    <w:lvl w:ilvl="3" w:tplc="DEC4AF5A">
      <w:start w:val="1"/>
      <w:numFmt w:val="bullet"/>
      <w:lvlText w:val="●"/>
      <w:lvlJc w:val="left"/>
      <w:pPr>
        <w:ind w:left="2880" w:hanging="360"/>
      </w:pPr>
    </w:lvl>
    <w:lvl w:ilvl="4" w:tplc="9AA8A35C">
      <w:start w:val="1"/>
      <w:numFmt w:val="bullet"/>
      <w:lvlText w:val="○"/>
      <w:lvlJc w:val="left"/>
      <w:pPr>
        <w:ind w:left="3600" w:hanging="360"/>
      </w:pPr>
    </w:lvl>
    <w:lvl w:ilvl="5" w:tplc="771CFB04">
      <w:start w:val="1"/>
      <w:numFmt w:val="bullet"/>
      <w:lvlText w:val="■"/>
      <w:lvlJc w:val="left"/>
      <w:pPr>
        <w:ind w:left="4320" w:hanging="360"/>
      </w:pPr>
    </w:lvl>
    <w:lvl w:ilvl="6" w:tplc="65060912">
      <w:start w:val="1"/>
      <w:numFmt w:val="bullet"/>
      <w:lvlText w:val="●"/>
      <w:lvlJc w:val="left"/>
      <w:pPr>
        <w:ind w:left="5040" w:hanging="360"/>
      </w:pPr>
    </w:lvl>
    <w:lvl w:ilvl="7" w:tplc="498851B0">
      <w:start w:val="1"/>
      <w:numFmt w:val="bullet"/>
      <w:lvlText w:val="●"/>
      <w:lvlJc w:val="left"/>
      <w:pPr>
        <w:ind w:left="5760" w:hanging="360"/>
      </w:pPr>
    </w:lvl>
    <w:lvl w:ilvl="8" w:tplc="4EDA620C">
      <w:start w:val="1"/>
      <w:numFmt w:val="bullet"/>
      <w:lvlText w:val="●"/>
      <w:lvlJc w:val="left"/>
      <w:pPr>
        <w:ind w:left="6480" w:hanging="360"/>
      </w:pPr>
    </w:lvl>
  </w:abstractNum>
  <w:abstractNum w:abstractNumId="1" w15:restartNumberingAfterBreak="0">
    <w:nsid w:val="52610825"/>
    <w:multiLevelType w:val="hybridMultilevel"/>
    <w:tmpl w:val="32844F98"/>
    <w:lvl w:ilvl="0" w:tplc="109EE7FE">
      <w:start w:val="1"/>
      <w:numFmt w:val="bullet"/>
      <w:lvlText w:val="•"/>
      <w:lvlJc w:val="left"/>
      <w:pPr>
        <w:ind w:left="720" w:hanging="360"/>
      </w:pPr>
    </w:lvl>
    <w:lvl w:ilvl="1" w:tplc="79623CEE">
      <w:numFmt w:val="decimal"/>
      <w:lvlText w:val=""/>
      <w:lvlJc w:val="left"/>
    </w:lvl>
    <w:lvl w:ilvl="2" w:tplc="E8581404">
      <w:numFmt w:val="decimal"/>
      <w:lvlText w:val=""/>
      <w:lvlJc w:val="left"/>
    </w:lvl>
    <w:lvl w:ilvl="3" w:tplc="43C2DA54">
      <w:numFmt w:val="decimal"/>
      <w:lvlText w:val=""/>
      <w:lvlJc w:val="left"/>
    </w:lvl>
    <w:lvl w:ilvl="4" w:tplc="56D820B2">
      <w:numFmt w:val="decimal"/>
      <w:lvlText w:val=""/>
      <w:lvlJc w:val="left"/>
    </w:lvl>
    <w:lvl w:ilvl="5" w:tplc="9162D270">
      <w:numFmt w:val="decimal"/>
      <w:lvlText w:val=""/>
      <w:lvlJc w:val="left"/>
    </w:lvl>
    <w:lvl w:ilvl="6" w:tplc="92F445B4">
      <w:numFmt w:val="decimal"/>
      <w:lvlText w:val=""/>
      <w:lvlJc w:val="left"/>
    </w:lvl>
    <w:lvl w:ilvl="7" w:tplc="8BEA15EA">
      <w:numFmt w:val="decimal"/>
      <w:lvlText w:val=""/>
      <w:lvlJc w:val="left"/>
    </w:lvl>
    <w:lvl w:ilvl="8" w:tplc="1C924DEC">
      <w:numFmt w:val="decimal"/>
      <w:lvlText w:val=""/>
      <w:lvlJc w:val="left"/>
    </w:lvl>
  </w:abstractNum>
  <w:abstractNum w:abstractNumId="2" w15:restartNumberingAfterBreak="0">
    <w:nsid w:val="728079A0"/>
    <w:multiLevelType w:val="hybridMultilevel"/>
    <w:tmpl w:val="887ECC38"/>
    <w:lvl w:ilvl="0" w:tplc="031CB5E4">
      <w:start w:val="1"/>
      <w:numFmt w:val="decimal"/>
      <w:lvlText w:val="%1."/>
      <w:lvlJc w:val="left"/>
      <w:pPr>
        <w:ind w:left="720" w:hanging="360"/>
      </w:pPr>
    </w:lvl>
    <w:lvl w:ilvl="1" w:tplc="73CAA922">
      <w:numFmt w:val="decimal"/>
      <w:lvlText w:val=""/>
      <w:lvlJc w:val="left"/>
    </w:lvl>
    <w:lvl w:ilvl="2" w:tplc="FFBED22C">
      <w:numFmt w:val="decimal"/>
      <w:lvlText w:val=""/>
      <w:lvlJc w:val="left"/>
    </w:lvl>
    <w:lvl w:ilvl="3" w:tplc="6F64CF1E">
      <w:numFmt w:val="decimal"/>
      <w:lvlText w:val=""/>
      <w:lvlJc w:val="left"/>
    </w:lvl>
    <w:lvl w:ilvl="4" w:tplc="57D02D5C">
      <w:numFmt w:val="decimal"/>
      <w:lvlText w:val=""/>
      <w:lvlJc w:val="left"/>
    </w:lvl>
    <w:lvl w:ilvl="5" w:tplc="714264A6">
      <w:numFmt w:val="decimal"/>
      <w:lvlText w:val=""/>
      <w:lvlJc w:val="left"/>
    </w:lvl>
    <w:lvl w:ilvl="6" w:tplc="A224E1B8">
      <w:numFmt w:val="decimal"/>
      <w:lvlText w:val=""/>
      <w:lvlJc w:val="left"/>
    </w:lvl>
    <w:lvl w:ilvl="7" w:tplc="061A8AE6">
      <w:numFmt w:val="decimal"/>
      <w:lvlText w:val=""/>
      <w:lvlJc w:val="left"/>
    </w:lvl>
    <w:lvl w:ilvl="8" w:tplc="3C44904C">
      <w:numFmt w:val="decimal"/>
      <w:lvlText w:val=""/>
      <w:lvlJc w:val="left"/>
    </w:lvl>
  </w:abstractNum>
  <w:abstractNum w:abstractNumId="3" w15:restartNumberingAfterBreak="0">
    <w:nsid w:val="743027C5"/>
    <w:multiLevelType w:val="hybridMultilevel"/>
    <w:tmpl w:val="B600D18C"/>
    <w:lvl w:ilvl="0" w:tplc="83526F2E">
      <w:start w:val="1"/>
      <w:numFmt w:val="bullet"/>
      <w:lvlText w:val="–"/>
      <w:lvlJc w:val="left"/>
      <w:pPr>
        <w:ind w:left="1080" w:hanging="360"/>
      </w:pPr>
    </w:lvl>
    <w:lvl w:ilvl="1" w:tplc="AC364550">
      <w:numFmt w:val="decimal"/>
      <w:lvlText w:val=""/>
      <w:lvlJc w:val="left"/>
    </w:lvl>
    <w:lvl w:ilvl="2" w:tplc="5BCAADCE">
      <w:numFmt w:val="decimal"/>
      <w:lvlText w:val=""/>
      <w:lvlJc w:val="left"/>
    </w:lvl>
    <w:lvl w:ilvl="3" w:tplc="46CEBD88">
      <w:numFmt w:val="decimal"/>
      <w:lvlText w:val=""/>
      <w:lvlJc w:val="left"/>
    </w:lvl>
    <w:lvl w:ilvl="4" w:tplc="BB180BB6">
      <w:numFmt w:val="decimal"/>
      <w:lvlText w:val=""/>
      <w:lvlJc w:val="left"/>
    </w:lvl>
    <w:lvl w:ilvl="5" w:tplc="A2F65A70">
      <w:numFmt w:val="decimal"/>
      <w:lvlText w:val=""/>
      <w:lvlJc w:val="left"/>
    </w:lvl>
    <w:lvl w:ilvl="6" w:tplc="FF4A52E4">
      <w:numFmt w:val="decimal"/>
      <w:lvlText w:val=""/>
      <w:lvlJc w:val="left"/>
    </w:lvl>
    <w:lvl w:ilvl="7" w:tplc="44C8FA32">
      <w:numFmt w:val="decimal"/>
      <w:lvlText w:val=""/>
      <w:lvlJc w:val="left"/>
    </w:lvl>
    <w:lvl w:ilvl="8" w:tplc="E776480E">
      <w:numFmt w:val="decimal"/>
      <w:lvlText w:val=""/>
      <w:lvlJc w:val="left"/>
    </w:lvl>
  </w:abstractNum>
  <w:num w:numId="1" w16cid:durableId="2045446194">
    <w:abstractNumId w:val="0"/>
    <w:lvlOverride w:ilvl="0">
      <w:startOverride w:val="1"/>
    </w:lvlOverride>
  </w:num>
  <w:num w:numId="2" w16cid:durableId="2142528343">
    <w:abstractNumId w:val="2"/>
    <w:lvlOverride w:ilvl="0">
      <w:startOverride w:val="1"/>
    </w:lvlOverride>
  </w:num>
  <w:num w:numId="3" w16cid:durableId="11461659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DC"/>
    <w:rsid w:val="00015A66"/>
    <w:rsid w:val="00020B40"/>
    <w:rsid w:val="0002695F"/>
    <w:rsid w:val="000320BE"/>
    <w:rsid w:val="00032681"/>
    <w:rsid w:val="00040B21"/>
    <w:rsid w:val="00040E4F"/>
    <w:rsid w:val="000526AA"/>
    <w:rsid w:val="00052B55"/>
    <w:rsid w:val="00054D6D"/>
    <w:rsid w:val="00054F6D"/>
    <w:rsid w:val="00075404"/>
    <w:rsid w:val="00080DAF"/>
    <w:rsid w:val="00081541"/>
    <w:rsid w:val="00083BDF"/>
    <w:rsid w:val="00094B7F"/>
    <w:rsid w:val="00096E7D"/>
    <w:rsid w:val="000A51F9"/>
    <w:rsid w:val="000B0E2C"/>
    <w:rsid w:val="000C2735"/>
    <w:rsid w:val="000C58EE"/>
    <w:rsid w:val="000D5004"/>
    <w:rsid w:val="000D5ACE"/>
    <w:rsid w:val="000E6DB5"/>
    <w:rsid w:val="000F1A69"/>
    <w:rsid w:val="000F7A52"/>
    <w:rsid w:val="00100FC7"/>
    <w:rsid w:val="00155464"/>
    <w:rsid w:val="00155739"/>
    <w:rsid w:val="00165225"/>
    <w:rsid w:val="00166E7F"/>
    <w:rsid w:val="001773FA"/>
    <w:rsid w:val="001901FA"/>
    <w:rsid w:val="00195AE7"/>
    <w:rsid w:val="001A4524"/>
    <w:rsid w:val="001B36FC"/>
    <w:rsid w:val="001C1433"/>
    <w:rsid w:val="001C7425"/>
    <w:rsid w:val="001F0D22"/>
    <w:rsid w:val="00227058"/>
    <w:rsid w:val="00244F2D"/>
    <w:rsid w:val="0025119C"/>
    <w:rsid w:val="00256DFA"/>
    <w:rsid w:val="002623C9"/>
    <w:rsid w:val="00265C70"/>
    <w:rsid w:val="00266314"/>
    <w:rsid w:val="00282EB7"/>
    <w:rsid w:val="002837E0"/>
    <w:rsid w:val="002875C4"/>
    <w:rsid w:val="002940F4"/>
    <w:rsid w:val="00295547"/>
    <w:rsid w:val="002A380A"/>
    <w:rsid w:val="002A416B"/>
    <w:rsid w:val="002A76C9"/>
    <w:rsid w:val="002C3514"/>
    <w:rsid w:val="002D2FEA"/>
    <w:rsid w:val="002D7CA5"/>
    <w:rsid w:val="002F204B"/>
    <w:rsid w:val="002F621D"/>
    <w:rsid w:val="002F7E57"/>
    <w:rsid w:val="00324CD9"/>
    <w:rsid w:val="0032741E"/>
    <w:rsid w:val="00330E3D"/>
    <w:rsid w:val="00343B10"/>
    <w:rsid w:val="0034636C"/>
    <w:rsid w:val="0035714F"/>
    <w:rsid w:val="00381B7E"/>
    <w:rsid w:val="003844E1"/>
    <w:rsid w:val="00387515"/>
    <w:rsid w:val="003965DF"/>
    <w:rsid w:val="003A2E4B"/>
    <w:rsid w:val="003A6F38"/>
    <w:rsid w:val="003B5914"/>
    <w:rsid w:val="003C1AA1"/>
    <w:rsid w:val="003D0ED9"/>
    <w:rsid w:val="003D2B8B"/>
    <w:rsid w:val="003E63FD"/>
    <w:rsid w:val="003F2411"/>
    <w:rsid w:val="004055D7"/>
    <w:rsid w:val="00407374"/>
    <w:rsid w:val="00411311"/>
    <w:rsid w:val="00415FAE"/>
    <w:rsid w:val="00423447"/>
    <w:rsid w:val="004309B3"/>
    <w:rsid w:val="0043754A"/>
    <w:rsid w:val="004378E7"/>
    <w:rsid w:val="00440585"/>
    <w:rsid w:val="00455BFB"/>
    <w:rsid w:val="00475298"/>
    <w:rsid w:val="00475D04"/>
    <w:rsid w:val="004C25B2"/>
    <w:rsid w:val="004D1898"/>
    <w:rsid w:val="004D544B"/>
    <w:rsid w:val="004F115C"/>
    <w:rsid w:val="004F60CF"/>
    <w:rsid w:val="0050417B"/>
    <w:rsid w:val="0051775C"/>
    <w:rsid w:val="0053614F"/>
    <w:rsid w:val="00540B30"/>
    <w:rsid w:val="0055677B"/>
    <w:rsid w:val="00590F36"/>
    <w:rsid w:val="00591527"/>
    <w:rsid w:val="005975F6"/>
    <w:rsid w:val="005A04E8"/>
    <w:rsid w:val="005B1829"/>
    <w:rsid w:val="005B5142"/>
    <w:rsid w:val="005B7E20"/>
    <w:rsid w:val="005F40DC"/>
    <w:rsid w:val="006015F8"/>
    <w:rsid w:val="00602372"/>
    <w:rsid w:val="006130D3"/>
    <w:rsid w:val="006139BA"/>
    <w:rsid w:val="006168A0"/>
    <w:rsid w:val="0063661B"/>
    <w:rsid w:val="006418E3"/>
    <w:rsid w:val="00645F5F"/>
    <w:rsid w:val="006757D8"/>
    <w:rsid w:val="0068104D"/>
    <w:rsid w:val="00685486"/>
    <w:rsid w:val="00687FFA"/>
    <w:rsid w:val="00694D4B"/>
    <w:rsid w:val="006B346A"/>
    <w:rsid w:val="006E24D0"/>
    <w:rsid w:val="006E3CED"/>
    <w:rsid w:val="006E72C0"/>
    <w:rsid w:val="00701AF4"/>
    <w:rsid w:val="00702535"/>
    <w:rsid w:val="00707434"/>
    <w:rsid w:val="00736697"/>
    <w:rsid w:val="007374A4"/>
    <w:rsid w:val="00740C5C"/>
    <w:rsid w:val="00742551"/>
    <w:rsid w:val="00742FEE"/>
    <w:rsid w:val="00751A0F"/>
    <w:rsid w:val="00757645"/>
    <w:rsid w:val="00757DE8"/>
    <w:rsid w:val="00766AD0"/>
    <w:rsid w:val="0078037C"/>
    <w:rsid w:val="00784DAB"/>
    <w:rsid w:val="00791A28"/>
    <w:rsid w:val="007B1697"/>
    <w:rsid w:val="00804455"/>
    <w:rsid w:val="00812AFC"/>
    <w:rsid w:val="008144D0"/>
    <w:rsid w:val="00822602"/>
    <w:rsid w:val="0083106E"/>
    <w:rsid w:val="00834B35"/>
    <w:rsid w:val="00845733"/>
    <w:rsid w:val="0085258C"/>
    <w:rsid w:val="00852A51"/>
    <w:rsid w:val="008556D7"/>
    <w:rsid w:val="00891D38"/>
    <w:rsid w:val="008950D7"/>
    <w:rsid w:val="0089776B"/>
    <w:rsid w:val="008B4C9B"/>
    <w:rsid w:val="008B7CAF"/>
    <w:rsid w:val="008C1C2B"/>
    <w:rsid w:val="008C698E"/>
    <w:rsid w:val="008D5886"/>
    <w:rsid w:val="008E0935"/>
    <w:rsid w:val="008E4801"/>
    <w:rsid w:val="008E48AA"/>
    <w:rsid w:val="00907915"/>
    <w:rsid w:val="00917305"/>
    <w:rsid w:val="0092175B"/>
    <w:rsid w:val="00925EAE"/>
    <w:rsid w:val="00930859"/>
    <w:rsid w:val="00951508"/>
    <w:rsid w:val="00954518"/>
    <w:rsid w:val="00954885"/>
    <w:rsid w:val="00955C48"/>
    <w:rsid w:val="00956405"/>
    <w:rsid w:val="00962AB3"/>
    <w:rsid w:val="0097199B"/>
    <w:rsid w:val="009774C0"/>
    <w:rsid w:val="00986655"/>
    <w:rsid w:val="009B2D1D"/>
    <w:rsid w:val="009C275F"/>
    <w:rsid w:val="009C6DA9"/>
    <w:rsid w:val="009D20AD"/>
    <w:rsid w:val="009E571A"/>
    <w:rsid w:val="009F70D1"/>
    <w:rsid w:val="009F7910"/>
    <w:rsid w:val="00A008B6"/>
    <w:rsid w:val="00A00EAA"/>
    <w:rsid w:val="00A14688"/>
    <w:rsid w:val="00A163AF"/>
    <w:rsid w:val="00A373F1"/>
    <w:rsid w:val="00A409DA"/>
    <w:rsid w:val="00A50ED7"/>
    <w:rsid w:val="00A541A0"/>
    <w:rsid w:val="00A57576"/>
    <w:rsid w:val="00A91B6C"/>
    <w:rsid w:val="00A96E63"/>
    <w:rsid w:val="00AC0F7F"/>
    <w:rsid w:val="00AC25D2"/>
    <w:rsid w:val="00AC3A2D"/>
    <w:rsid w:val="00AE5BB5"/>
    <w:rsid w:val="00AF17FA"/>
    <w:rsid w:val="00AF6BA2"/>
    <w:rsid w:val="00B065A0"/>
    <w:rsid w:val="00B21731"/>
    <w:rsid w:val="00B3461A"/>
    <w:rsid w:val="00B54574"/>
    <w:rsid w:val="00B74B9D"/>
    <w:rsid w:val="00B75846"/>
    <w:rsid w:val="00B96790"/>
    <w:rsid w:val="00BA125E"/>
    <w:rsid w:val="00BA7239"/>
    <w:rsid w:val="00BB64DB"/>
    <w:rsid w:val="00BC1979"/>
    <w:rsid w:val="00BD6EE2"/>
    <w:rsid w:val="00BF583D"/>
    <w:rsid w:val="00C033B8"/>
    <w:rsid w:val="00C03FA0"/>
    <w:rsid w:val="00C049A4"/>
    <w:rsid w:val="00C451E1"/>
    <w:rsid w:val="00C527CE"/>
    <w:rsid w:val="00C555FF"/>
    <w:rsid w:val="00C573C3"/>
    <w:rsid w:val="00C62263"/>
    <w:rsid w:val="00C640D9"/>
    <w:rsid w:val="00C738FB"/>
    <w:rsid w:val="00C964EF"/>
    <w:rsid w:val="00CA2453"/>
    <w:rsid w:val="00CB6342"/>
    <w:rsid w:val="00CC1E14"/>
    <w:rsid w:val="00CD13D0"/>
    <w:rsid w:val="00CF1805"/>
    <w:rsid w:val="00CF4E07"/>
    <w:rsid w:val="00CF7D2B"/>
    <w:rsid w:val="00D21F4B"/>
    <w:rsid w:val="00D22ABC"/>
    <w:rsid w:val="00D24D05"/>
    <w:rsid w:val="00D3163F"/>
    <w:rsid w:val="00D35E71"/>
    <w:rsid w:val="00D36733"/>
    <w:rsid w:val="00D36C1E"/>
    <w:rsid w:val="00D4128D"/>
    <w:rsid w:val="00D544EF"/>
    <w:rsid w:val="00D60C0C"/>
    <w:rsid w:val="00D77D9B"/>
    <w:rsid w:val="00D84226"/>
    <w:rsid w:val="00D86C80"/>
    <w:rsid w:val="00D9685F"/>
    <w:rsid w:val="00DA1B18"/>
    <w:rsid w:val="00DC434A"/>
    <w:rsid w:val="00DD26B0"/>
    <w:rsid w:val="00DD2BCA"/>
    <w:rsid w:val="00DE1BC5"/>
    <w:rsid w:val="00DE511D"/>
    <w:rsid w:val="00DF2CEF"/>
    <w:rsid w:val="00DF6BFC"/>
    <w:rsid w:val="00DF7DC1"/>
    <w:rsid w:val="00E04A0A"/>
    <w:rsid w:val="00E10642"/>
    <w:rsid w:val="00E131C6"/>
    <w:rsid w:val="00E23150"/>
    <w:rsid w:val="00E64D36"/>
    <w:rsid w:val="00E74792"/>
    <w:rsid w:val="00E8227F"/>
    <w:rsid w:val="00E8715C"/>
    <w:rsid w:val="00E911C2"/>
    <w:rsid w:val="00E9551D"/>
    <w:rsid w:val="00E958EC"/>
    <w:rsid w:val="00E96FB5"/>
    <w:rsid w:val="00E971EC"/>
    <w:rsid w:val="00EA622A"/>
    <w:rsid w:val="00EB1C02"/>
    <w:rsid w:val="00EB476B"/>
    <w:rsid w:val="00EB73B2"/>
    <w:rsid w:val="00ED69C1"/>
    <w:rsid w:val="00EF2941"/>
    <w:rsid w:val="00F32438"/>
    <w:rsid w:val="00F3797D"/>
    <w:rsid w:val="00F5090A"/>
    <w:rsid w:val="00F52282"/>
    <w:rsid w:val="00F54B03"/>
    <w:rsid w:val="00F62E08"/>
    <w:rsid w:val="00F67FDC"/>
    <w:rsid w:val="00F833B5"/>
    <w:rsid w:val="00F951C7"/>
    <w:rsid w:val="00F95829"/>
    <w:rsid w:val="00FB10D6"/>
    <w:rsid w:val="00FC4E33"/>
    <w:rsid w:val="00FD6347"/>
    <w:rsid w:val="00FE707D"/>
    <w:rsid w:val="7D66A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899BB"/>
  <w15:docId w15:val="{15C12C24-A356-4E51-822A-E902BA85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6BB6"/>
      <w:sz w:val="28"/>
      <w:szCs w:val="28"/>
    </w:rPr>
  </w:style>
  <w:style w:type="paragraph" w:styleId="Heading2">
    <w:name w:val="heading 2"/>
    <w:uiPriority w:val="9"/>
    <w:unhideWhenUsed/>
    <w:qFormat/>
    <w:pPr>
      <w:spacing w:before="240" w:after="80"/>
      <w:outlineLvl w:val="1"/>
    </w:pPr>
    <w:rPr>
      <w:b/>
      <w:bCs/>
      <w:color w:val="005A8E"/>
      <w:sz w:val="24"/>
      <w:szCs w:val="24"/>
    </w:rPr>
  </w:style>
  <w:style w:type="paragraph" w:styleId="Heading3">
    <w:name w:val="heading 3"/>
    <w:uiPriority w:val="9"/>
    <w:unhideWhenUsed/>
    <w:qFormat/>
    <w:pPr>
      <w:spacing w:before="200" w:after="60"/>
      <w:outlineLvl w:val="2"/>
    </w:pPr>
    <w:rPr>
      <w:b/>
      <w:bCs/>
      <w:color w:val="3333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37E0"/>
    <w:rPr>
      <w:color w:val="605E5C"/>
      <w:shd w:val="clear" w:color="auto" w:fill="E1DFDD"/>
    </w:rPr>
  </w:style>
  <w:style w:type="paragraph" w:styleId="Bibliography">
    <w:name w:val="Bibliography"/>
    <w:basedOn w:val="Normal"/>
    <w:next w:val="Normal"/>
    <w:uiPriority w:val="37"/>
    <w:unhideWhenUsed/>
    <w:rsid w:val="000B0E2C"/>
    <w:pPr>
      <w:spacing w:after="240"/>
    </w:pPr>
  </w:style>
  <w:style w:type="paragraph" w:styleId="Header">
    <w:name w:val="header"/>
    <w:basedOn w:val="Normal"/>
    <w:link w:val="HeaderChar"/>
    <w:uiPriority w:val="99"/>
    <w:unhideWhenUsed/>
    <w:rsid w:val="008950D7"/>
    <w:pPr>
      <w:tabs>
        <w:tab w:val="center" w:pos="4680"/>
        <w:tab w:val="right" w:pos="9360"/>
      </w:tabs>
    </w:pPr>
  </w:style>
  <w:style w:type="character" w:customStyle="1" w:styleId="HeaderChar">
    <w:name w:val="Header Char"/>
    <w:basedOn w:val="DefaultParagraphFont"/>
    <w:link w:val="Header"/>
    <w:uiPriority w:val="99"/>
    <w:rsid w:val="008950D7"/>
  </w:style>
  <w:style w:type="paragraph" w:styleId="Footer">
    <w:name w:val="footer"/>
    <w:basedOn w:val="Normal"/>
    <w:link w:val="FooterChar"/>
    <w:uiPriority w:val="99"/>
    <w:unhideWhenUsed/>
    <w:rsid w:val="008950D7"/>
    <w:pPr>
      <w:tabs>
        <w:tab w:val="center" w:pos="4680"/>
        <w:tab w:val="right" w:pos="9360"/>
      </w:tabs>
    </w:pPr>
  </w:style>
  <w:style w:type="character" w:customStyle="1" w:styleId="FooterChar">
    <w:name w:val="Footer Char"/>
    <w:basedOn w:val="DefaultParagraphFont"/>
    <w:link w:val="Footer"/>
    <w:uiPriority w:val="99"/>
    <w:rsid w:val="008950D7"/>
  </w:style>
  <w:style w:type="character" w:styleId="Strong">
    <w:name w:val="Strong"/>
    <w:basedOn w:val="DefaultParagraphFont"/>
    <w:uiPriority w:val="22"/>
    <w:qFormat/>
    <w:rsid w:val="00437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2325">
      <w:bodyDiv w:val="1"/>
      <w:marLeft w:val="0"/>
      <w:marRight w:val="0"/>
      <w:marTop w:val="0"/>
      <w:marBottom w:val="0"/>
      <w:divBdr>
        <w:top w:val="none" w:sz="0" w:space="0" w:color="auto"/>
        <w:left w:val="none" w:sz="0" w:space="0" w:color="auto"/>
        <w:bottom w:val="none" w:sz="0" w:space="0" w:color="auto"/>
        <w:right w:val="none" w:sz="0" w:space="0" w:color="auto"/>
      </w:divBdr>
    </w:div>
    <w:div w:id="361327887">
      <w:bodyDiv w:val="1"/>
      <w:marLeft w:val="0"/>
      <w:marRight w:val="0"/>
      <w:marTop w:val="0"/>
      <w:marBottom w:val="0"/>
      <w:divBdr>
        <w:top w:val="none" w:sz="0" w:space="0" w:color="auto"/>
        <w:left w:val="none" w:sz="0" w:space="0" w:color="auto"/>
        <w:bottom w:val="none" w:sz="0" w:space="0" w:color="auto"/>
        <w:right w:val="none" w:sz="0" w:space="0" w:color="auto"/>
      </w:divBdr>
    </w:div>
    <w:div w:id="1528912221">
      <w:bodyDiv w:val="1"/>
      <w:marLeft w:val="0"/>
      <w:marRight w:val="0"/>
      <w:marTop w:val="0"/>
      <w:marBottom w:val="0"/>
      <w:divBdr>
        <w:top w:val="none" w:sz="0" w:space="0" w:color="auto"/>
        <w:left w:val="none" w:sz="0" w:space="0" w:color="auto"/>
        <w:bottom w:val="none" w:sz="0" w:space="0" w:color="auto"/>
        <w:right w:val="none" w:sz="0" w:space="0" w:color="auto"/>
      </w:divBdr>
    </w:div>
    <w:div w:id="156383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hmph@wh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who.int/dataformv6/index.php/653465?lang=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ho.int/dataformv6/index.php/653465?lang=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logs.worldbank.org/en/opendata/world-bank-country-classifications-by-income-level-for-2024-2025" TargetMode="External"/><Relationship Id="rId2" Type="http://schemas.openxmlformats.org/officeDocument/2006/relationships/hyperlink" Target="https://www.who.int/about/who-we-are/regional-offices" TargetMode="External"/><Relationship Id="rId1" Type="http://schemas.openxmlformats.org/officeDocument/2006/relationships/hyperlink" Target="https://blogs.worldbank.org/en/opendata/world-bank-country-classifications-by-income-level-for-2024-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FD318D196264CAAFC950941FDB879" ma:contentTypeVersion="11" ma:contentTypeDescription="Create a new document." ma:contentTypeScope="" ma:versionID="6794fcebe5ab1505a2349ee0d1ce4e6f">
  <xsd:schema xmlns:xsd="http://www.w3.org/2001/XMLSchema" xmlns:xs="http://www.w3.org/2001/XMLSchema" xmlns:p="http://schemas.microsoft.com/office/2006/metadata/properties" xmlns:ns2="174a4400-f2ee-4775-9675-acbd89acb25a" targetNamespace="http://schemas.microsoft.com/office/2006/metadata/properties" ma:root="true" ma:fieldsID="b0759e7e7797b254fe68be10b5721172" ns2:_="">
    <xsd:import namespace="174a4400-f2ee-4775-9675-acbd89acb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4400-f2ee-4775-9675-acbd89ac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a4400-f2ee-4775-9675-acbd89acb2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80E66-EF94-4384-A5B0-C87DDEE51DCC}">
  <ds:schemaRefs>
    <ds:schemaRef ds:uri="http://schemas.microsoft.com/sharepoint/v3/contenttype/forms"/>
  </ds:schemaRefs>
</ds:datastoreItem>
</file>

<file path=customXml/itemProps2.xml><?xml version="1.0" encoding="utf-8"?>
<ds:datastoreItem xmlns:ds="http://schemas.openxmlformats.org/officeDocument/2006/customXml" ds:itemID="{2EB43198-6D43-40DF-812B-0F3C25FF1663}">
  <ds:schemaRefs>
    <ds:schemaRef ds:uri="http://schemas.openxmlformats.org/officeDocument/2006/bibliography"/>
  </ds:schemaRefs>
</ds:datastoreItem>
</file>

<file path=customXml/itemProps3.xml><?xml version="1.0" encoding="utf-8"?>
<ds:datastoreItem xmlns:ds="http://schemas.openxmlformats.org/officeDocument/2006/customXml" ds:itemID="{9CAC2CB7-88E2-4F6B-B03B-7BECE084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4400-f2ee-4775-9675-acbd89ac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7BB38-7427-40CC-B2C4-788401FAFDED}">
  <ds:schemaRefs>
    <ds:schemaRef ds:uri="http://schemas.microsoft.com/office/2006/metadata/properties"/>
    <ds:schemaRef ds:uri="http://schemas.microsoft.com/office/infopath/2007/PartnerControls"/>
    <ds:schemaRef ds:uri="174a4400-f2ee-4775-9675-acbd89acb25a"/>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12</Pages>
  <Words>10819</Words>
  <Characters>61669</Characters>
  <Application>Microsoft Office Word</Application>
  <DocSecurity>0</DocSecurity>
  <Lines>513</Lines>
  <Paragraphs>144</Paragraphs>
  <ScaleCrop>false</ScaleCrop>
  <Company/>
  <LinksUpToDate>false</LinksUpToDate>
  <CharactersWithSpaces>72344</CharactersWithSpaces>
  <SharedDoc>false</SharedDoc>
  <HLinks>
    <vt:vector size="36" baseType="variant">
      <vt:variant>
        <vt:i4>6357068</vt:i4>
      </vt:variant>
      <vt:variant>
        <vt:i4>42</vt:i4>
      </vt:variant>
      <vt:variant>
        <vt:i4>0</vt:i4>
      </vt:variant>
      <vt:variant>
        <vt:i4>5</vt:i4>
      </vt:variant>
      <vt:variant>
        <vt:lpwstr>mailto:srhmph@who.int</vt:lpwstr>
      </vt:variant>
      <vt:variant>
        <vt:lpwstr/>
      </vt:variant>
      <vt:variant>
        <vt:i4>1638492</vt:i4>
      </vt:variant>
      <vt:variant>
        <vt:i4>39</vt:i4>
      </vt:variant>
      <vt:variant>
        <vt:i4>0</vt:i4>
      </vt:variant>
      <vt:variant>
        <vt:i4>5</vt:i4>
      </vt:variant>
      <vt:variant>
        <vt:lpwstr>mailto:application form in this link</vt:lpwstr>
      </vt:variant>
      <vt:variant>
        <vt:lpwstr/>
      </vt:variant>
      <vt:variant>
        <vt:i4>5505096</vt:i4>
      </vt:variant>
      <vt:variant>
        <vt:i4>0</vt:i4>
      </vt:variant>
      <vt:variant>
        <vt:i4>0</vt:i4>
      </vt:variant>
      <vt:variant>
        <vt:i4>5</vt:i4>
      </vt:variant>
      <vt:variant>
        <vt:lpwstr>https://forms.office.com/e/E7xNvKNvMh</vt:lpwstr>
      </vt:variant>
      <vt:variant>
        <vt:lpwstr/>
      </vt:variant>
      <vt:variant>
        <vt:i4>5308443</vt:i4>
      </vt:variant>
      <vt:variant>
        <vt:i4>6</vt:i4>
      </vt:variant>
      <vt:variant>
        <vt:i4>0</vt:i4>
      </vt:variant>
      <vt:variant>
        <vt:i4>5</vt:i4>
      </vt:variant>
      <vt:variant>
        <vt:lpwstr>https://blogs.worldbank.org/en/opendata/world-bank-country-classifications-by-income-level-for-2024-2025</vt:lpwstr>
      </vt:variant>
      <vt:variant>
        <vt:lpwstr/>
      </vt:variant>
      <vt:variant>
        <vt:i4>983108</vt:i4>
      </vt:variant>
      <vt:variant>
        <vt:i4>3</vt:i4>
      </vt:variant>
      <vt:variant>
        <vt:i4>0</vt:i4>
      </vt:variant>
      <vt:variant>
        <vt:i4>5</vt:i4>
      </vt:variant>
      <vt:variant>
        <vt:lpwstr>https://www.who.int/about/who-we-are/regional-offices</vt:lpwstr>
      </vt:variant>
      <vt:variant>
        <vt:lpwstr/>
      </vt:variant>
      <vt:variant>
        <vt:i4>5308443</vt:i4>
      </vt:variant>
      <vt:variant>
        <vt:i4>0</vt:i4>
      </vt:variant>
      <vt:variant>
        <vt:i4>0</vt:i4>
      </vt:variant>
      <vt:variant>
        <vt:i4>5</vt:i4>
      </vt:variant>
      <vt:variant>
        <vt:lpwstr>https://blogs.worldbank.org/en/opendata/world-bank-country-classifications-by-income-level-for-2024-2025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BRIZUELA, Vanessa</cp:lastModifiedBy>
  <cp:revision>194</cp:revision>
  <dcterms:created xsi:type="dcterms:W3CDTF">2026-02-26T10:22:00Z</dcterms:created>
  <dcterms:modified xsi:type="dcterms:W3CDTF">2026-03-10T08:41:00Z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id="EVtjqdBD"/&gt;&lt;style id="http://www.zotero.org/styles/springer-vancouver-brackets" locale="en-US"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y fmtid="{D5CDD505-2E9C-101B-9397-08002B2CF9AE}" pid="4" name="ContentTypeId">
    <vt:lpwstr>0x0101005F9FD318D196264CAAFC950941FDB879</vt:lpwstr>
  </property>
  <property fmtid="{D5CDD505-2E9C-101B-9397-08002B2CF9AE}" pid="5" name="MediaServiceImageTags">
    <vt:lpwstr/>
  </property>
  <property fmtid="{D5CDD505-2E9C-101B-9397-08002B2CF9AE}" pid="6" name="docLang">
    <vt:lpwstr>en</vt:lpwstr>
  </property>
</Properties>
</file>