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B562" w14:textId="5E0AB0FB" w:rsidR="00F43843" w:rsidRDefault="00335FC1" w:rsidP="00FF66D8">
      <w:pPr>
        <w:pStyle w:val="Heading1"/>
        <w:rPr>
          <w:sz w:val="36"/>
          <w:szCs w:val="36"/>
          <w:lang w:val="en-GB"/>
        </w:rPr>
      </w:pPr>
      <w:r>
        <w:rPr>
          <w:sz w:val="36"/>
          <w:szCs w:val="36"/>
        </w:rPr>
        <w:t xml:space="preserve">Draft </w:t>
      </w:r>
      <w:r w:rsidR="00D4624B" w:rsidRPr="00E13218">
        <w:rPr>
          <w:sz w:val="36"/>
          <w:szCs w:val="36"/>
        </w:rPr>
        <w:t>Report from the World Health Organization's Product Development for Vaccines Advisory Committee (PDVAC) meeting, Geneva, </w:t>
      </w:r>
      <w:r w:rsidR="00D4624B" w:rsidRPr="00E13218">
        <w:rPr>
          <w:sz w:val="36"/>
          <w:szCs w:val="36"/>
          <w:lang w:val="en-GB"/>
        </w:rPr>
        <w:t>6-8 October 2025</w:t>
      </w:r>
    </w:p>
    <w:p w14:paraId="6A257C8C" w14:textId="77777777" w:rsidR="00D34CB7" w:rsidRDefault="00D34CB7" w:rsidP="00D34CB7">
      <w:pPr>
        <w:rPr>
          <w:lang w:val="en-GB"/>
        </w:rPr>
      </w:pPr>
    </w:p>
    <w:p w14:paraId="4D46C467" w14:textId="77777777" w:rsidR="00D34CB7" w:rsidRDefault="00D34CB7" w:rsidP="00D34CB7">
      <w:pPr>
        <w:rPr>
          <w:rFonts w:asciiTheme="majorHAnsi" w:eastAsiaTheme="majorEastAsia" w:hAnsiTheme="majorHAnsi" w:cstheme="majorBidi"/>
          <w:color w:val="0F4761" w:themeColor="accent1" w:themeShade="BF"/>
          <w:sz w:val="32"/>
          <w:szCs w:val="32"/>
        </w:rPr>
      </w:pPr>
      <w:r w:rsidRPr="00D34CB7">
        <w:rPr>
          <w:rFonts w:asciiTheme="majorHAnsi" w:eastAsiaTheme="majorEastAsia" w:hAnsiTheme="majorHAnsi" w:cstheme="majorBidi"/>
          <w:color w:val="0F4761" w:themeColor="accent1" w:themeShade="BF"/>
          <w:sz w:val="32"/>
          <w:szCs w:val="32"/>
        </w:rPr>
        <w:t>Disclaimer</w:t>
      </w:r>
    </w:p>
    <w:p w14:paraId="10466033" w14:textId="792FF3D6" w:rsidR="00F43843" w:rsidRPr="00CD6642" w:rsidRDefault="00CD6642" w:rsidP="00F43843">
      <w:pPr>
        <w:rPr>
          <w:sz w:val="22"/>
          <w:szCs w:val="22"/>
          <w:lang w:val="en-GB"/>
        </w:rPr>
      </w:pPr>
      <w:r w:rsidRPr="00CD6642">
        <w:rPr>
          <w:sz w:val="22"/>
          <w:szCs w:val="22"/>
          <w:lang w:val="en-GB"/>
        </w:rPr>
        <w:t>This document is a draft meeting report that has been reviewed by PDVAC members and is currently undergoing finalization within WHO. The content is preliminary and subject to revision. This document should not be cited, quoted, or distributed without the permission of WHO.</w:t>
      </w:r>
    </w:p>
    <w:p w14:paraId="4526BAD6" w14:textId="300106B0" w:rsidR="00D4624B" w:rsidRPr="00807A75" w:rsidRDefault="00D4624B" w:rsidP="00DE685C">
      <w:pPr>
        <w:pStyle w:val="Heading2"/>
      </w:pPr>
      <w:r w:rsidRPr="00807A75">
        <w:t>Abstract</w:t>
      </w:r>
    </w:p>
    <w:p w14:paraId="079B0FAA" w14:textId="6DAC48F8" w:rsidR="00841D6A" w:rsidRPr="00841D6A" w:rsidRDefault="00841D6A" w:rsidP="00EC3C28">
      <w:pPr>
        <w:jc w:val="both"/>
        <w:rPr>
          <w:sz w:val="22"/>
          <w:szCs w:val="22"/>
          <w:lang w:val="en-GB"/>
        </w:rPr>
      </w:pPr>
      <w:r w:rsidRPr="28429A3C">
        <w:rPr>
          <w:sz w:val="22"/>
          <w:szCs w:val="22"/>
          <w:lang w:val="en-GB"/>
        </w:rPr>
        <w:t xml:space="preserve">The twelfth meeting of WHO’s Product Development for Vaccines Advisory Committee (PDVAC) was held in October 2025 </w:t>
      </w:r>
      <w:r w:rsidR="00C6757D" w:rsidRPr="28429A3C">
        <w:rPr>
          <w:sz w:val="22"/>
          <w:szCs w:val="22"/>
          <w:lang w:val="en-GB"/>
        </w:rPr>
        <w:t xml:space="preserve">to </w:t>
      </w:r>
      <w:r w:rsidR="00AA7A09" w:rsidRPr="28429A3C">
        <w:rPr>
          <w:sz w:val="22"/>
          <w:szCs w:val="22"/>
          <w:lang w:val="en-GB"/>
        </w:rPr>
        <w:t>review</w:t>
      </w:r>
      <w:r w:rsidR="001F1E39" w:rsidRPr="28429A3C">
        <w:rPr>
          <w:sz w:val="22"/>
          <w:szCs w:val="22"/>
          <w:lang w:val="en-GB"/>
        </w:rPr>
        <w:t xml:space="preserve"> progress since the 2024 meeting</w:t>
      </w:r>
      <w:r w:rsidR="008C60B7" w:rsidRPr="28429A3C">
        <w:rPr>
          <w:sz w:val="22"/>
          <w:szCs w:val="22"/>
          <w:lang w:val="en-GB"/>
        </w:rPr>
        <w:t xml:space="preserve"> and provid</w:t>
      </w:r>
      <w:r w:rsidR="00C6757D" w:rsidRPr="28429A3C">
        <w:rPr>
          <w:sz w:val="22"/>
          <w:szCs w:val="22"/>
          <w:lang w:val="en-GB"/>
        </w:rPr>
        <w:t>e</w:t>
      </w:r>
      <w:r w:rsidR="008C60B7" w:rsidRPr="28429A3C">
        <w:rPr>
          <w:sz w:val="22"/>
          <w:szCs w:val="22"/>
          <w:lang w:val="en-GB"/>
        </w:rPr>
        <w:t xml:space="preserve"> </w:t>
      </w:r>
      <w:r w:rsidR="00353B3A" w:rsidRPr="28429A3C">
        <w:rPr>
          <w:sz w:val="22"/>
          <w:szCs w:val="22"/>
          <w:lang w:val="en-GB"/>
        </w:rPr>
        <w:t xml:space="preserve">strategic advice </w:t>
      </w:r>
      <w:r w:rsidR="008C60B7" w:rsidRPr="28429A3C">
        <w:rPr>
          <w:sz w:val="22"/>
          <w:szCs w:val="22"/>
          <w:lang w:val="en-GB"/>
        </w:rPr>
        <w:t xml:space="preserve">on </w:t>
      </w:r>
      <w:r w:rsidR="00C6757D" w:rsidRPr="28429A3C">
        <w:rPr>
          <w:sz w:val="22"/>
          <w:szCs w:val="22"/>
          <w:lang w:val="en-GB"/>
        </w:rPr>
        <w:t xml:space="preserve">challenges </w:t>
      </w:r>
      <w:r w:rsidR="00353B3A" w:rsidRPr="28429A3C">
        <w:rPr>
          <w:sz w:val="22"/>
          <w:szCs w:val="22"/>
          <w:lang w:val="en-GB"/>
        </w:rPr>
        <w:t xml:space="preserve">related to product development </w:t>
      </w:r>
      <w:r w:rsidR="00356C73" w:rsidRPr="28429A3C">
        <w:rPr>
          <w:sz w:val="22"/>
          <w:szCs w:val="22"/>
          <w:lang w:val="en-GB"/>
        </w:rPr>
        <w:t xml:space="preserve">of new vaccines and monoclonal </w:t>
      </w:r>
      <w:r w:rsidR="00A410C5" w:rsidRPr="28429A3C">
        <w:rPr>
          <w:sz w:val="22"/>
          <w:szCs w:val="22"/>
          <w:lang w:val="en-GB"/>
        </w:rPr>
        <w:t>antibodies for global use</w:t>
      </w:r>
      <w:r w:rsidR="00927B02" w:rsidRPr="28429A3C">
        <w:rPr>
          <w:sz w:val="22"/>
          <w:szCs w:val="22"/>
          <w:lang w:val="en-GB"/>
        </w:rPr>
        <w:t xml:space="preserve">. </w:t>
      </w:r>
      <w:r w:rsidR="00A130EE" w:rsidRPr="28429A3C">
        <w:rPr>
          <w:sz w:val="22"/>
          <w:szCs w:val="22"/>
          <w:lang w:val="en-GB"/>
        </w:rPr>
        <w:t>Since the previous meeting</w:t>
      </w:r>
      <w:r w:rsidR="00927B02" w:rsidRPr="28429A3C">
        <w:rPr>
          <w:sz w:val="22"/>
          <w:szCs w:val="22"/>
          <w:lang w:val="en-GB"/>
        </w:rPr>
        <w:t xml:space="preserve"> in December 2024</w:t>
      </w:r>
      <w:r w:rsidR="00A130EE" w:rsidRPr="28429A3C">
        <w:rPr>
          <w:sz w:val="22"/>
          <w:szCs w:val="22"/>
          <w:lang w:val="en-GB"/>
        </w:rPr>
        <w:t xml:space="preserve">, significant progress </w:t>
      </w:r>
      <w:r w:rsidR="006346FC" w:rsidRPr="28429A3C">
        <w:rPr>
          <w:sz w:val="22"/>
          <w:szCs w:val="22"/>
          <w:lang w:val="en-GB"/>
        </w:rPr>
        <w:t>was</w:t>
      </w:r>
      <w:r w:rsidR="00A130EE" w:rsidRPr="28429A3C">
        <w:rPr>
          <w:sz w:val="22"/>
          <w:szCs w:val="22"/>
          <w:lang w:val="en-GB"/>
        </w:rPr>
        <w:t xml:space="preserve"> made</w:t>
      </w:r>
      <w:r w:rsidR="0078109D" w:rsidRPr="28429A3C">
        <w:rPr>
          <w:sz w:val="22"/>
          <w:szCs w:val="22"/>
          <w:lang w:val="en-GB"/>
        </w:rPr>
        <w:t xml:space="preserve"> across multiple priority </w:t>
      </w:r>
      <w:r w:rsidR="00785C05" w:rsidRPr="28429A3C">
        <w:rPr>
          <w:sz w:val="22"/>
          <w:szCs w:val="22"/>
          <w:lang w:val="en-GB"/>
        </w:rPr>
        <w:t xml:space="preserve">pathogen and cross-cutting </w:t>
      </w:r>
      <w:r w:rsidR="0078109D" w:rsidRPr="28429A3C">
        <w:rPr>
          <w:sz w:val="22"/>
          <w:szCs w:val="22"/>
          <w:lang w:val="en-GB"/>
        </w:rPr>
        <w:t xml:space="preserve">areas, including </w:t>
      </w:r>
      <w:r w:rsidR="00327158" w:rsidRPr="28429A3C">
        <w:rPr>
          <w:sz w:val="22"/>
          <w:szCs w:val="22"/>
          <w:lang w:val="en-GB"/>
        </w:rPr>
        <w:t>t</w:t>
      </w:r>
      <w:r w:rsidR="00A66BD7" w:rsidRPr="28429A3C">
        <w:rPr>
          <w:sz w:val="22"/>
          <w:szCs w:val="22"/>
          <w:lang w:val="en-GB"/>
        </w:rPr>
        <w:t>uberculosis</w:t>
      </w:r>
      <w:r w:rsidR="1A5E6743" w:rsidRPr="28429A3C">
        <w:rPr>
          <w:sz w:val="22"/>
          <w:szCs w:val="22"/>
          <w:lang w:val="en-GB"/>
        </w:rPr>
        <w:t xml:space="preserve"> vaccines</w:t>
      </w:r>
      <w:r w:rsidR="00CB6095" w:rsidRPr="28429A3C">
        <w:rPr>
          <w:sz w:val="22"/>
          <w:szCs w:val="22"/>
          <w:lang w:val="en-GB"/>
        </w:rPr>
        <w:t xml:space="preserve"> for adults and adolescents</w:t>
      </w:r>
      <w:r w:rsidR="00A66BD7" w:rsidRPr="28429A3C">
        <w:rPr>
          <w:sz w:val="22"/>
          <w:szCs w:val="22"/>
          <w:lang w:val="en-GB"/>
        </w:rPr>
        <w:t>,</w:t>
      </w:r>
      <w:r w:rsidR="00D00CA4" w:rsidRPr="28429A3C">
        <w:rPr>
          <w:sz w:val="22"/>
          <w:szCs w:val="22"/>
          <w:lang w:val="en-GB"/>
        </w:rPr>
        <w:t xml:space="preserve"> </w:t>
      </w:r>
      <w:r w:rsidR="00DB64AB" w:rsidRPr="28429A3C">
        <w:rPr>
          <w:i/>
          <w:iCs/>
          <w:sz w:val="22"/>
          <w:szCs w:val="22"/>
          <w:lang w:val="en-GB"/>
        </w:rPr>
        <w:t>S</w:t>
      </w:r>
      <w:r w:rsidR="00D00CA4" w:rsidRPr="28429A3C">
        <w:rPr>
          <w:i/>
          <w:iCs/>
          <w:sz w:val="22"/>
          <w:szCs w:val="22"/>
          <w:lang w:val="en-GB"/>
        </w:rPr>
        <w:t>higella</w:t>
      </w:r>
      <w:r w:rsidR="00D00CA4" w:rsidRPr="28429A3C">
        <w:rPr>
          <w:sz w:val="22"/>
          <w:szCs w:val="22"/>
          <w:lang w:val="en-GB"/>
        </w:rPr>
        <w:t xml:space="preserve"> vaccines,</w:t>
      </w:r>
      <w:r w:rsidR="00A66BD7" w:rsidRPr="28429A3C">
        <w:rPr>
          <w:sz w:val="22"/>
          <w:szCs w:val="22"/>
          <w:lang w:val="en-GB"/>
        </w:rPr>
        <w:t xml:space="preserve"> </w:t>
      </w:r>
      <w:r w:rsidR="009A7C49" w:rsidRPr="28429A3C">
        <w:rPr>
          <w:sz w:val="22"/>
          <w:szCs w:val="22"/>
          <w:lang w:val="en-GB"/>
        </w:rPr>
        <w:t xml:space="preserve">open access adjuvants, </w:t>
      </w:r>
      <w:r w:rsidR="00CB6095" w:rsidRPr="28429A3C">
        <w:rPr>
          <w:sz w:val="22"/>
          <w:szCs w:val="22"/>
          <w:lang w:val="en-GB"/>
        </w:rPr>
        <w:t>novel</w:t>
      </w:r>
      <w:r w:rsidR="0DD5AC45" w:rsidRPr="28429A3C">
        <w:rPr>
          <w:sz w:val="22"/>
          <w:szCs w:val="22"/>
          <w:lang w:val="en-GB"/>
        </w:rPr>
        <w:t xml:space="preserve"> </w:t>
      </w:r>
      <w:r w:rsidR="000C2AA9" w:rsidRPr="28429A3C">
        <w:rPr>
          <w:sz w:val="22"/>
          <w:szCs w:val="22"/>
          <w:lang w:val="en-GB"/>
        </w:rPr>
        <w:t>combination</w:t>
      </w:r>
      <w:r w:rsidR="00A66BD7" w:rsidRPr="28429A3C">
        <w:rPr>
          <w:sz w:val="22"/>
          <w:szCs w:val="22"/>
          <w:lang w:val="en-GB"/>
        </w:rPr>
        <w:t xml:space="preserve"> vaccines,</w:t>
      </w:r>
      <w:r w:rsidR="00273B35" w:rsidRPr="28429A3C">
        <w:rPr>
          <w:sz w:val="22"/>
          <w:szCs w:val="22"/>
          <w:lang w:val="en-GB"/>
        </w:rPr>
        <w:t xml:space="preserve"> maternal </w:t>
      </w:r>
      <w:r w:rsidR="009A7C49" w:rsidRPr="28429A3C">
        <w:rPr>
          <w:sz w:val="22"/>
          <w:szCs w:val="22"/>
          <w:lang w:val="en-GB"/>
        </w:rPr>
        <w:t>immunization</w:t>
      </w:r>
      <w:r w:rsidR="00273B35" w:rsidRPr="28429A3C">
        <w:rPr>
          <w:sz w:val="22"/>
          <w:szCs w:val="22"/>
          <w:lang w:val="en-GB"/>
        </w:rPr>
        <w:t>,</w:t>
      </w:r>
      <w:r w:rsidR="00A66BD7" w:rsidRPr="28429A3C">
        <w:rPr>
          <w:sz w:val="22"/>
          <w:szCs w:val="22"/>
          <w:lang w:val="en-GB"/>
        </w:rPr>
        <w:t xml:space="preserve"> and </w:t>
      </w:r>
      <w:r w:rsidR="00091FDD" w:rsidRPr="28429A3C">
        <w:rPr>
          <w:sz w:val="22"/>
          <w:szCs w:val="22"/>
          <w:lang w:val="en-GB"/>
        </w:rPr>
        <w:t>vaccin</w:t>
      </w:r>
      <w:r w:rsidR="007B5671" w:rsidRPr="28429A3C">
        <w:rPr>
          <w:sz w:val="22"/>
          <w:szCs w:val="22"/>
          <w:lang w:val="en-GB"/>
        </w:rPr>
        <w:t>es</w:t>
      </w:r>
      <w:r w:rsidR="00091FDD" w:rsidRPr="28429A3C">
        <w:rPr>
          <w:sz w:val="22"/>
          <w:szCs w:val="22"/>
          <w:lang w:val="en-GB"/>
        </w:rPr>
        <w:t xml:space="preserve"> against Group B Streptococcus</w:t>
      </w:r>
      <w:r w:rsidR="00D553B2" w:rsidRPr="28429A3C">
        <w:rPr>
          <w:sz w:val="22"/>
          <w:szCs w:val="22"/>
          <w:lang w:val="en-GB"/>
        </w:rPr>
        <w:t>, among others</w:t>
      </w:r>
      <w:r w:rsidR="00A130EE" w:rsidRPr="28429A3C">
        <w:rPr>
          <w:sz w:val="22"/>
          <w:szCs w:val="22"/>
          <w:lang w:val="en-GB"/>
        </w:rPr>
        <w:t xml:space="preserve">. </w:t>
      </w:r>
      <w:r w:rsidR="00EC3C28" w:rsidRPr="28429A3C">
        <w:rPr>
          <w:sz w:val="22"/>
          <w:szCs w:val="22"/>
          <w:lang w:val="en-GB"/>
        </w:rPr>
        <w:t xml:space="preserve">This report summarises the </w:t>
      </w:r>
      <w:r w:rsidR="009B48FE" w:rsidRPr="28429A3C">
        <w:rPr>
          <w:sz w:val="22"/>
          <w:szCs w:val="22"/>
          <w:lang w:val="en-GB"/>
        </w:rPr>
        <w:t xml:space="preserve">committee’s </w:t>
      </w:r>
      <w:r w:rsidR="00EC3C28" w:rsidRPr="28429A3C">
        <w:rPr>
          <w:sz w:val="22"/>
          <w:szCs w:val="22"/>
          <w:lang w:val="en-GB"/>
        </w:rPr>
        <w:t xml:space="preserve">recommendations from that consultation. </w:t>
      </w:r>
    </w:p>
    <w:p w14:paraId="512727B4" w14:textId="78B393A1" w:rsidR="00865B5F" w:rsidRPr="00DE685C" w:rsidRDefault="008B26E9" w:rsidP="00DE685C">
      <w:pPr>
        <w:pStyle w:val="Heading2"/>
      </w:pPr>
      <w:r>
        <w:t>Remit of</w:t>
      </w:r>
      <w:r w:rsidR="00865B5F">
        <w:t xml:space="preserve"> PDVAC</w:t>
      </w:r>
    </w:p>
    <w:p w14:paraId="19AFF763" w14:textId="658F0AEC" w:rsidR="00865B5F" w:rsidRDefault="00865B5F" w:rsidP="00E911AE">
      <w:pPr>
        <w:jc w:val="both"/>
        <w:rPr>
          <w:sz w:val="22"/>
          <w:szCs w:val="22"/>
          <w:lang w:val="en-GB"/>
        </w:rPr>
      </w:pPr>
      <w:r w:rsidRPr="00BC33C0">
        <w:rPr>
          <w:sz w:val="22"/>
          <w:szCs w:val="22"/>
          <w:lang w:val="en-GB"/>
        </w:rPr>
        <w:t>The Product Development for Vaccines Advisory Committee</w:t>
      </w:r>
      <w:r w:rsidR="00FB463A" w:rsidRPr="00BC33C0">
        <w:rPr>
          <w:rStyle w:val="EndnoteReference"/>
          <w:sz w:val="22"/>
          <w:szCs w:val="22"/>
          <w:lang w:val="en-GB"/>
        </w:rPr>
        <w:endnoteReference w:id="1"/>
      </w:r>
      <w:r w:rsidRPr="00BC33C0">
        <w:rPr>
          <w:sz w:val="22"/>
          <w:szCs w:val="22"/>
          <w:lang w:val="en-GB"/>
        </w:rPr>
        <w:t xml:space="preserve"> (PDVAC) provides external advice to WHO </w:t>
      </w:r>
      <w:r w:rsidR="7C29C649" w:rsidRPr="00BC33C0">
        <w:rPr>
          <w:sz w:val="22"/>
          <w:szCs w:val="22"/>
          <w:lang w:val="en-GB"/>
        </w:rPr>
        <w:t xml:space="preserve">on immunization product development for </w:t>
      </w:r>
      <w:r w:rsidRPr="00BC33C0">
        <w:rPr>
          <w:sz w:val="22"/>
          <w:szCs w:val="22"/>
          <w:lang w:val="en-GB"/>
        </w:rPr>
        <w:t xml:space="preserve">priority infectious pathogens for endemic diseases, </w:t>
      </w:r>
      <w:r w:rsidR="00E911AE" w:rsidRPr="00BC33C0">
        <w:rPr>
          <w:sz w:val="22"/>
          <w:szCs w:val="22"/>
          <w:lang w:val="en-GB"/>
        </w:rPr>
        <w:t xml:space="preserve">particularly those with a disproportionately high burden in </w:t>
      </w:r>
      <w:r w:rsidR="000B5D79" w:rsidRPr="00BC33C0">
        <w:rPr>
          <w:sz w:val="22"/>
          <w:szCs w:val="22"/>
          <w:lang w:val="en-GB"/>
        </w:rPr>
        <w:t>low- and middle-income</w:t>
      </w:r>
      <w:r w:rsidR="00E911AE" w:rsidRPr="00BC33C0">
        <w:rPr>
          <w:sz w:val="22"/>
          <w:szCs w:val="22"/>
          <w:lang w:val="en-GB"/>
        </w:rPr>
        <w:t xml:space="preserve"> countries (LMICs). PDVAC </w:t>
      </w:r>
      <w:r w:rsidR="3746FB68" w:rsidRPr="00BC33C0">
        <w:rPr>
          <w:sz w:val="22"/>
          <w:szCs w:val="22"/>
          <w:lang w:val="en-GB"/>
        </w:rPr>
        <w:t>provides strategic advice on</w:t>
      </w:r>
      <w:r w:rsidRPr="00BC33C0">
        <w:rPr>
          <w:sz w:val="22"/>
          <w:szCs w:val="22"/>
          <w:lang w:val="en-GB"/>
        </w:rPr>
        <w:t xml:space="preserve"> vaccine and monoclonal antibody product development approaches and related manufacturing and delivery technologies</w:t>
      </w:r>
      <w:r w:rsidR="00EE05A3">
        <w:rPr>
          <w:sz w:val="22"/>
          <w:szCs w:val="22"/>
          <w:lang w:val="en-GB"/>
        </w:rPr>
        <w:t xml:space="preserve">, with a view to </w:t>
      </w:r>
      <w:r w:rsidR="0075580D">
        <w:rPr>
          <w:sz w:val="22"/>
          <w:szCs w:val="22"/>
          <w:lang w:val="en-GB"/>
        </w:rPr>
        <w:t>policy recommendation through WHO’s Strategic Advisory Group of Experts on immunization (SAGE)</w:t>
      </w:r>
      <w:r w:rsidRPr="00BC33C0">
        <w:rPr>
          <w:sz w:val="22"/>
          <w:szCs w:val="22"/>
          <w:lang w:val="en-GB"/>
        </w:rPr>
        <w:t xml:space="preserve">. Its remit includes the prioritisation of target pathogens for vaccine and/or monoclonal antibody development and technology platforms, in addition to oversight of the development of </w:t>
      </w:r>
      <w:r w:rsidR="6D5EE0F2" w:rsidRPr="00BC33C0">
        <w:rPr>
          <w:sz w:val="22"/>
          <w:szCs w:val="22"/>
          <w:lang w:val="en-GB"/>
        </w:rPr>
        <w:t xml:space="preserve">key normative guidance documents such as </w:t>
      </w:r>
      <w:r w:rsidRPr="00BC33C0">
        <w:rPr>
          <w:sz w:val="22"/>
          <w:szCs w:val="22"/>
          <w:lang w:val="en-GB"/>
        </w:rPr>
        <w:t>preferred product characteristics (PPCs)</w:t>
      </w:r>
      <w:r w:rsidR="00745260">
        <w:rPr>
          <w:sz w:val="22"/>
          <w:szCs w:val="22"/>
          <w:lang w:val="en-GB"/>
        </w:rPr>
        <w:t>,</w:t>
      </w:r>
      <w:r w:rsidR="000318FB" w:rsidRPr="00BC33C0">
        <w:rPr>
          <w:rStyle w:val="EndnoteReference"/>
          <w:sz w:val="22"/>
          <w:szCs w:val="22"/>
          <w:lang w:val="en-GB"/>
        </w:rPr>
        <w:endnoteReference w:id="2"/>
      </w:r>
      <w:r w:rsidRPr="00BC33C0">
        <w:rPr>
          <w:sz w:val="22"/>
          <w:szCs w:val="22"/>
          <w:lang w:val="en-GB"/>
        </w:rPr>
        <w:t xml:space="preserve"> technical/R&amp;D roadmaps</w:t>
      </w:r>
      <w:r w:rsidR="00745260">
        <w:rPr>
          <w:sz w:val="22"/>
          <w:szCs w:val="22"/>
          <w:lang w:val="en-GB"/>
        </w:rPr>
        <w:t>,</w:t>
      </w:r>
      <w:r w:rsidR="002D431A" w:rsidRPr="00BC33C0">
        <w:rPr>
          <w:rStyle w:val="EndnoteReference"/>
          <w:sz w:val="22"/>
          <w:szCs w:val="22"/>
          <w:lang w:val="en-GB"/>
        </w:rPr>
        <w:endnoteReference w:id="3"/>
      </w:r>
      <w:r w:rsidRPr="00BC33C0">
        <w:rPr>
          <w:sz w:val="22"/>
          <w:szCs w:val="22"/>
          <w:lang w:val="en-GB"/>
        </w:rPr>
        <w:t xml:space="preserve"> full vaccine value assessments</w:t>
      </w:r>
      <w:r w:rsidR="00745260">
        <w:rPr>
          <w:sz w:val="22"/>
          <w:szCs w:val="22"/>
          <w:lang w:val="en-GB"/>
        </w:rPr>
        <w:t>,</w:t>
      </w:r>
      <w:r w:rsidR="00175136" w:rsidRPr="00BC33C0">
        <w:rPr>
          <w:rStyle w:val="EndnoteReference"/>
          <w:sz w:val="22"/>
          <w:szCs w:val="22"/>
          <w:lang w:val="en-GB"/>
        </w:rPr>
        <w:endnoteReference w:id="4"/>
      </w:r>
      <w:r w:rsidRPr="00BC33C0">
        <w:rPr>
          <w:sz w:val="22"/>
          <w:szCs w:val="22"/>
          <w:lang w:val="en-GB"/>
        </w:rPr>
        <w:t xml:space="preserve"> and consultations on product development pathways. Its annual meetings feature open sessions with focused updates from global immunization stakeholders, on </w:t>
      </w:r>
      <w:r w:rsidR="004A303B" w:rsidRPr="00BC33C0">
        <w:rPr>
          <w:sz w:val="22"/>
          <w:szCs w:val="22"/>
          <w:lang w:val="en-GB"/>
        </w:rPr>
        <w:t xml:space="preserve">topics </w:t>
      </w:r>
      <w:r w:rsidR="00396484" w:rsidRPr="00BC33C0">
        <w:rPr>
          <w:sz w:val="22"/>
          <w:szCs w:val="22"/>
          <w:lang w:val="en-GB"/>
        </w:rPr>
        <w:t xml:space="preserve">including specific </w:t>
      </w:r>
      <w:r w:rsidRPr="00BC33C0">
        <w:rPr>
          <w:sz w:val="22"/>
          <w:szCs w:val="22"/>
          <w:lang w:val="en-GB"/>
        </w:rPr>
        <w:t xml:space="preserve">pipeline </w:t>
      </w:r>
      <w:r w:rsidR="004A303B" w:rsidRPr="00BC33C0">
        <w:rPr>
          <w:sz w:val="22"/>
          <w:szCs w:val="22"/>
          <w:lang w:val="en-GB"/>
        </w:rPr>
        <w:t>updates</w:t>
      </w:r>
      <w:r w:rsidR="00396484" w:rsidRPr="00BC33C0">
        <w:rPr>
          <w:sz w:val="22"/>
          <w:szCs w:val="22"/>
          <w:lang w:val="en-GB"/>
        </w:rPr>
        <w:t xml:space="preserve">, horizon-scanning for future </w:t>
      </w:r>
      <w:r w:rsidR="00760649" w:rsidRPr="00BC33C0">
        <w:rPr>
          <w:sz w:val="22"/>
          <w:szCs w:val="22"/>
          <w:lang w:val="en-GB"/>
        </w:rPr>
        <w:t xml:space="preserve">progress in </w:t>
      </w:r>
      <w:r w:rsidR="00396484" w:rsidRPr="00BC33C0">
        <w:rPr>
          <w:sz w:val="22"/>
          <w:szCs w:val="22"/>
          <w:lang w:val="en-GB"/>
        </w:rPr>
        <w:t>clinical development</w:t>
      </w:r>
      <w:r w:rsidR="00760649" w:rsidRPr="00BC33C0">
        <w:rPr>
          <w:sz w:val="22"/>
          <w:szCs w:val="22"/>
          <w:lang w:val="en-GB"/>
        </w:rPr>
        <w:t xml:space="preserve">, and </w:t>
      </w:r>
      <w:r w:rsidRPr="00BC33C0">
        <w:rPr>
          <w:sz w:val="22"/>
          <w:szCs w:val="22"/>
          <w:lang w:val="en-GB"/>
        </w:rPr>
        <w:t xml:space="preserve">cross-cutting immunization topics. </w:t>
      </w:r>
      <w:r w:rsidR="00760649" w:rsidRPr="00BC33C0">
        <w:rPr>
          <w:sz w:val="22"/>
          <w:szCs w:val="22"/>
          <w:lang w:val="en-GB"/>
        </w:rPr>
        <w:t xml:space="preserve">During each session, PDVAC learns updates from </w:t>
      </w:r>
      <w:r w:rsidR="004F3411">
        <w:rPr>
          <w:sz w:val="22"/>
          <w:szCs w:val="22"/>
          <w:lang w:val="en-GB"/>
        </w:rPr>
        <w:t>experts in infectious diseases</w:t>
      </w:r>
      <w:r w:rsidR="00413659">
        <w:rPr>
          <w:sz w:val="22"/>
          <w:szCs w:val="22"/>
          <w:lang w:val="en-GB"/>
        </w:rPr>
        <w:t xml:space="preserve"> and public health, as well as product </w:t>
      </w:r>
      <w:r w:rsidR="00760649" w:rsidRPr="00BC33C0">
        <w:rPr>
          <w:sz w:val="22"/>
          <w:szCs w:val="22"/>
          <w:lang w:val="en-GB"/>
        </w:rPr>
        <w:t>developers</w:t>
      </w:r>
      <w:r w:rsidR="00413659">
        <w:rPr>
          <w:sz w:val="22"/>
          <w:szCs w:val="22"/>
          <w:lang w:val="en-GB"/>
        </w:rPr>
        <w:t>,</w:t>
      </w:r>
      <w:r w:rsidR="00760649" w:rsidRPr="00BC33C0">
        <w:rPr>
          <w:sz w:val="22"/>
          <w:szCs w:val="22"/>
          <w:lang w:val="en-GB"/>
        </w:rPr>
        <w:t xml:space="preserve"> and offers guidance in response to the questions raised. </w:t>
      </w:r>
      <w:r w:rsidRPr="00BC33C0">
        <w:rPr>
          <w:sz w:val="22"/>
          <w:szCs w:val="22"/>
          <w:lang w:val="en-GB"/>
        </w:rPr>
        <w:t xml:space="preserve">Information </w:t>
      </w:r>
      <w:r w:rsidR="00447271">
        <w:rPr>
          <w:sz w:val="22"/>
          <w:szCs w:val="22"/>
          <w:lang w:val="en-GB"/>
        </w:rPr>
        <w:t>from</w:t>
      </w:r>
      <w:r w:rsidRPr="00BC33C0">
        <w:rPr>
          <w:sz w:val="22"/>
          <w:szCs w:val="22"/>
          <w:lang w:val="en-GB"/>
        </w:rPr>
        <w:t xml:space="preserve"> previous PDVAC meetings can be found</w:t>
      </w:r>
      <w:r w:rsidR="00F40627" w:rsidRPr="00BC33C0">
        <w:rPr>
          <w:sz w:val="22"/>
          <w:szCs w:val="22"/>
          <w:lang w:val="en-GB"/>
        </w:rPr>
        <w:t xml:space="preserve"> on</w:t>
      </w:r>
      <w:r w:rsidR="00447271">
        <w:rPr>
          <w:sz w:val="22"/>
          <w:szCs w:val="22"/>
          <w:lang w:val="en-GB"/>
        </w:rPr>
        <w:t xml:space="preserve"> the PDVAC webpages</w:t>
      </w:r>
      <w:r w:rsidR="00745260">
        <w:rPr>
          <w:sz w:val="22"/>
          <w:szCs w:val="22"/>
          <w:lang w:val="en-GB"/>
        </w:rPr>
        <w:t>.</w:t>
      </w:r>
      <w:r w:rsidR="00F40627" w:rsidRPr="00BC33C0">
        <w:rPr>
          <w:rStyle w:val="EndnoteReference"/>
          <w:sz w:val="22"/>
          <w:szCs w:val="22"/>
          <w:lang w:val="en-GB"/>
        </w:rPr>
        <w:endnoteReference w:id="5"/>
      </w:r>
    </w:p>
    <w:p w14:paraId="3713CDA8" w14:textId="6FD35C94" w:rsidR="0003442E" w:rsidRPr="00AA7A09" w:rsidRDefault="00F37A9E" w:rsidP="00E911AE">
      <w:pPr>
        <w:jc w:val="both"/>
        <w:rPr>
          <w:sz w:val="22"/>
          <w:szCs w:val="22"/>
        </w:rPr>
      </w:pPr>
      <w:r>
        <w:rPr>
          <w:sz w:val="22"/>
          <w:szCs w:val="22"/>
          <w:lang w:val="en-GB"/>
        </w:rPr>
        <w:t xml:space="preserve">PDVAC </w:t>
      </w:r>
      <w:r w:rsidR="002209E1">
        <w:rPr>
          <w:sz w:val="22"/>
          <w:szCs w:val="22"/>
          <w:lang w:val="en-GB"/>
        </w:rPr>
        <w:t>supports Immunization Agenda 2030</w:t>
      </w:r>
      <w:r w:rsidR="00AE291B">
        <w:rPr>
          <w:sz w:val="22"/>
          <w:szCs w:val="22"/>
          <w:lang w:val="en-GB"/>
        </w:rPr>
        <w:t xml:space="preserve"> (</w:t>
      </w:r>
      <w:r w:rsidR="002209E1">
        <w:rPr>
          <w:sz w:val="22"/>
          <w:szCs w:val="22"/>
          <w:lang w:val="en-GB"/>
        </w:rPr>
        <w:t xml:space="preserve">the global strategy </w:t>
      </w:r>
      <w:r w:rsidR="00FA46F7">
        <w:rPr>
          <w:sz w:val="22"/>
          <w:szCs w:val="22"/>
          <w:lang w:val="en-GB"/>
        </w:rPr>
        <w:t xml:space="preserve">on </w:t>
      </w:r>
      <w:r w:rsidR="002E7457">
        <w:rPr>
          <w:sz w:val="22"/>
          <w:szCs w:val="22"/>
          <w:lang w:val="en-GB"/>
        </w:rPr>
        <w:t>immunization</w:t>
      </w:r>
      <w:r w:rsidR="00AE291B">
        <w:rPr>
          <w:sz w:val="22"/>
          <w:szCs w:val="22"/>
          <w:lang w:val="en-GB"/>
        </w:rPr>
        <w:t>)</w:t>
      </w:r>
      <w:r w:rsidR="002E7457">
        <w:rPr>
          <w:sz w:val="22"/>
          <w:szCs w:val="22"/>
          <w:lang w:val="en-GB"/>
        </w:rPr>
        <w:t xml:space="preserve"> </w:t>
      </w:r>
      <w:r w:rsidR="00FA46F7">
        <w:rPr>
          <w:sz w:val="22"/>
          <w:szCs w:val="22"/>
          <w:lang w:val="en-GB"/>
        </w:rPr>
        <w:t xml:space="preserve">by </w:t>
      </w:r>
      <w:r w:rsidR="00BC67B9">
        <w:rPr>
          <w:sz w:val="22"/>
          <w:szCs w:val="22"/>
          <w:lang w:val="en-GB"/>
        </w:rPr>
        <w:t xml:space="preserve">responding </w:t>
      </w:r>
      <w:r w:rsidR="00AE291B">
        <w:rPr>
          <w:sz w:val="22"/>
          <w:szCs w:val="22"/>
          <w:lang w:val="en-GB"/>
        </w:rPr>
        <w:t xml:space="preserve">to the call for </w:t>
      </w:r>
      <w:r w:rsidR="00BC67B9">
        <w:rPr>
          <w:sz w:val="22"/>
          <w:szCs w:val="22"/>
          <w:lang w:val="en-GB"/>
        </w:rPr>
        <w:t>needs-based innovation and new products</w:t>
      </w:r>
      <w:r w:rsidR="002E7457">
        <w:rPr>
          <w:sz w:val="22"/>
          <w:szCs w:val="22"/>
          <w:lang w:val="en-GB"/>
        </w:rPr>
        <w:t xml:space="preserve"> </w:t>
      </w:r>
      <w:r w:rsidR="00A61E3A">
        <w:rPr>
          <w:sz w:val="22"/>
          <w:szCs w:val="22"/>
          <w:lang w:val="en-GB"/>
        </w:rPr>
        <w:t>that are priorities for LMICs</w:t>
      </w:r>
      <w:r w:rsidR="0003442E">
        <w:rPr>
          <w:sz w:val="22"/>
          <w:szCs w:val="22"/>
          <w:lang w:val="en-GB"/>
        </w:rPr>
        <w:t xml:space="preserve">. </w:t>
      </w:r>
      <w:r w:rsidR="007F32F7">
        <w:rPr>
          <w:sz w:val="22"/>
          <w:szCs w:val="22"/>
          <w:lang w:val="en-GB"/>
        </w:rPr>
        <w:t xml:space="preserve">In </w:t>
      </w:r>
      <w:r w:rsidR="00D1538F">
        <w:rPr>
          <w:sz w:val="22"/>
          <w:szCs w:val="22"/>
          <w:lang w:val="en-GB"/>
        </w:rPr>
        <w:t xml:space="preserve">2024, PDVAC </w:t>
      </w:r>
      <w:r w:rsidR="00024107">
        <w:rPr>
          <w:sz w:val="22"/>
          <w:szCs w:val="22"/>
          <w:lang w:val="en-GB"/>
        </w:rPr>
        <w:t xml:space="preserve">published a list of 17 </w:t>
      </w:r>
      <w:r w:rsidR="00024107" w:rsidRPr="00024107">
        <w:rPr>
          <w:sz w:val="22"/>
          <w:szCs w:val="22"/>
        </w:rPr>
        <w:t>global priority endemic pathogens</w:t>
      </w:r>
      <w:r w:rsidR="00106DAC">
        <w:rPr>
          <w:sz w:val="22"/>
          <w:szCs w:val="22"/>
        </w:rPr>
        <w:t xml:space="preserve"> for which vaccines would have significant public health and socioeconomic impact</w:t>
      </w:r>
      <w:r w:rsidR="003A5A09">
        <w:rPr>
          <w:sz w:val="22"/>
          <w:szCs w:val="22"/>
        </w:rPr>
        <w:t>.</w:t>
      </w:r>
      <w:r w:rsidR="00490660">
        <w:rPr>
          <w:rStyle w:val="EndnoteReference"/>
          <w:sz w:val="22"/>
          <w:szCs w:val="22"/>
        </w:rPr>
        <w:endnoteReference w:id="6"/>
      </w:r>
      <w:r w:rsidR="00106DAC">
        <w:rPr>
          <w:sz w:val="22"/>
          <w:szCs w:val="22"/>
        </w:rPr>
        <w:t xml:space="preserve"> </w:t>
      </w:r>
      <w:r w:rsidR="002F5E5F">
        <w:rPr>
          <w:sz w:val="22"/>
          <w:szCs w:val="22"/>
        </w:rPr>
        <w:t>The progress towards immunization products for these priorities is monitored by PDVAC for reporting to IA2030 Strategic Priority 7 on Research and Innovation</w:t>
      </w:r>
      <w:r w:rsidR="00321BD0">
        <w:rPr>
          <w:sz w:val="22"/>
          <w:szCs w:val="22"/>
        </w:rPr>
        <w:t>.</w:t>
      </w:r>
      <w:r w:rsidR="00321BD0">
        <w:rPr>
          <w:rStyle w:val="EndnoteReference"/>
          <w:sz w:val="22"/>
          <w:szCs w:val="22"/>
        </w:rPr>
        <w:endnoteReference w:id="7"/>
      </w:r>
      <w:r w:rsidR="002F5E5F">
        <w:rPr>
          <w:sz w:val="22"/>
          <w:szCs w:val="22"/>
        </w:rPr>
        <w:t xml:space="preserve"> </w:t>
      </w:r>
    </w:p>
    <w:p w14:paraId="05BFFF15" w14:textId="77777777" w:rsidR="00865B5F" w:rsidRPr="00D4624B" w:rsidRDefault="00865B5F" w:rsidP="00807A75">
      <w:pPr>
        <w:pStyle w:val="Heading2"/>
        <w:rPr>
          <w:lang w:val="en-GB"/>
        </w:rPr>
      </w:pPr>
      <w:r>
        <w:rPr>
          <w:lang w:val="en-GB"/>
        </w:rPr>
        <w:t>Context for the 2025 PDVAC Meeting</w:t>
      </w:r>
    </w:p>
    <w:p w14:paraId="009E80A2" w14:textId="52C00DB7" w:rsidR="00D4624B" w:rsidRPr="00D4624B" w:rsidRDefault="00D4624B" w:rsidP="00EC3C28">
      <w:pPr>
        <w:jc w:val="both"/>
        <w:rPr>
          <w:sz w:val="22"/>
          <w:szCs w:val="22"/>
        </w:rPr>
      </w:pPr>
      <w:r w:rsidRPr="00D4624B">
        <w:rPr>
          <w:sz w:val="22"/>
          <w:szCs w:val="22"/>
          <w:lang w:val="en-GB"/>
        </w:rPr>
        <w:t xml:space="preserve">Since January 2025, there has been a severe contraction in </w:t>
      </w:r>
      <w:r w:rsidR="00B31069">
        <w:rPr>
          <w:sz w:val="22"/>
          <w:szCs w:val="22"/>
          <w:lang w:val="en-GB"/>
        </w:rPr>
        <w:t xml:space="preserve">public and multi-lateral </w:t>
      </w:r>
      <w:r w:rsidRPr="00D4624B">
        <w:rPr>
          <w:sz w:val="22"/>
          <w:szCs w:val="22"/>
          <w:lang w:val="en-GB"/>
        </w:rPr>
        <w:t>funding for vaccine R&amp;D</w:t>
      </w:r>
      <w:r w:rsidR="00073B2E">
        <w:rPr>
          <w:sz w:val="22"/>
          <w:szCs w:val="22"/>
          <w:lang w:val="en-GB"/>
        </w:rPr>
        <w:t xml:space="preserve"> and immunization activities</w:t>
      </w:r>
      <w:r w:rsidRPr="00D4624B">
        <w:rPr>
          <w:sz w:val="22"/>
          <w:szCs w:val="22"/>
          <w:lang w:val="en-GB"/>
        </w:rPr>
        <w:t xml:space="preserve">. </w:t>
      </w:r>
      <w:r w:rsidR="00175701">
        <w:rPr>
          <w:sz w:val="22"/>
          <w:szCs w:val="22"/>
          <w:lang w:val="en-GB"/>
        </w:rPr>
        <w:t xml:space="preserve">Several major </w:t>
      </w:r>
      <w:r w:rsidR="009D6627">
        <w:rPr>
          <w:sz w:val="22"/>
          <w:szCs w:val="22"/>
          <w:lang w:val="en-GB"/>
        </w:rPr>
        <w:t>d</w:t>
      </w:r>
      <w:r w:rsidRPr="00D4624B">
        <w:rPr>
          <w:sz w:val="22"/>
          <w:szCs w:val="22"/>
          <w:lang w:val="en-GB"/>
        </w:rPr>
        <w:t xml:space="preserve">onors and institutions have redirected resources to </w:t>
      </w:r>
      <w:r w:rsidR="0086051E">
        <w:rPr>
          <w:sz w:val="22"/>
          <w:szCs w:val="22"/>
          <w:lang w:val="en-GB"/>
        </w:rPr>
        <w:t>non-</w:t>
      </w:r>
      <w:r w:rsidR="009D6627">
        <w:rPr>
          <w:sz w:val="22"/>
          <w:szCs w:val="22"/>
          <w:lang w:val="en-GB"/>
        </w:rPr>
        <w:t>immunization</w:t>
      </w:r>
      <w:r w:rsidR="0086051E">
        <w:rPr>
          <w:sz w:val="22"/>
          <w:szCs w:val="22"/>
          <w:lang w:val="en-GB"/>
        </w:rPr>
        <w:t xml:space="preserve"> related</w:t>
      </w:r>
      <w:r w:rsidRPr="00D4624B">
        <w:rPr>
          <w:sz w:val="22"/>
          <w:szCs w:val="22"/>
          <w:lang w:val="en-GB"/>
        </w:rPr>
        <w:t xml:space="preserve"> priorities, </w:t>
      </w:r>
      <w:r w:rsidR="008A4D0C">
        <w:rPr>
          <w:sz w:val="22"/>
          <w:szCs w:val="22"/>
          <w:lang w:val="en-GB"/>
        </w:rPr>
        <w:t xml:space="preserve">impacting R&amp;D in vaccines for </w:t>
      </w:r>
      <w:r w:rsidR="00DB163F">
        <w:rPr>
          <w:sz w:val="22"/>
          <w:szCs w:val="22"/>
          <w:lang w:val="en-GB"/>
        </w:rPr>
        <w:t>diseases that primarily affect LMICs</w:t>
      </w:r>
      <w:r w:rsidR="00C158A6">
        <w:rPr>
          <w:sz w:val="22"/>
          <w:szCs w:val="22"/>
          <w:lang w:val="en-GB"/>
        </w:rPr>
        <w:t xml:space="preserve"> and</w:t>
      </w:r>
      <w:r w:rsidR="00DB163F">
        <w:rPr>
          <w:sz w:val="22"/>
          <w:szCs w:val="22"/>
          <w:lang w:val="en-GB"/>
        </w:rPr>
        <w:t xml:space="preserve"> jeopardizing </w:t>
      </w:r>
      <w:r w:rsidR="002427EF">
        <w:rPr>
          <w:sz w:val="22"/>
          <w:szCs w:val="22"/>
          <w:lang w:val="en-GB"/>
        </w:rPr>
        <w:t>uptake</w:t>
      </w:r>
      <w:r w:rsidR="004D21B2">
        <w:rPr>
          <w:sz w:val="22"/>
          <w:szCs w:val="22"/>
          <w:lang w:val="en-GB"/>
        </w:rPr>
        <w:t>, equitable coverage</w:t>
      </w:r>
      <w:r w:rsidR="002427EF">
        <w:rPr>
          <w:sz w:val="22"/>
          <w:szCs w:val="22"/>
          <w:lang w:val="en-GB"/>
        </w:rPr>
        <w:t xml:space="preserve"> </w:t>
      </w:r>
      <w:r w:rsidR="00BE7B28">
        <w:rPr>
          <w:sz w:val="22"/>
          <w:szCs w:val="22"/>
          <w:lang w:val="en-GB"/>
        </w:rPr>
        <w:t xml:space="preserve">and impact </w:t>
      </w:r>
      <w:r w:rsidR="002427EF">
        <w:rPr>
          <w:sz w:val="22"/>
          <w:szCs w:val="22"/>
          <w:lang w:val="en-GB"/>
        </w:rPr>
        <w:t>of existing vaccines</w:t>
      </w:r>
      <w:r w:rsidR="00BE7B28">
        <w:rPr>
          <w:sz w:val="22"/>
          <w:szCs w:val="22"/>
          <w:lang w:val="en-GB"/>
        </w:rPr>
        <w:t xml:space="preserve"> that </w:t>
      </w:r>
      <w:r w:rsidR="004D21B2">
        <w:rPr>
          <w:sz w:val="22"/>
          <w:szCs w:val="22"/>
          <w:lang w:val="en-GB"/>
        </w:rPr>
        <w:t>have already been introduced.</w:t>
      </w:r>
    </w:p>
    <w:p w14:paraId="158E6C8E" w14:textId="6E37142A" w:rsidR="00992649" w:rsidRDefault="00992649" w:rsidP="00EC3C28">
      <w:pPr>
        <w:jc w:val="both"/>
        <w:rPr>
          <w:sz w:val="22"/>
          <w:szCs w:val="22"/>
          <w:lang w:val="en-GB"/>
        </w:rPr>
      </w:pPr>
      <w:r w:rsidRPr="672747AD">
        <w:rPr>
          <w:sz w:val="22"/>
          <w:szCs w:val="22"/>
          <w:lang w:val="en-GB"/>
        </w:rPr>
        <w:t xml:space="preserve">This contraction in funding has had </w:t>
      </w:r>
      <w:r w:rsidR="00936A61">
        <w:rPr>
          <w:sz w:val="22"/>
          <w:szCs w:val="22"/>
          <w:lang w:val="en-GB"/>
        </w:rPr>
        <w:t>several implications</w:t>
      </w:r>
      <w:r w:rsidR="000A3A8A" w:rsidRPr="672747AD">
        <w:rPr>
          <w:sz w:val="22"/>
          <w:szCs w:val="22"/>
          <w:lang w:val="en-GB"/>
        </w:rPr>
        <w:t xml:space="preserve"> to the </w:t>
      </w:r>
      <w:r w:rsidR="00517776" w:rsidRPr="672747AD">
        <w:rPr>
          <w:sz w:val="22"/>
          <w:szCs w:val="22"/>
          <w:lang w:val="en-GB"/>
        </w:rPr>
        <w:t>vaccine research</w:t>
      </w:r>
      <w:r w:rsidR="00E85E7F" w:rsidRPr="672747AD">
        <w:rPr>
          <w:sz w:val="22"/>
          <w:szCs w:val="22"/>
          <w:lang w:val="en-GB"/>
        </w:rPr>
        <w:t>-</w:t>
      </w:r>
      <w:r w:rsidR="00517776" w:rsidRPr="672747AD">
        <w:rPr>
          <w:sz w:val="22"/>
          <w:szCs w:val="22"/>
          <w:lang w:val="en-GB"/>
        </w:rPr>
        <w:t>to</w:t>
      </w:r>
      <w:r w:rsidR="00E85E7F" w:rsidRPr="672747AD">
        <w:rPr>
          <w:sz w:val="22"/>
          <w:szCs w:val="22"/>
          <w:lang w:val="en-GB"/>
        </w:rPr>
        <w:t>-</w:t>
      </w:r>
      <w:r w:rsidR="00517776" w:rsidRPr="672747AD">
        <w:rPr>
          <w:sz w:val="22"/>
          <w:szCs w:val="22"/>
          <w:lang w:val="en-GB"/>
        </w:rPr>
        <w:t xml:space="preserve">implementation </w:t>
      </w:r>
      <w:r w:rsidR="00720328">
        <w:rPr>
          <w:sz w:val="22"/>
          <w:szCs w:val="22"/>
          <w:lang w:val="en-GB"/>
        </w:rPr>
        <w:t>continuum.</w:t>
      </w:r>
    </w:p>
    <w:p w14:paraId="7D9D4ADE" w14:textId="07440977" w:rsidR="00752646" w:rsidRPr="00720328" w:rsidRDefault="00720328" w:rsidP="00720328">
      <w:pPr>
        <w:jc w:val="both"/>
        <w:rPr>
          <w:sz w:val="22"/>
          <w:szCs w:val="22"/>
          <w:lang w:val="en-GB"/>
        </w:rPr>
      </w:pPr>
      <w:r>
        <w:rPr>
          <w:sz w:val="22"/>
          <w:szCs w:val="22"/>
          <w:lang w:val="en-GB"/>
        </w:rPr>
        <w:t>First,</w:t>
      </w:r>
      <w:r w:rsidR="005409B2">
        <w:rPr>
          <w:sz w:val="22"/>
          <w:szCs w:val="22"/>
          <w:lang w:val="en-GB"/>
        </w:rPr>
        <w:t xml:space="preserve"> </w:t>
      </w:r>
      <w:r>
        <w:rPr>
          <w:sz w:val="22"/>
          <w:szCs w:val="22"/>
          <w:lang w:val="en-GB"/>
        </w:rPr>
        <w:t>r</w:t>
      </w:r>
      <w:proofErr w:type="spellStart"/>
      <w:r w:rsidR="009B4DF4" w:rsidRPr="00720328">
        <w:rPr>
          <w:sz w:val="22"/>
          <w:szCs w:val="22"/>
        </w:rPr>
        <w:t>outine</w:t>
      </w:r>
      <w:proofErr w:type="spellEnd"/>
      <w:r w:rsidR="009B4DF4" w:rsidRPr="00720328">
        <w:rPr>
          <w:sz w:val="22"/>
          <w:szCs w:val="22"/>
        </w:rPr>
        <w:t xml:space="preserve"> immunization </w:t>
      </w:r>
      <w:proofErr w:type="spellStart"/>
      <w:r w:rsidR="009B4DF4" w:rsidRPr="00720328">
        <w:rPr>
          <w:sz w:val="22"/>
          <w:szCs w:val="22"/>
        </w:rPr>
        <w:t>programmes</w:t>
      </w:r>
      <w:proofErr w:type="spellEnd"/>
      <w:r w:rsidR="009B4DF4" w:rsidRPr="00720328">
        <w:rPr>
          <w:sz w:val="22"/>
          <w:szCs w:val="22"/>
        </w:rPr>
        <w:t xml:space="preserve"> in LMICs are under increasing financial</w:t>
      </w:r>
      <w:r w:rsidR="3C514142" w:rsidRPr="00720328">
        <w:rPr>
          <w:sz w:val="22"/>
          <w:szCs w:val="22"/>
        </w:rPr>
        <w:t xml:space="preserve"> and programmatic</w:t>
      </w:r>
      <w:r w:rsidR="009B4DF4" w:rsidRPr="00720328">
        <w:rPr>
          <w:sz w:val="22"/>
          <w:szCs w:val="22"/>
        </w:rPr>
        <w:t xml:space="preserve"> strain,</w:t>
      </w:r>
      <w:r w:rsidR="00C32477" w:rsidRPr="7E110498">
        <w:rPr>
          <w:rStyle w:val="EndnoteReference"/>
          <w:sz w:val="22"/>
          <w:szCs w:val="22"/>
        </w:rPr>
        <w:endnoteReference w:id="8"/>
      </w:r>
      <w:r w:rsidR="009B4DF4" w:rsidRPr="00720328">
        <w:rPr>
          <w:sz w:val="22"/>
          <w:szCs w:val="22"/>
        </w:rPr>
        <w:t xml:space="preserve"> as currently recommended vaccines increase in number, particularly for infants.</w:t>
      </w:r>
      <w:r w:rsidR="009334A0" w:rsidRPr="00720328">
        <w:rPr>
          <w:sz w:val="22"/>
          <w:szCs w:val="22"/>
        </w:rPr>
        <w:t xml:space="preserve"> </w:t>
      </w:r>
      <w:r w:rsidR="009B4DF4" w:rsidRPr="00720328">
        <w:rPr>
          <w:sz w:val="22"/>
          <w:szCs w:val="22"/>
        </w:rPr>
        <w:t xml:space="preserve"> </w:t>
      </w:r>
      <w:r w:rsidR="003529FA" w:rsidRPr="00720328">
        <w:rPr>
          <w:sz w:val="22"/>
          <w:szCs w:val="22"/>
        </w:rPr>
        <w:t>Gavi’s 6.0 replenishment fell far short of targets</w:t>
      </w:r>
      <w:r w:rsidR="00A13AE0" w:rsidRPr="00720328">
        <w:rPr>
          <w:sz w:val="22"/>
          <w:szCs w:val="22"/>
        </w:rPr>
        <w:t xml:space="preserve">. </w:t>
      </w:r>
      <w:r w:rsidR="00752646" w:rsidRPr="00720328">
        <w:rPr>
          <w:sz w:val="22"/>
          <w:szCs w:val="22"/>
        </w:rPr>
        <w:t>I</w:t>
      </w:r>
      <w:r w:rsidR="003529FA" w:rsidRPr="00720328">
        <w:rPr>
          <w:sz w:val="22"/>
          <w:szCs w:val="22"/>
        </w:rPr>
        <w:t xml:space="preserve">ts </w:t>
      </w:r>
      <w:r w:rsidR="00BC179B" w:rsidRPr="00720328">
        <w:rPr>
          <w:sz w:val="22"/>
          <w:szCs w:val="22"/>
        </w:rPr>
        <w:t xml:space="preserve">‘LEAP’ </w:t>
      </w:r>
      <w:r w:rsidR="00EE0F72" w:rsidRPr="00720328">
        <w:rPr>
          <w:sz w:val="22"/>
          <w:szCs w:val="22"/>
        </w:rPr>
        <w:t>initiative</w:t>
      </w:r>
      <w:r w:rsidR="00752646" w:rsidRPr="00720328">
        <w:rPr>
          <w:sz w:val="22"/>
          <w:szCs w:val="22"/>
        </w:rPr>
        <w:t xml:space="preserve"> seeks to address </w:t>
      </w:r>
      <w:r w:rsidR="00385165" w:rsidRPr="00720328">
        <w:rPr>
          <w:sz w:val="22"/>
          <w:szCs w:val="22"/>
        </w:rPr>
        <w:t xml:space="preserve">this </w:t>
      </w:r>
      <w:r w:rsidR="00752646" w:rsidRPr="00720328">
        <w:rPr>
          <w:sz w:val="22"/>
          <w:szCs w:val="22"/>
        </w:rPr>
        <w:t>by</w:t>
      </w:r>
      <w:r w:rsidR="00D24F20" w:rsidRPr="00720328">
        <w:rPr>
          <w:sz w:val="22"/>
          <w:szCs w:val="22"/>
        </w:rPr>
        <w:t xml:space="preserve"> transform</w:t>
      </w:r>
      <w:r w:rsidR="00752646" w:rsidRPr="00720328">
        <w:rPr>
          <w:sz w:val="22"/>
          <w:szCs w:val="22"/>
        </w:rPr>
        <w:t>ing</w:t>
      </w:r>
      <w:r w:rsidR="00D24F20" w:rsidRPr="00720328">
        <w:rPr>
          <w:sz w:val="22"/>
          <w:szCs w:val="22"/>
        </w:rPr>
        <w:t xml:space="preserve"> the </w:t>
      </w:r>
      <w:r w:rsidR="00F34B8A" w:rsidRPr="00720328">
        <w:rPr>
          <w:sz w:val="22"/>
          <w:szCs w:val="22"/>
        </w:rPr>
        <w:t xml:space="preserve">historical </w:t>
      </w:r>
      <w:r w:rsidR="00D24F20" w:rsidRPr="00720328">
        <w:rPr>
          <w:sz w:val="22"/>
          <w:szCs w:val="22"/>
        </w:rPr>
        <w:t>funding model to offer</w:t>
      </w:r>
      <w:r w:rsidR="00BC179B" w:rsidRPr="00720328">
        <w:rPr>
          <w:sz w:val="22"/>
          <w:szCs w:val="22"/>
        </w:rPr>
        <w:t xml:space="preserve"> </w:t>
      </w:r>
      <w:r w:rsidR="001E61D0" w:rsidRPr="00720328">
        <w:rPr>
          <w:sz w:val="22"/>
          <w:szCs w:val="22"/>
        </w:rPr>
        <w:t xml:space="preserve">Gavi supported countries </w:t>
      </w:r>
      <w:r w:rsidR="00EE0F72" w:rsidRPr="00720328">
        <w:rPr>
          <w:sz w:val="22"/>
          <w:szCs w:val="22"/>
        </w:rPr>
        <w:t xml:space="preserve">a </w:t>
      </w:r>
      <w:r w:rsidR="00654497" w:rsidRPr="00720328">
        <w:rPr>
          <w:sz w:val="22"/>
          <w:szCs w:val="22"/>
        </w:rPr>
        <w:t xml:space="preserve">country vaccine </w:t>
      </w:r>
      <w:r w:rsidR="00EE0F72" w:rsidRPr="00720328">
        <w:rPr>
          <w:sz w:val="22"/>
          <w:szCs w:val="22"/>
        </w:rPr>
        <w:t xml:space="preserve">budget </w:t>
      </w:r>
      <w:r w:rsidR="00654497" w:rsidRPr="00720328">
        <w:rPr>
          <w:sz w:val="22"/>
          <w:szCs w:val="22"/>
        </w:rPr>
        <w:t>(CVB) t</w:t>
      </w:r>
      <w:r w:rsidR="00D17012" w:rsidRPr="00720328">
        <w:rPr>
          <w:sz w:val="22"/>
          <w:szCs w:val="22"/>
        </w:rPr>
        <w:t xml:space="preserve">o be allocated across pre-defined </w:t>
      </w:r>
      <w:r w:rsidR="00E8136D" w:rsidRPr="00720328">
        <w:rPr>
          <w:sz w:val="22"/>
          <w:szCs w:val="22"/>
        </w:rPr>
        <w:t xml:space="preserve">guaranteed </w:t>
      </w:r>
      <w:r w:rsidR="00416869" w:rsidRPr="00720328">
        <w:rPr>
          <w:sz w:val="22"/>
          <w:szCs w:val="22"/>
        </w:rPr>
        <w:t xml:space="preserve">(i.e., </w:t>
      </w:r>
      <w:r w:rsidR="00214658" w:rsidRPr="00720328">
        <w:rPr>
          <w:sz w:val="22"/>
          <w:szCs w:val="22"/>
        </w:rPr>
        <w:t xml:space="preserve">programmatically </w:t>
      </w:r>
      <w:r w:rsidR="00416869" w:rsidRPr="00720328">
        <w:rPr>
          <w:sz w:val="22"/>
          <w:szCs w:val="22"/>
        </w:rPr>
        <w:t xml:space="preserve">essential) </w:t>
      </w:r>
      <w:r w:rsidR="00E8136D" w:rsidRPr="00720328">
        <w:rPr>
          <w:sz w:val="22"/>
          <w:szCs w:val="22"/>
        </w:rPr>
        <w:t>and</w:t>
      </w:r>
      <w:r w:rsidR="00416869" w:rsidRPr="00720328">
        <w:rPr>
          <w:sz w:val="22"/>
          <w:szCs w:val="22"/>
        </w:rPr>
        <w:t xml:space="preserve"> discretionary (i.e., </w:t>
      </w:r>
      <w:r w:rsidR="00214658" w:rsidRPr="00720328">
        <w:rPr>
          <w:sz w:val="22"/>
          <w:szCs w:val="22"/>
        </w:rPr>
        <w:t>additional, new)</w:t>
      </w:r>
      <w:r w:rsidR="00416869" w:rsidRPr="00720328">
        <w:rPr>
          <w:sz w:val="22"/>
          <w:szCs w:val="22"/>
        </w:rPr>
        <w:t xml:space="preserve"> vaccines</w:t>
      </w:r>
      <w:r w:rsidR="00214658" w:rsidRPr="00720328">
        <w:rPr>
          <w:sz w:val="22"/>
          <w:szCs w:val="22"/>
        </w:rPr>
        <w:t>.</w:t>
      </w:r>
      <w:r w:rsidR="00416869" w:rsidRPr="00720328">
        <w:rPr>
          <w:sz w:val="22"/>
          <w:szCs w:val="22"/>
        </w:rPr>
        <w:t xml:space="preserve"> </w:t>
      </w:r>
      <w:r w:rsidR="00F76BB2" w:rsidRPr="00720328">
        <w:rPr>
          <w:sz w:val="22"/>
          <w:szCs w:val="22"/>
        </w:rPr>
        <w:t xml:space="preserve"> </w:t>
      </w:r>
    </w:p>
    <w:p w14:paraId="10DFB46F" w14:textId="65FE5807" w:rsidR="00992649" w:rsidRPr="00084705" w:rsidRDefault="00084705" w:rsidP="00084705">
      <w:pPr>
        <w:jc w:val="both"/>
        <w:rPr>
          <w:sz w:val="22"/>
          <w:szCs w:val="22"/>
          <w:lang w:val="en-GB"/>
        </w:rPr>
      </w:pPr>
      <w:r w:rsidRPr="28429A3C">
        <w:rPr>
          <w:sz w:val="22"/>
          <w:szCs w:val="22"/>
          <w:lang w:val="en-GB"/>
        </w:rPr>
        <w:t>Second, there is increasing urgency to identify i</w:t>
      </w:r>
      <w:r w:rsidR="00A537C7" w:rsidRPr="28429A3C">
        <w:rPr>
          <w:sz w:val="22"/>
          <w:szCs w:val="22"/>
          <w:lang w:val="en-GB"/>
        </w:rPr>
        <w:t>nnovati</w:t>
      </w:r>
      <w:r w:rsidRPr="28429A3C">
        <w:rPr>
          <w:sz w:val="22"/>
          <w:szCs w:val="22"/>
          <w:lang w:val="en-GB"/>
        </w:rPr>
        <w:t>ve approached</w:t>
      </w:r>
      <w:r w:rsidR="00A537C7" w:rsidRPr="28429A3C">
        <w:rPr>
          <w:sz w:val="22"/>
          <w:szCs w:val="22"/>
          <w:lang w:val="en-GB"/>
        </w:rPr>
        <w:t xml:space="preserve"> in clinical trial design to accelerate vaccine development and reduce the costs of clinical development</w:t>
      </w:r>
      <w:r w:rsidR="00992649" w:rsidRPr="28429A3C">
        <w:rPr>
          <w:sz w:val="22"/>
          <w:szCs w:val="22"/>
          <w:lang w:val="en-GB"/>
        </w:rPr>
        <w:t xml:space="preserve">. Many approaches to innovative trial designs are within PDVAC’s remit: adaptive and platform trials, leveraging correlates of protection, and controlled human infection models (CHIM). PDVAC’s mandate </w:t>
      </w:r>
      <w:r w:rsidR="001A13AA" w:rsidRPr="28429A3C">
        <w:rPr>
          <w:sz w:val="22"/>
          <w:szCs w:val="22"/>
          <w:lang w:val="en-GB"/>
        </w:rPr>
        <w:t xml:space="preserve">includes assessment </w:t>
      </w:r>
      <w:r w:rsidR="4F781CAA" w:rsidRPr="28429A3C">
        <w:rPr>
          <w:sz w:val="22"/>
          <w:szCs w:val="22"/>
          <w:lang w:val="en-GB"/>
        </w:rPr>
        <w:t>of the</w:t>
      </w:r>
      <w:r w:rsidR="00992649" w:rsidRPr="28429A3C">
        <w:rPr>
          <w:sz w:val="22"/>
          <w:szCs w:val="22"/>
          <w:lang w:val="en-GB"/>
        </w:rPr>
        <w:t xml:space="preserve"> balance of the risks and benefits of these novel approaches, to ensure the resulting trials meet the needs of developers, regulators, policy makers, and </w:t>
      </w:r>
      <w:r w:rsidR="00CE01AE" w:rsidRPr="28429A3C">
        <w:rPr>
          <w:sz w:val="22"/>
          <w:szCs w:val="22"/>
          <w:lang w:val="en-GB"/>
        </w:rPr>
        <w:t xml:space="preserve">populations most </w:t>
      </w:r>
      <w:r w:rsidR="00385165" w:rsidRPr="28429A3C">
        <w:rPr>
          <w:sz w:val="22"/>
          <w:szCs w:val="22"/>
          <w:lang w:val="en-GB"/>
        </w:rPr>
        <w:t>in need</w:t>
      </w:r>
      <w:r w:rsidR="00992649" w:rsidRPr="28429A3C">
        <w:rPr>
          <w:sz w:val="22"/>
          <w:szCs w:val="22"/>
          <w:lang w:val="en-GB"/>
        </w:rPr>
        <w:t xml:space="preserve">. </w:t>
      </w:r>
    </w:p>
    <w:p w14:paraId="6DB6B92F" w14:textId="18F4959F" w:rsidR="002D2465" w:rsidRPr="002D2465" w:rsidRDefault="002D2465" w:rsidP="002D2465">
      <w:pPr>
        <w:jc w:val="both"/>
        <w:rPr>
          <w:sz w:val="22"/>
          <w:szCs w:val="22"/>
          <w:lang w:val="en-GB"/>
        </w:rPr>
      </w:pPr>
      <w:r w:rsidRPr="28429A3C">
        <w:rPr>
          <w:sz w:val="22"/>
          <w:szCs w:val="22"/>
          <w:lang w:val="en-GB"/>
        </w:rPr>
        <w:t>Some potential solutions, including novel combination, were discussed at the meeting. In this context of unpredictable public funding, demand for and implementation of new vaccines is in doubt, resulting in increased risk and decreased investment in R&amp;D vaccine pipelines</w:t>
      </w:r>
      <w:r w:rsidR="00F911D7" w:rsidRPr="28429A3C">
        <w:rPr>
          <w:sz w:val="22"/>
          <w:szCs w:val="22"/>
          <w:lang w:val="en-GB"/>
        </w:rPr>
        <w:t xml:space="preserve">, </w:t>
      </w:r>
      <w:r w:rsidRPr="28429A3C">
        <w:rPr>
          <w:sz w:val="22"/>
          <w:szCs w:val="22"/>
          <w:lang w:val="en-GB"/>
        </w:rPr>
        <w:t xml:space="preserve">particularly for LMIC use. </w:t>
      </w:r>
    </w:p>
    <w:p w14:paraId="5A93962D" w14:textId="57718CDE" w:rsidR="007D44E4" w:rsidRPr="00554181" w:rsidRDefault="003845C4" w:rsidP="00865B5F">
      <w:pPr>
        <w:jc w:val="both"/>
        <w:rPr>
          <w:sz w:val="22"/>
          <w:szCs w:val="22"/>
        </w:rPr>
      </w:pPr>
      <w:r>
        <w:rPr>
          <w:sz w:val="22"/>
          <w:szCs w:val="22"/>
        </w:rPr>
        <w:t>T</w:t>
      </w:r>
      <w:r w:rsidR="00482FDB">
        <w:rPr>
          <w:sz w:val="22"/>
          <w:szCs w:val="22"/>
        </w:rPr>
        <w:t>he recent funding challenges in the global health environment have impacted funding to WHO</w:t>
      </w:r>
      <w:r w:rsidR="00565867">
        <w:rPr>
          <w:sz w:val="22"/>
          <w:szCs w:val="22"/>
        </w:rPr>
        <w:t xml:space="preserve"> </w:t>
      </w:r>
      <w:r w:rsidR="00482FDB">
        <w:rPr>
          <w:sz w:val="22"/>
          <w:szCs w:val="22"/>
        </w:rPr>
        <w:t xml:space="preserve">across the organization, including the Immunization, </w:t>
      </w:r>
      <w:r w:rsidR="00985FB0">
        <w:rPr>
          <w:sz w:val="22"/>
          <w:szCs w:val="22"/>
        </w:rPr>
        <w:t>Vaccines, and Biologicals Department (IVB).</w:t>
      </w:r>
      <w:r w:rsidR="004246AD">
        <w:rPr>
          <w:rStyle w:val="EndnoteReference"/>
          <w:sz w:val="22"/>
          <w:szCs w:val="22"/>
        </w:rPr>
        <w:endnoteReference w:id="9"/>
      </w:r>
      <w:r w:rsidR="00985FB0">
        <w:rPr>
          <w:sz w:val="22"/>
          <w:szCs w:val="22"/>
        </w:rPr>
        <w:t xml:space="preserve"> </w:t>
      </w:r>
      <w:r w:rsidR="000628A4">
        <w:rPr>
          <w:sz w:val="22"/>
          <w:szCs w:val="22"/>
        </w:rPr>
        <w:t xml:space="preserve">Other </w:t>
      </w:r>
      <w:r w:rsidR="0044301A">
        <w:rPr>
          <w:sz w:val="22"/>
          <w:szCs w:val="22"/>
        </w:rPr>
        <w:t xml:space="preserve">global </w:t>
      </w:r>
      <w:r w:rsidR="000628A4">
        <w:rPr>
          <w:sz w:val="22"/>
          <w:szCs w:val="22"/>
        </w:rPr>
        <w:t>immunization agencies, such as Gavi and U</w:t>
      </w:r>
      <w:r w:rsidR="00B47BFD">
        <w:rPr>
          <w:sz w:val="22"/>
          <w:szCs w:val="22"/>
        </w:rPr>
        <w:t>NICEF</w:t>
      </w:r>
      <w:r w:rsidR="000628A4">
        <w:rPr>
          <w:sz w:val="22"/>
          <w:szCs w:val="22"/>
        </w:rPr>
        <w:t xml:space="preserve">, have also faced significant </w:t>
      </w:r>
      <w:r w:rsidR="000E59EA">
        <w:rPr>
          <w:sz w:val="22"/>
          <w:szCs w:val="22"/>
        </w:rPr>
        <w:t xml:space="preserve">funding </w:t>
      </w:r>
      <w:r w:rsidR="000628A4">
        <w:rPr>
          <w:sz w:val="22"/>
          <w:szCs w:val="22"/>
        </w:rPr>
        <w:t>cuts</w:t>
      </w:r>
      <w:r w:rsidR="000E59EA">
        <w:rPr>
          <w:sz w:val="22"/>
          <w:szCs w:val="22"/>
        </w:rPr>
        <w:t xml:space="preserve"> and</w:t>
      </w:r>
      <w:r w:rsidR="007818A9">
        <w:rPr>
          <w:sz w:val="22"/>
          <w:szCs w:val="22"/>
        </w:rPr>
        <w:t xml:space="preserve"> all three organizations have experienced a significant reduction in </w:t>
      </w:r>
      <w:r w:rsidR="00803214">
        <w:rPr>
          <w:sz w:val="22"/>
          <w:szCs w:val="22"/>
        </w:rPr>
        <w:t>work</w:t>
      </w:r>
      <w:r w:rsidR="007818A9">
        <w:rPr>
          <w:sz w:val="22"/>
          <w:szCs w:val="22"/>
        </w:rPr>
        <w:t>force</w:t>
      </w:r>
      <w:r w:rsidR="000628A4">
        <w:rPr>
          <w:sz w:val="22"/>
          <w:szCs w:val="22"/>
        </w:rPr>
        <w:t>.</w:t>
      </w:r>
      <w:r w:rsidR="0099728E">
        <w:rPr>
          <w:rStyle w:val="EndnoteReference"/>
          <w:sz w:val="22"/>
          <w:szCs w:val="22"/>
        </w:rPr>
        <w:endnoteReference w:id="10"/>
      </w:r>
      <w:r w:rsidR="003B6411">
        <w:rPr>
          <w:sz w:val="22"/>
          <w:szCs w:val="22"/>
        </w:rPr>
        <w:t xml:space="preserve"> </w:t>
      </w:r>
      <w:r w:rsidR="0044301A">
        <w:rPr>
          <w:sz w:val="22"/>
          <w:szCs w:val="22"/>
        </w:rPr>
        <w:t xml:space="preserve"> </w:t>
      </w:r>
      <w:r w:rsidR="00E00BF9">
        <w:rPr>
          <w:sz w:val="22"/>
          <w:szCs w:val="22"/>
        </w:rPr>
        <w:t xml:space="preserve">Within this context is the </w:t>
      </w:r>
      <w:r w:rsidR="004C415D">
        <w:rPr>
          <w:sz w:val="22"/>
          <w:szCs w:val="22"/>
        </w:rPr>
        <w:t xml:space="preserve">critical need to support </w:t>
      </w:r>
      <w:r w:rsidR="003B6DFC">
        <w:rPr>
          <w:sz w:val="22"/>
          <w:szCs w:val="22"/>
        </w:rPr>
        <w:t xml:space="preserve">and facilitate </w:t>
      </w:r>
      <w:r w:rsidR="004C415D">
        <w:rPr>
          <w:sz w:val="22"/>
          <w:szCs w:val="22"/>
        </w:rPr>
        <w:t xml:space="preserve">prioritization </w:t>
      </w:r>
      <w:r w:rsidR="003B6DFC">
        <w:rPr>
          <w:sz w:val="22"/>
          <w:szCs w:val="22"/>
        </w:rPr>
        <w:t xml:space="preserve">of both existing and pipeline vaccines at </w:t>
      </w:r>
      <w:r w:rsidR="00803214">
        <w:rPr>
          <w:sz w:val="22"/>
          <w:szCs w:val="22"/>
        </w:rPr>
        <w:t>t</w:t>
      </w:r>
      <w:r w:rsidR="003B6DFC">
        <w:rPr>
          <w:sz w:val="22"/>
          <w:szCs w:val="22"/>
        </w:rPr>
        <w:t xml:space="preserve">he </w:t>
      </w:r>
      <w:r w:rsidR="00803214">
        <w:rPr>
          <w:sz w:val="22"/>
          <w:szCs w:val="22"/>
        </w:rPr>
        <w:t>national</w:t>
      </w:r>
      <w:r w:rsidR="003B6DFC">
        <w:rPr>
          <w:sz w:val="22"/>
          <w:szCs w:val="22"/>
        </w:rPr>
        <w:t xml:space="preserve">, regional and global </w:t>
      </w:r>
      <w:r w:rsidR="00C83E44">
        <w:rPr>
          <w:sz w:val="22"/>
          <w:szCs w:val="22"/>
        </w:rPr>
        <w:t>levels to ensure the optimal use of financial and human resources.</w:t>
      </w:r>
      <w:r w:rsidR="009F2FDE" w:rsidRPr="009F2FDE">
        <w:rPr>
          <w:sz w:val="22"/>
          <w:szCs w:val="22"/>
        </w:rPr>
        <w:t xml:space="preserve"> </w:t>
      </w:r>
      <w:r w:rsidR="009F2FDE" w:rsidRPr="672747AD">
        <w:rPr>
          <w:sz w:val="22"/>
          <w:szCs w:val="22"/>
        </w:rPr>
        <w:t xml:space="preserve">PDVAC’s remit is to ensure that the vaccines arriving to market are as appropriate as possible to respond to countries’ disease burdens, </w:t>
      </w:r>
      <w:r w:rsidR="00A735BC">
        <w:rPr>
          <w:sz w:val="22"/>
          <w:szCs w:val="22"/>
        </w:rPr>
        <w:t>programmatic needs</w:t>
      </w:r>
      <w:r w:rsidR="009F2FDE" w:rsidRPr="672747AD">
        <w:rPr>
          <w:sz w:val="22"/>
          <w:szCs w:val="22"/>
        </w:rPr>
        <w:t xml:space="preserve">, and </w:t>
      </w:r>
      <w:r w:rsidR="008025A2">
        <w:rPr>
          <w:sz w:val="22"/>
          <w:szCs w:val="22"/>
        </w:rPr>
        <w:t>socio-</w:t>
      </w:r>
      <w:r w:rsidR="00A735BC">
        <w:rPr>
          <w:sz w:val="22"/>
          <w:szCs w:val="22"/>
        </w:rPr>
        <w:t xml:space="preserve">economic </w:t>
      </w:r>
      <w:r w:rsidR="008025A2">
        <w:rPr>
          <w:sz w:val="22"/>
          <w:szCs w:val="22"/>
        </w:rPr>
        <w:t>priorities</w:t>
      </w:r>
      <w:r w:rsidR="009F2FDE" w:rsidRPr="672747AD">
        <w:rPr>
          <w:sz w:val="22"/>
          <w:szCs w:val="22"/>
        </w:rPr>
        <w:t>.</w:t>
      </w:r>
    </w:p>
    <w:p w14:paraId="5CEFB15D" w14:textId="77777777" w:rsidR="00CC2E83" w:rsidRDefault="00CC2E83" w:rsidP="00CC2E83">
      <w:pPr>
        <w:pStyle w:val="Heading2"/>
        <w:rPr>
          <w:lang w:val="en-GB"/>
        </w:rPr>
      </w:pPr>
      <w:r w:rsidRPr="00D4624B">
        <w:rPr>
          <w:lang w:val="en-GB"/>
        </w:rPr>
        <w:t xml:space="preserve">The Scope and Objectives of the 2025 PDVAC Meeting </w:t>
      </w:r>
    </w:p>
    <w:p w14:paraId="3786967F" w14:textId="77777777" w:rsidR="00114815" w:rsidRDefault="00CC2E83" w:rsidP="0004342F">
      <w:pPr>
        <w:jc w:val="both"/>
        <w:rPr>
          <w:sz w:val="22"/>
          <w:szCs w:val="22"/>
          <w:lang w:val="en-GB"/>
        </w:rPr>
      </w:pPr>
      <w:r w:rsidRPr="00BC33C0">
        <w:rPr>
          <w:sz w:val="22"/>
          <w:szCs w:val="22"/>
          <w:lang w:val="en-GB"/>
        </w:rPr>
        <w:t xml:space="preserve">The </w:t>
      </w:r>
      <w:r w:rsidR="00B66ABB">
        <w:rPr>
          <w:sz w:val="22"/>
          <w:szCs w:val="22"/>
          <w:lang w:val="en-GB"/>
        </w:rPr>
        <w:t xml:space="preserve">goals </w:t>
      </w:r>
      <w:r w:rsidRPr="00BC33C0">
        <w:rPr>
          <w:sz w:val="22"/>
          <w:szCs w:val="22"/>
          <w:lang w:val="en-GB"/>
        </w:rPr>
        <w:t xml:space="preserve">of </w:t>
      </w:r>
      <w:r w:rsidR="00B66ABB">
        <w:rPr>
          <w:sz w:val="22"/>
          <w:szCs w:val="22"/>
          <w:lang w:val="en-GB"/>
        </w:rPr>
        <w:t xml:space="preserve">this </w:t>
      </w:r>
      <w:r w:rsidRPr="00BC33C0">
        <w:rPr>
          <w:sz w:val="22"/>
          <w:szCs w:val="22"/>
          <w:lang w:val="en-GB"/>
        </w:rPr>
        <w:t xml:space="preserve">PDVAC meeting </w:t>
      </w:r>
      <w:r w:rsidR="00891CF6">
        <w:rPr>
          <w:sz w:val="22"/>
          <w:szCs w:val="22"/>
          <w:lang w:val="en-GB"/>
        </w:rPr>
        <w:t>were to</w:t>
      </w:r>
      <w:r w:rsidR="00114815">
        <w:rPr>
          <w:sz w:val="22"/>
          <w:szCs w:val="22"/>
          <w:lang w:val="en-GB"/>
        </w:rPr>
        <w:t>:</w:t>
      </w:r>
    </w:p>
    <w:p w14:paraId="60743EBE" w14:textId="3B226E21" w:rsidR="00BF6D8F" w:rsidRPr="009E3F85" w:rsidRDefault="00F44E8C" w:rsidP="00BF6D8F">
      <w:pPr>
        <w:pStyle w:val="ListParagraph"/>
        <w:numPr>
          <w:ilvl w:val="0"/>
          <w:numId w:val="25"/>
        </w:numPr>
        <w:jc w:val="both"/>
        <w:rPr>
          <w:sz w:val="22"/>
          <w:szCs w:val="22"/>
          <w:lang w:val="en-GB"/>
        </w:rPr>
      </w:pPr>
      <w:r>
        <w:rPr>
          <w:sz w:val="22"/>
          <w:szCs w:val="22"/>
          <w:lang w:val="en-GB"/>
        </w:rPr>
        <w:t>d</w:t>
      </w:r>
      <w:r w:rsidR="00BF6D8F">
        <w:rPr>
          <w:sz w:val="22"/>
          <w:szCs w:val="22"/>
          <w:lang w:val="en-GB"/>
        </w:rPr>
        <w:t xml:space="preserve">iscuss </w:t>
      </w:r>
      <w:r w:rsidR="00BF6D8F" w:rsidRPr="009E3F85">
        <w:rPr>
          <w:sz w:val="22"/>
          <w:szCs w:val="22"/>
          <w:lang w:val="en-GB"/>
        </w:rPr>
        <w:t xml:space="preserve">innovative approaches to accelerate vaccine regulatory approval </w:t>
      </w:r>
      <w:r w:rsidR="00BF6D8F">
        <w:rPr>
          <w:sz w:val="22"/>
          <w:szCs w:val="22"/>
          <w:lang w:val="en-GB"/>
        </w:rPr>
        <w:t xml:space="preserve">for pipeline </w:t>
      </w:r>
      <w:r w:rsidR="00BF6D8F" w:rsidRPr="009E3F85">
        <w:rPr>
          <w:sz w:val="22"/>
          <w:szCs w:val="22"/>
          <w:lang w:val="en-GB"/>
        </w:rPr>
        <w:t xml:space="preserve">vaccines </w:t>
      </w:r>
      <w:r w:rsidR="00BF6D8F">
        <w:rPr>
          <w:sz w:val="22"/>
          <w:szCs w:val="22"/>
          <w:lang w:val="en-GB"/>
        </w:rPr>
        <w:t xml:space="preserve">against priority </w:t>
      </w:r>
      <w:r w:rsidR="00BF6D8F" w:rsidRPr="009E3F85">
        <w:rPr>
          <w:sz w:val="22"/>
          <w:szCs w:val="22"/>
          <w:lang w:val="en-GB"/>
        </w:rPr>
        <w:t>endemic pathogens</w:t>
      </w:r>
      <w:r>
        <w:rPr>
          <w:sz w:val="22"/>
          <w:szCs w:val="22"/>
          <w:lang w:val="en-GB"/>
        </w:rPr>
        <w:t>;</w:t>
      </w:r>
    </w:p>
    <w:p w14:paraId="2502315C" w14:textId="3A8C9C39" w:rsidR="009E3F85" w:rsidRPr="00114815" w:rsidRDefault="00A51E7A" w:rsidP="00114815">
      <w:pPr>
        <w:pStyle w:val="ListParagraph"/>
        <w:numPr>
          <w:ilvl w:val="0"/>
          <w:numId w:val="25"/>
        </w:numPr>
        <w:jc w:val="both"/>
        <w:rPr>
          <w:sz w:val="22"/>
          <w:szCs w:val="22"/>
          <w:lang w:val="en-GB"/>
        </w:rPr>
      </w:pPr>
      <w:r>
        <w:rPr>
          <w:sz w:val="22"/>
          <w:szCs w:val="22"/>
          <w:lang w:val="en-GB"/>
        </w:rPr>
        <w:t xml:space="preserve">seek opportunities to enhance </w:t>
      </w:r>
      <w:r w:rsidR="00CC2E83" w:rsidRPr="00114815">
        <w:rPr>
          <w:sz w:val="22"/>
          <w:szCs w:val="22"/>
          <w:lang w:val="en-GB"/>
        </w:rPr>
        <w:t>programmatic efficiency</w:t>
      </w:r>
      <w:r w:rsidR="00CC2E83" w:rsidRPr="00114815">
        <w:rPr>
          <w:sz w:val="22"/>
          <w:szCs w:val="22"/>
        </w:rPr>
        <w:t xml:space="preserve"> and alignment in the current financial context</w:t>
      </w:r>
      <w:r w:rsidR="00F44E8C">
        <w:rPr>
          <w:sz w:val="22"/>
          <w:szCs w:val="22"/>
        </w:rPr>
        <w:t>;</w:t>
      </w:r>
    </w:p>
    <w:p w14:paraId="1A2F3090" w14:textId="2352DF17" w:rsidR="00CC2E83" w:rsidRPr="00BC33C0" w:rsidRDefault="00F44E8C" w:rsidP="00E744D6">
      <w:pPr>
        <w:numPr>
          <w:ilvl w:val="0"/>
          <w:numId w:val="25"/>
        </w:numPr>
        <w:jc w:val="both"/>
        <w:rPr>
          <w:sz w:val="22"/>
          <w:szCs w:val="22"/>
          <w:lang w:val="en-GB"/>
        </w:rPr>
      </w:pPr>
      <w:r>
        <w:rPr>
          <w:sz w:val="22"/>
          <w:szCs w:val="22"/>
          <w:lang w:val="en-GB"/>
        </w:rPr>
        <w:t>r</w:t>
      </w:r>
      <w:r w:rsidR="00CC2E83" w:rsidRPr="00BC33C0">
        <w:rPr>
          <w:sz w:val="22"/>
          <w:szCs w:val="22"/>
          <w:lang w:val="en-GB"/>
        </w:rPr>
        <w:t xml:space="preserve">eview the progress of pipeline vaccine and monoclonal antibody candidates, and </w:t>
      </w:r>
      <w:r w:rsidR="001647DA">
        <w:rPr>
          <w:sz w:val="22"/>
          <w:szCs w:val="22"/>
          <w:lang w:val="en-GB"/>
        </w:rPr>
        <w:t xml:space="preserve">where necessary </w:t>
      </w:r>
      <w:r w:rsidR="00CC2E83" w:rsidRPr="00BC33C0">
        <w:rPr>
          <w:sz w:val="22"/>
          <w:szCs w:val="22"/>
          <w:lang w:val="en-GB"/>
        </w:rPr>
        <w:t>provid</w:t>
      </w:r>
      <w:r>
        <w:rPr>
          <w:sz w:val="22"/>
          <w:szCs w:val="22"/>
          <w:lang w:val="en-GB"/>
        </w:rPr>
        <w:t>e</w:t>
      </w:r>
      <w:r w:rsidR="00FD781A">
        <w:rPr>
          <w:sz w:val="22"/>
          <w:szCs w:val="22"/>
          <w:lang w:val="en-GB"/>
        </w:rPr>
        <w:t xml:space="preserve"> guidance</w:t>
      </w:r>
      <w:r w:rsidR="00CC2E83" w:rsidRPr="00BC33C0">
        <w:rPr>
          <w:sz w:val="22"/>
          <w:szCs w:val="22"/>
          <w:lang w:val="en-GB"/>
        </w:rPr>
        <w:t xml:space="preserve"> on the activities needed to advance products; </w:t>
      </w:r>
      <w:r w:rsidR="00FD781A">
        <w:rPr>
          <w:sz w:val="22"/>
          <w:szCs w:val="22"/>
          <w:lang w:val="en-GB"/>
        </w:rPr>
        <w:t>and</w:t>
      </w:r>
    </w:p>
    <w:p w14:paraId="1F66C7D3" w14:textId="4B8CB98F" w:rsidR="00CC2E83" w:rsidRDefault="00FD781A" w:rsidP="00E744D6">
      <w:pPr>
        <w:numPr>
          <w:ilvl w:val="0"/>
          <w:numId w:val="25"/>
        </w:numPr>
        <w:jc w:val="both"/>
        <w:rPr>
          <w:sz w:val="22"/>
          <w:szCs w:val="22"/>
          <w:lang w:val="en-GB"/>
        </w:rPr>
      </w:pPr>
      <w:r>
        <w:rPr>
          <w:sz w:val="22"/>
          <w:szCs w:val="22"/>
          <w:lang w:val="en-GB"/>
        </w:rPr>
        <w:t xml:space="preserve">consider </w:t>
      </w:r>
      <w:r w:rsidR="00CC2E83" w:rsidRPr="00BC33C0">
        <w:rPr>
          <w:sz w:val="22"/>
          <w:szCs w:val="22"/>
          <w:lang w:val="en-GB"/>
        </w:rPr>
        <w:t xml:space="preserve">how IVB can </w:t>
      </w:r>
      <w:r>
        <w:rPr>
          <w:sz w:val="22"/>
          <w:szCs w:val="22"/>
          <w:lang w:val="en-GB"/>
        </w:rPr>
        <w:t xml:space="preserve">best </w:t>
      </w:r>
      <w:r w:rsidR="00F44E8C">
        <w:rPr>
          <w:sz w:val="22"/>
          <w:szCs w:val="22"/>
          <w:lang w:val="en-GB"/>
        </w:rPr>
        <w:t xml:space="preserve">work with </w:t>
      </w:r>
      <w:r w:rsidR="00CC2E83" w:rsidRPr="00BC33C0">
        <w:rPr>
          <w:sz w:val="22"/>
          <w:szCs w:val="22"/>
          <w:lang w:val="en-GB"/>
        </w:rPr>
        <w:t>immunization stakeholders to support the development of vaccines and monoclonal</w:t>
      </w:r>
      <w:r w:rsidR="006337C2">
        <w:rPr>
          <w:sz w:val="22"/>
          <w:szCs w:val="22"/>
          <w:lang w:val="en-GB"/>
        </w:rPr>
        <w:t xml:space="preserve"> antibodie</w:t>
      </w:r>
      <w:r w:rsidR="00CC2E83" w:rsidRPr="00BC33C0">
        <w:rPr>
          <w:sz w:val="22"/>
          <w:szCs w:val="22"/>
          <w:lang w:val="en-GB"/>
        </w:rPr>
        <w:t>s for LMICs.  </w:t>
      </w:r>
    </w:p>
    <w:p w14:paraId="61C0D966" w14:textId="77777777" w:rsidR="00FF10C4" w:rsidRDefault="00FF10C4" w:rsidP="00FF10C4">
      <w:pPr>
        <w:jc w:val="both"/>
        <w:rPr>
          <w:sz w:val="22"/>
          <w:szCs w:val="22"/>
          <w:lang w:val="en-GB"/>
        </w:rPr>
      </w:pPr>
    </w:p>
    <w:p w14:paraId="5AA5DB36" w14:textId="0AD41678" w:rsidR="00534008" w:rsidRDefault="00FF10C4" w:rsidP="00FF10C4">
      <w:pPr>
        <w:jc w:val="both"/>
        <w:rPr>
          <w:rFonts w:asciiTheme="majorHAnsi" w:eastAsiaTheme="majorEastAsia" w:hAnsiTheme="majorHAnsi" w:cstheme="majorBidi"/>
          <w:color w:val="0F4761" w:themeColor="accent1" w:themeShade="BF"/>
          <w:sz w:val="32"/>
          <w:szCs w:val="32"/>
          <w:lang w:val="en-GB"/>
        </w:rPr>
      </w:pPr>
      <w:r w:rsidRPr="00FF10C4">
        <w:rPr>
          <w:rFonts w:asciiTheme="majorHAnsi" w:eastAsiaTheme="majorEastAsia" w:hAnsiTheme="majorHAnsi" w:cstheme="majorBidi"/>
          <w:color w:val="0F4761" w:themeColor="accent1" w:themeShade="BF"/>
          <w:sz w:val="32"/>
          <w:szCs w:val="32"/>
          <w:lang w:val="en-GB"/>
        </w:rPr>
        <w:t>Cross-Cutting Issues in Vaccine Development</w:t>
      </w:r>
    </w:p>
    <w:p w14:paraId="24306058" w14:textId="77777777" w:rsidR="000D5101" w:rsidRPr="000D5101" w:rsidRDefault="000D5101" w:rsidP="000D5101">
      <w:pPr>
        <w:pStyle w:val="Heading2"/>
        <w:rPr>
          <w:sz w:val="28"/>
          <w:szCs w:val="28"/>
          <w:lang w:val="en-GB"/>
        </w:rPr>
      </w:pPr>
      <w:r w:rsidRPr="000D5101">
        <w:rPr>
          <w:sz w:val="28"/>
          <w:szCs w:val="28"/>
          <w:lang w:val="en-GB"/>
        </w:rPr>
        <w:t xml:space="preserve">New combination vaccines </w:t>
      </w:r>
    </w:p>
    <w:p w14:paraId="6EECE23D" w14:textId="450B307A" w:rsidR="000D5101" w:rsidRPr="00BC33C0" w:rsidRDefault="00250ECC" w:rsidP="000D5101">
      <w:pPr>
        <w:jc w:val="both"/>
        <w:rPr>
          <w:sz w:val="22"/>
          <w:szCs w:val="22"/>
          <w:lang w:val="en-GB"/>
        </w:rPr>
      </w:pPr>
      <w:r>
        <w:rPr>
          <w:sz w:val="22"/>
          <w:szCs w:val="22"/>
          <w:lang w:val="en-GB"/>
        </w:rPr>
        <w:t>I</w:t>
      </w:r>
      <w:r w:rsidRPr="28429A3C">
        <w:rPr>
          <w:sz w:val="22"/>
          <w:szCs w:val="22"/>
          <w:lang w:val="en-GB"/>
        </w:rPr>
        <w:t xml:space="preserve">mmunization schedules for children under 5 are already saturated, with multiple vaccines often administered at the same visit. As such, countries are struggling to optimally deliver existing vaccines and are less open to introducing new vaccines. </w:t>
      </w:r>
      <w:r w:rsidR="000D5101" w:rsidRPr="28429A3C">
        <w:rPr>
          <w:sz w:val="22"/>
          <w:szCs w:val="22"/>
          <w:lang w:val="en-GB"/>
        </w:rPr>
        <w:t xml:space="preserve">New combination vaccines could </w:t>
      </w:r>
      <w:r w:rsidR="00063C63">
        <w:rPr>
          <w:sz w:val="22"/>
          <w:szCs w:val="22"/>
          <w:lang w:val="en-GB"/>
        </w:rPr>
        <w:t xml:space="preserve">help </w:t>
      </w:r>
      <w:r w:rsidR="000D5101" w:rsidRPr="28429A3C">
        <w:rPr>
          <w:sz w:val="22"/>
          <w:szCs w:val="22"/>
          <w:lang w:val="en-GB"/>
        </w:rPr>
        <w:t xml:space="preserve">address </w:t>
      </w:r>
      <w:r w:rsidR="00063C63">
        <w:rPr>
          <w:sz w:val="22"/>
          <w:szCs w:val="22"/>
          <w:lang w:val="en-GB"/>
        </w:rPr>
        <w:t>these</w:t>
      </w:r>
      <w:r w:rsidR="000D5101" w:rsidRPr="28429A3C">
        <w:rPr>
          <w:sz w:val="22"/>
          <w:szCs w:val="22"/>
          <w:lang w:val="en-GB"/>
        </w:rPr>
        <w:t xml:space="preserve"> challenges, </w:t>
      </w:r>
      <w:r w:rsidR="00063C63">
        <w:rPr>
          <w:sz w:val="22"/>
          <w:szCs w:val="22"/>
          <w:lang w:val="en-GB"/>
        </w:rPr>
        <w:t xml:space="preserve">by </w:t>
      </w:r>
      <w:proofErr w:type="spellStart"/>
      <w:r w:rsidR="000D5101" w:rsidRPr="28429A3C">
        <w:rPr>
          <w:sz w:val="22"/>
          <w:szCs w:val="22"/>
          <w:lang w:val="en-GB"/>
        </w:rPr>
        <w:t>simplify</w:t>
      </w:r>
      <w:r w:rsidR="00063C63">
        <w:rPr>
          <w:sz w:val="22"/>
          <w:szCs w:val="22"/>
          <w:lang w:val="en-GB"/>
        </w:rPr>
        <w:t>ing</w:t>
      </w:r>
      <w:r w:rsidR="000D5101" w:rsidRPr="28429A3C">
        <w:rPr>
          <w:sz w:val="22"/>
          <w:szCs w:val="22"/>
          <w:lang w:val="en-GB"/>
        </w:rPr>
        <w:t>and</w:t>
      </w:r>
      <w:proofErr w:type="spellEnd"/>
      <w:r w:rsidR="000D5101" w:rsidRPr="28429A3C">
        <w:rPr>
          <w:sz w:val="22"/>
          <w:szCs w:val="22"/>
          <w:lang w:val="en-GB"/>
        </w:rPr>
        <w:t xml:space="preserve"> increas</w:t>
      </w:r>
      <w:r w:rsidR="00063C63">
        <w:rPr>
          <w:sz w:val="22"/>
          <w:szCs w:val="22"/>
          <w:lang w:val="en-GB"/>
        </w:rPr>
        <w:t>ing</w:t>
      </w:r>
      <w:r w:rsidR="000D5101" w:rsidRPr="28429A3C">
        <w:rPr>
          <w:sz w:val="22"/>
          <w:szCs w:val="22"/>
          <w:lang w:val="en-GB"/>
        </w:rPr>
        <w:t xml:space="preserve"> the efficiency of immunization programmes, </w:t>
      </w:r>
      <w:r w:rsidR="006456D8">
        <w:rPr>
          <w:sz w:val="22"/>
          <w:szCs w:val="22"/>
          <w:lang w:val="en-GB"/>
        </w:rPr>
        <w:t xml:space="preserve">which may lead to </w:t>
      </w:r>
      <w:r w:rsidR="006456D8" w:rsidRPr="28429A3C">
        <w:rPr>
          <w:sz w:val="22"/>
          <w:szCs w:val="22"/>
          <w:lang w:val="en-GB"/>
        </w:rPr>
        <w:t xml:space="preserve"> </w:t>
      </w:r>
      <w:r w:rsidR="000D5101" w:rsidRPr="28429A3C">
        <w:rPr>
          <w:sz w:val="22"/>
          <w:szCs w:val="22"/>
          <w:lang w:val="en-GB"/>
        </w:rPr>
        <w:t>increase</w:t>
      </w:r>
      <w:r w:rsidR="006456D8">
        <w:rPr>
          <w:sz w:val="22"/>
          <w:szCs w:val="22"/>
          <w:lang w:val="en-GB"/>
        </w:rPr>
        <w:t>d</w:t>
      </w:r>
      <w:r w:rsidR="000D5101" w:rsidRPr="28429A3C">
        <w:rPr>
          <w:sz w:val="22"/>
          <w:szCs w:val="22"/>
          <w:lang w:val="en-GB"/>
        </w:rPr>
        <w:t xml:space="preserve"> coverage., </w:t>
      </w:r>
    </w:p>
    <w:p w14:paraId="10B028F0" w14:textId="6C2C1420" w:rsidR="000D5101" w:rsidRPr="00BC33C0" w:rsidRDefault="44B8A236" w:rsidP="000D5101">
      <w:pPr>
        <w:jc w:val="both"/>
        <w:rPr>
          <w:sz w:val="22"/>
          <w:szCs w:val="22"/>
          <w:lang w:val="en-GB"/>
        </w:rPr>
      </w:pPr>
      <w:r w:rsidRPr="28429A3C">
        <w:rPr>
          <w:sz w:val="22"/>
          <w:szCs w:val="22"/>
          <w:lang w:val="en-GB"/>
        </w:rPr>
        <w:t>Nonetheless, c</w:t>
      </w:r>
      <w:r w:rsidR="000D5101" w:rsidRPr="28429A3C">
        <w:rPr>
          <w:sz w:val="22"/>
          <w:szCs w:val="22"/>
          <w:lang w:val="en-GB"/>
        </w:rPr>
        <w:t xml:space="preserve">ombination vaccines </w:t>
      </w:r>
      <w:r w:rsidR="1B4C71E9" w:rsidRPr="28429A3C">
        <w:rPr>
          <w:sz w:val="22"/>
          <w:szCs w:val="22"/>
          <w:lang w:val="en-GB"/>
        </w:rPr>
        <w:t>fac</w:t>
      </w:r>
      <w:r w:rsidR="000D5101" w:rsidRPr="28429A3C">
        <w:rPr>
          <w:sz w:val="22"/>
          <w:szCs w:val="22"/>
          <w:lang w:val="en-GB"/>
        </w:rPr>
        <w:t>e multiple barriers to development</w:t>
      </w:r>
      <w:r w:rsidR="0068588F">
        <w:rPr>
          <w:sz w:val="22"/>
          <w:szCs w:val="22"/>
          <w:lang w:val="en-GB"/>
        </w:rPr>
        <w:t xml:space="preserve"> </w:t>
      </w:r>
      <w:proofErr w:type="spellStart"/>
      <w:r w:rsidR="0068588F">
        <w:rPr>
          <w:sz w:val="22"/>
          <w:szCs w:val="22"/>
          <w:lang w:val="en-GB"/>
        </w:rPr>
        <w:t>including</w:t>
      </w:r>
      <w:r w:rsidR="000D5101" w:rsidRPr="28429A3C">
        <w:rPr>
          <w:sz w:val="22"/>
          <w:szCs w:val="22"/>
          <w:lang w:val="en-GB"/>
        </w:rPr>
        <w:t>technical</w:t>
      </w:r>
      <w:proofErr w:type="spellEnd"/>
      <w:r w:rsidR="000D5101" w:rsidRPr="28429A3C">
        <w:rPr>
          <w:sz w:val="22"/>
          <w:szCs w:val="22"/>
          <w:lang w:val="en-GB"/>
        </w:rPr>
        <w:t xml:space="preserve">, regulatory, and </w:t>
      </w:r>
      <w:r w:rsidR="0095266A">
        <w:rPr>
          <w:sz w:val="22"/>
          <w:szCs w:val="22"/>
          <w:lang w:val="en-GB"/>
        </w:rPr>
        <w:t>policy related challenges</w:t>
      </w:r>
      <w:r w:rsidR="000D5101" w:rsidRPr="28429A3C">
        <w:rPr>
          <w:sz w:val="22"/>
          <w:szCs w:val="22"/>
          <w:lang w:val="en-GB"/>
        </w:rPr>
        <w:t>. These issues mean that combination vaccines are more commercially risky and are likely to be more expensive than their standalone counterparts (although countries can likely recoup</w:t>
      </w:r>
      <w:r w:rsidR="007F30A8">
        <w:rPr>
          <w:sz w:val="22"/>
          <w:szCs w:val="22"/>
          <w:lang w:val="en-GB"/>
        </w:rPr>
        <w:t xml:space="preserve"> at least some of the costs</w:t>
      </w:r>
      <w:r w:rsidR="000D5101" w:rsidRPr="28429A3C">
        <w:rPr>
          <w:sz w:val="22"/>
          <w:szCs w:val="22"/>
          <w:lang w:val="en-GB"/>
        </w:rPr>
        <w:t xml:space="preserve"> through programmatic savings). </w:t>
      </w:r>
    </w:p>
    <w:p w14:paraId="511F2C85" w14:textId="50ACF2AA" w:rsidR="000D5101" w:rsidRPr="00BC33C0" w:rsidRDefault="000D5101" w:rsidP="000D5101">
      <w:pPr>
        <w:spacing w:line="288" w:lineRule="auto"/>
        <w:jc w:val="both"/>
        <w:rPr>
          <w:sz w:val="22"/>
          <w:szCs w:val="22"/>
          <w:lang w:val="en-GB"/>
        </w:rPr>
      </w:pPr>
      <w:r w:rsidRPr="28429A3C">
        <w:rPr>
          <w:sz w:val="22"/>
          <w:szCs w:val="22"/>
          <w:lang w:val="en-GB"/>
        </w:rPr>
        <w:t xml:space="preserve">PDVAC’s TAG on combination vaccines is developing a framework to identify and prioritise novel vaccine combinations for endemic pathogens that do not increase the number of injections for use in children under five years of age. The framework aims to identify combinations which are programmatically compatible (similar </w:t>
      </w:r>
      <w:r w:rsidR="57DDBD8C" w:rsidRPr="28429A3C">
        <w:rPr>
          <w:sz w:val="22"/>
          <w:szCs w:val="22"/>
          <w:lang w:val="en-GB"/>
        </w:rPr>
        <w:t xml:space="preserve">timing and </w:t>
      </w:r>
      <w:r w:rsidRPr="28429A3C">
        <w:rPr>
          <w:sz w:val="22"/>
          <w:szCs w:val="22"/>
          <w:lang w:val="en-GB"/>
        </w:rPr>
        <w:t xml:space="preserve">number of doses and geographies), technically feasible (compatible platforms, adjuvants, composition, and storage), impactful on disease burden, and likely to be </w:t>
      </w:r>
      <w:r w:rsidR="574603EE" w:rsidRPr="28429A3C">
        <w:rPr>
          <w:sz w:val="22"/>
          <w:szCs w:val="22"/>
          <w:lang w:val="en-GB"/>
        </w:rPr>
        <w:t xml:space="preserve">commercially </w:t>
      </w:r>
      <w:r w:rsidRPr="28429A3C">
        <w:rPr>
          <w:sz w:val="22"/>
          <w:szCs w:val="22"/>
          <w:lang w:val="en-GB"/>
        </w:rPr>
        <w:t xml:space="preserve">sustainable. Considering in-scope vaccines which are licensed or in at least Phase II trials, this analysis has </w:t>
      </w:r>
      <w:r w:rsidR="5570E2E6" w:rsidRPr="28429A3C">
        <w:rPr>
          <w:sz w:val="22"/>
          <w:szCs w:val="22"/>
          <w:lang w:val="en-GB"/>
        </w:rPr>
        <w:t xml:space="preserve">to-date </w:t>
      </w:r>
      <w:r w:rsidRPr="28429A3C">
        <w:rPr>
          <w:sz w:val="22"/>
          <w:szCs w:val="22"/>
          <w:lang w:val="en-GB"/>
        </w:rPr>
        <w:t>identified 27 provisional priority combinations</w:t>
      </w:r>
      <w:r w:rsidR="60EB476F" w:rsidRPr="28429A3C">
        <w:rPr>
          <w:sz w:val="22"/>
          <w:szCs w:val="22"/>
          <w:lang w:val="en-GB"/>
        </w:rPr>
        <w:t xml:space="preserve"> which will be subject</w:t>
      </w:r>
      <w:r w:rsidR="1DAE13E9" w:rsidRPr="28429A3C">
        <w:rPr>
          <w:sz w:val="22"/>
          <w:szCs w:val="22"/>
          <w:lang w:val="en-GB"/>
        </w:rPr>
        <w:t>ed to</w:t>
      </w:r>
      <w:r w:rsidR="60EB476F" w:rsidRPr="28429A3C">
        <w:rPr>
          <w:sz w:val="22"/>
          <w:szCs w:val="22"/>
          <w:lang w:val="en-GB"/>
        </w:rPr>
        <w:t xml:space="preserve"> further analyses and down-selection</w:t>
      </w:r>
      <w:r w:rsidRPr="28429A3C">
        <w:rPr>
          <w:sz w:val="22"/>
          <w:szCs w:val="22"/>
          <w:lang w:val="en-GB"/>
        </w:rPr>
        <w:t xml:space="preserve">. Some combinations would be suitable for use only at a regional level. To progress, the group needs to consult with RITAGs, NITAGs, and EPI managers in countries to better understand their priorities. </w:t>
      </w:r>
    </w:p>
    <w:p w14:paraId="33FBC009" w14:textId="77777777" w:rsidR="000D5101" w:rsidRPr="00BC33C0" w:rsidRDefault="000D5101" w:rsidP="000D5101">
      <w:pPr>
        <w:jc w:val="both"/>
        <w:rPr>
          <w:sz w:val="22"/>
          <w:szCs w:val="22"/>
          <w:lang w:val="en-GB"/>
        </w:rPr>
      </w:pPr>
      <w:r w:rsidRPr="00BC33C0">
        <w:rPr>
          <w:sz w:val="22"/>
          <w:szCs w:val="22"/>
          <w:lang w:val="en-GB"/>
        </w:rPr>
        <w:t>However, prioritization is complicated by the emergence of combinations which are not currently considered feasible in the framework. Two examples are in the following case studies:</w:t>
      </w:r>
    </w:p>
    <w:p w14:paraId="5C02EB51" w14:textId="78C37997" w:rsidR="000D5101" w:rsidRPr="00BC33C0" w:rsidRDefault="000D5101" w:rsidP="000D5101">
      <w:pPr>
        <w:pStyle w:val="ListParagraph"/>
        <w:numPr>
          <w:ilvl w:val="0"/>
          <w:numId w:val="20"/>
        </w:numPr>
        <w:jc w:val="both"/>
        <w:rPr>
          <w:sz w:val="22"/>
          <w:szCs w:val="22"/>
          <w:lang w:val="en-GB"/>
        </w:rPr>
      </w:pPr>
      <w:r w:rsidRPr="28429A3C">
        <w:rPr>
          <w:i/>
          <w:iCs/>
          <w:sz w:val="22"/>
          <w:szCs w:val="22"/>
          <w:lang w:val="en-GB"/>
        </w:rPr>
        <w:t>Shigella</w:t>
      </w:r>
      <w:r w:rsidRPr="28429A3C">
        <w:rPr>
          <w:sz w:val="22"/>
          <w:szCs w:val="22"/>
          <w:lang w:val="en-GB"/>
        </w:rPr>
        <w:t xml:space="preserve"> demonstrates </w:t>
      </w:r>
      <w:r>
        <w:rPr>
          <w:sz w:val="22"/>
          <w:szCs w:val="22"/>
          <w:lang w:val="en-GB"/>
        </w:rPr>
        <w:t>a</w:t>
      </w:r>
      <w:r w:rsidRPr="00BC33C0">
        <w:rPr>
          <w:sz w:val="22"/>
          <w:szCs w:val="22"/>
          <w:lang w:val="en-GB"/>
        </w:rPr>
        <w:t xml:space="preserve"> challenge of developing </w:t>
      </w:r>
      <w:r>
        <w:rPr>
          <w:sz w:val="22"/>
          <w:szCs w:val="22"/>
          <w:lang w:val="en-GB"/>
        </w:rPr>
        <w:t xml:space="preserve">a </w:t>
      </w:r>
      <w:r w:rsidRPr="00BC33C0">
        <w:rPr>
          <w:sz w:val="22"/>
          <w:szCs w:val="22"/>
          <w:lang w:val="en-GB"/>
        </w:rPr>
        <w:t xml:space="preserve">combination </w:t>
      </w:r>
      <w:r>
        <w:rPr>
          <w:sz w:val="22"/>
          <w:szCs w:val="22"/>
          <w:lang w:val="en-GB"/>
        </w:rPr>
        <w:t>vaccine</w:t>
      </w:r>
      <w:r w:rsidRPr="00BC33C0">
        <w:rPr>
          <w:sz w:val="22"/>
          <w:szCs w:val="22"/>
          <w:lang w:val="en-GB"/>
        </w:rPr>
        <w:t xml:space="preserve"> in the context of shifting disease </w:t>
      </w:r>
      <w:r>
        <w:rPr>
          <w:sz w:val="22"/>
          <w:szCs w:val="22"/>
          <w:lang w:val="en-GB"/>
        </w:rPr>
        <w:t>burden and age distribution</w:t>
      </w:r>
      <w:r w:rsidRPr="00BC33C0">
        <w:rPr>
          <w:sz w:val="22"/>
          <w:szCs w:val="22"/>
          <w:lang w:val="en-GB"/>
        </w:rPr>
        <w:t xml:space="preserve">. The existing </w:t>
      </w:r>
      <w:r w:rsidRPr="0059724A">
        <w:rPr>
          <w:i/>
          <w:iCs/>
          <w:sz w:val="22"/>
          <w:szCs w:val="22"/>
          <w:lang w:val="en-GB"/>
        </w:rPr>
        <w:t>Shigella</w:t>
      </w:r>
      <w:r w:rsidRPr="28429A3C">
        <w:rPr>
          <w:sz w:val="22"/>
          <w:szCs w:val="22"/>
          <w:lang w:val="en-GB"/>
        </w:rPr>
        <w:t xml:space="preserve"> PPC</w:t>
      </w:r>
      <w:r>
        <w:rPr>
          <w:rStyle w:val="EndnoteReference"/>
          <w:sz w:val="22"/>
          <w:szCs w:val="22"/>
          <w:lang w:val="en-GB"/>
        </w:rPr>
        <w:endnoteReference w:id="11"/>
      </w:r>
      <w:r w:rsidRPr="00BC33C0">
        <w:rPr>
          <w:sz w:val="22"/>
          <w:szCs w:val="22"/>
          <w:lang w:val="en-GB"/>
        </w:rPr>
        <w:t xml:space="preserve"> calls for vaccination at age 6-12 months, but ongoing epidemiological research suggests that vaccinating before 6 months may be more effective at reducing disease burden. This presents an issue: should the </w:t>
      </w:r>
      <w:r>
        <w:rPr>
          <w:sz w:val="22"/>
          <w:szCs w:val="22"/>
          <w:lang w:val="en-GB"/>
        </w:rPr>
        <w:t xml:space="preserve">combination vaccines </w:t>
      </w:r>
      <w:r w:rsidRPr="00BC33C0">
        <w:rPr>
          <w:sz w:val="22"/>
          <w:szCs w:val="22"/>
          <w:lang w:val="en-GB"/>
        </w:rPr>
        <w:t xml:space="preserve">group </w:t>
      </w:r>
      <w:r w:rsidR="0AE5413F" w:rsidRPr="28429A3C">
        <w:rPr>
          <w:sz w:val="22"/>
          <w:szCs w:val="22"/>
          <w:lang w:val="en-GB"/>
        </w:rPr>
        <w:t>formally include in the framework</w:t>
      </w:r>
      <w:r w:rsidRPr="28429A3C">
        <w:rPr>
          <w:sz w:val="22"/>
          <w:szCs w:val="22"/>
          <w:lang w:val="en-GB"/>
        </w:rPr>
        <w:t xml:space="preserve"> </w:t>
      </w:r>
      <w:r w:rsidRPr="0059724A">
        <w:rPr>
          <w:i/>
          <w:iCs/>
          <w:sz w:val="22"/>
          <w:szCs w:val="22"/>
          <w:lang w:val="en-GB"/>
        </w:rPr>
        <w:t>Shigella</w:t>
      </w:r>
      <w:r w:rsidRPr="28429A3C">
        <w:rPr>
          <w:sz w:val="22"/>
          <w:szCs w:val="22"/>
          <w:lang w:val="en-GB"/>
        </w:rPr>
        <w:t xml:space="preserve"> combinations with vaccines given before 6 months of age (e.g. with PCV</w:t>
      </w:r>
      <w:r w:rsidR="00037C66">
        <w:rPr>
          <w:sz w:val="22"/>
          <w:szCs w:val="22"/>
          <w:lang w:val="en-GB"/>
        </w:rPr>
        <w:t>,</w:t>
      </w:r>
      <w:r w:rsidRPr="28429A3C">
        <w:rPr>
          <w:sz w:val="22"/>
          <w:szCs w:val="22"/>
          <w:lang w:val="en-GB"/>
        </w:rPr>
        <w:t xml:space="preserve"> hexavalent</w:t>
      </w:r>
      <w:r w:rsidR="00037C66">
        <w:rPr>
          <w:sz w:val="22"/>
          <w:szCs w:val="22"/>
          <w:lang w:val="en-GB"/>
        </w:rPr>
        <w:t>, malaria</w:t>
      </w:r>
      <w:r w:rsidRPr="28429A3C">
        <w:rPr>
          <w:sz w:val="22"/>
          <w:szCs w:val="22"/>
          <w:lang w:val="en-GB"/>
        </w:rPr>
        <w:t>), or after 6 months of age (e.g</w:t>
      </w:r>
      <w:r w:rsidR="5AA64FE0" w:rsidRPr="28429A3C">
        <w:rPr>
          <w:sz w:val="22"/>
          <w:szCs w:val="22"/>
          <w:lang w:val="en-GB"/>
        </w:rPr>
        <w:t>.</w:t>
      </w:r>
      <w:r w:rsidRPr="28429A3C">
        <w:rPr>
          <w:sz w:val="22"/>
          <w:szCs w:val="22"/>
          <w:lang w:val="en-GB"/>
        </w:rPr>
        <w:t xml:space="preserve"> with </w:t>
      </w:r>
      <w:proofErr w:type="spellStart"/>
      <w:r w:rsidRPr="28429A3C">
        <w:rPr>
          <w:sz w:val="22"/>
          <w:szCs w:val="22"/>
          <w:lang w:val="en-GB"/>
        </w:rPr>
        <w:t>MenACWY</w:t>
      </w:r>
      <w:proofErr w:type="spellEnd"/>
      <w:r w:rsidRPr="28429A3C">
        <w:rPr>
          <w:sz w:val="22"/>
          <w:szCs w:val="22"/>
          <w:lang w:val="en-GB"/>
        </w:rPr>
        <w:t xml:space="preserve">, TCV, or </w:t>
      </w:r>
      <w:proofErr w:type="spellStart"/>
      <w:r w:rsidRPr="28429A3C">
        <w:rPr>
          <w:sz w:val="22"/>
          <w:szCs w:val="22"/>
          <w:lang w:val="en-GB"/>
        </w:rPr>
        <w:t>DTwP</w:t>
      </w:r>
      <w:proofErr w:type="spellEnd"/>
      <w:r w:rsidRPr="28429A3C">
        <w:rPr>
          <w:sz w:val="22"/>
          <w:szCs w:val="22"/>
          <w:lang w:val="en-GB"/>
        </w:rPr>
        <w:t xml:space="preserve">)? For now, </w:t>
      </w:r>
      <w:r w:rsidR="183B5302" w:rsidRPr="28429A3C">
        <w:rPr>
          <w:sz w:val="22"/>
          <w:szCs w:val="22"/>
          <w:lang w:val="en-GB"/>
        </w:rPr>
        <w:t xml:space="preserve">with </w:t>
      </w:r>
      <w:r w:rsidR="183B5302" w:rsidRPr="0059724A">
        <w:rPr>
          <w:i/>
          <w:iCs/>
          <w:sz w:val="22"/>
          <w:szCs w:val="22"/>
          <w:lang w:val="en-GB"/>
        </w:rPr>
        <w:t>Shigella</w:t>
      </w:r>
      <w:r w:rsidR="183B5302" w:rsidRPr="28429A3C">
        <w:rPr>
          <w:sz w:val="22"/>
          <w:szCs w:val="22"/>
          <w:lang w:val="en-GB"/>
        </w:rPr>
        <w:t xml:space="preserve"> vaccines having not </w:t>
      </w:r>
      <w:r w:rsidR="245A2062" w:rsidRPr="28429A3C">
        <w:rPr>
          <w:sz w:val="22"/>
          <w:szCs w:val="22"/>
          <w:lang w:val="en-GB"/>
        </w:rPr>
        <w:t xml:space="preserve">yet </w:t>
      </w:r>
      <w:r w:rsidR="183B5302" w:rsidRPr="28429A3C">
        <w:rPr>
          <w:sz w:val="22"/>
          <w:szCs w:val="22"/>
          <w:lang w:val="en-GB"/>
        </w:rPr>
        <w:t>been tested</w:t>
      </w:r>
      <w:r w:rsidR="5CE6B7B3" w:rsidRPr="28429A3C">
        <w:rPr>
          <w:sz w:val="22"/>
          <w:szCs w:val="22"/>
          <w:lang w:val="en-GB"/>
        </w:rPr>
        <w:t xml:space="preserve"> </w:t>
      </w:r>
      <w:r w:rsidR="183B5302" w:rsidRPr="28429A3C">
        <w:rPr>
          <w:sz w:val="22"/>
          <w:szCs w:val="22"/>
          <w:lang w:val="en-GB"/>
        </w:rPr>
        <w:t xml:space="preserve">in the clinic </w:t>
      </w:r>
      <w:r w:rsidR="40033327" w:rsidRPr="28429A3C">
        <w:rPr>
          <w:sz w:val="22"/>
          <w:szCs w:val="22"/>
          <w:lang w:val="en-GB"/>
        </w:rPr>
        <w:t xml:space="preserve">in young infants </w:t>
      </w:r>
      <w:r w:rsidR="183B5302" w:rsidRPr="28429A3C">
        <w:rPr>
          <w:sz w:val="22"/>
          <w:szCs w:val="22"/>
          <w:lang w:val="en-GB"/>
        </w:rPr>
        <w:t>along</w:t>
      </w:r>
      <w:r w:rsidR="04CDC188" w:rsidRPr="28429A3C">
        <w:rPr>
          <w:sz w:val="22"/>
          <w:szCs w:val="22"/>
          <w:lang w:val="en-GB"/>
        </w:rPr>
        <w:t xml:space="preserve"> the</w:t>
      </w:r>
      <w:r w:rsidR="183B5302" w:rsidRPr="28429A3C">
        <w:rPr>
          <w:sz w:val="22"/>
          <w:szCs w:val="22"/>
          <w:lang w:val="en-GB"/>
        </w:rPr>
        <w:t xml:space="preserve"> PCV or</w:t>
      </w:r>
      <w:r w:rsidR="2CAD711C" w:rsidRPr="28429A3C">
        <w:rPr>
          <w:sz w:val="22"/>
          <w:szCs w:val="22"/>
          <w:lang w:val="en-GB"/>
        </w:rPr>
        <w:t xml:space="preserve"> </w:t>
      </w:r>
      <w:r w:rsidR="183B5302" w:rsidRPr="28429A3C">
        <w:rPr>
          <w:sz w:val="22"/>
          <w:szCs w:val="22"/>
          <w:lang w:val="en-GB"/>
        </w:rPr>
        <w:t>hexavalent schedules</w:t>
      </w:r>
      <w:r w:rsidR="5C609751" w:rsidRPr="28429A3C">
        <w:rPr>
          <w:sz w:val="22"/>
          <w:szCs w:val="22"/>
          <w:lang w:val="en-GB"/>
        </w:rPr>
        <w:t xml:space="preserve">, </w:t>
      </w:r>
      <w:r w:rsidRPr="28429A3C">
        <w:rPr>
          <w:sz w:val="22"/>
          <w:szCs w:val="22"/>
          <w:lang w:val="en-GB"/>
        </w:rPr>
        <w:t xml:space="preserve">the group has chosen to follow the recommended age for </w:t>
      </w:r>
      <w:r w:rsidR="5864B518" w:rsidRPr="0059724A">
        <w:rPr>
          <w:i/>
          <w:iCs/>
          <w:sz w:val="22"/>
          <w:szCs w:val="22"/>
          <w:lang w:val="en-GB"/>
        </w:rPr>
        <w:t>Shigella</w:t>
      </w:r>
      <w:r w:rsidR="5864B518" w:rsidRPr="28429A3C">
        <w:rPr>
          <w:sz w:val="22"/>
          <w:szCs w:val="22"/>
          <w:lang w:val="en-GB"/>
        </w:rPr>
        <w:t xml:space="preserve"> </w:t>
      </w:r>
      <w:r w:rsidRPr="28429A3C">
        <w:rPr>
          <w:sz w:val="22"/>
          <w:szCs w:val="22"/>
          <w:lang w:val="en-GB"/>
        </w:rPr>
        <w:t xml:space="preserve">vaccination as stated in the PPC. </w:t>
      </w:r>
    </w:p>
    <w:p w14:paraId="770A584A" w14:textId="01DE563B" w:rsidR="000D5101" w:rsidRDefault="000D5101" w:rsidP="000D5101">
      <w:pPr>
        <w:pStyle w:val="ListParagraph"/>
        <w:numPr>
          <w:ilvl w:val="0"/>
          <w:numId w:val="20"/>
        </w:numPr>
        <w:jc w:val="both"/>
        <w:rPr>
          <w:sz w:val="22"/>
          <w:szCs w:val="22"/>
          <w:lang w:val="en-GB"/>
        </w:rPr>
      </w:pPr>
      <w:r w:rsidRPr="28429A3C">
        <w:rPr>
          <w:sz w:val="22"/>
          <w:szCs w:val="22"/>
          <w:lang w:val="en-GB"/>
        </w:rPr>
        <w:t>Some pairings, such as the proposed hookworm-malaria combination, fall outside the scope of the existing framework</w:t>
      </w:r>
      <w:r w:rsidR="001E3642">
        <w:rPr>
          <w:sz w:val="22"/>
          <w:szCs w:val="22"/>
          <w:lang w:val="en-GB"/>
        </w:rPr>
        <w:t xml:space="preserve"> as </w:t>
      </w:r>
      <w:r w:rsidR="005F43C2">
        <w:rPr>
          <w:sz w:val="22"/>
          <w:szCs w:val="22"/>
          <w:lang w:val="en-GB"/>
        </w:rPr>
        <w:t>t</w:t>
      </w:r>
      <w:r w:rsidR="005F43C2" w:rsidRPr="005F43C2">
        <w:rPr>
          <w:sz w:val="22"/>
          <w:szCs w:val="22"/>
        </w:rPr>
        <w:t xml:space="preserve">he inclusion criteria </w:t>
      </w:r>
      <w:r w:rsidR="005F43C2">
        <w:rPr>
          <w:sz w:val="22"/>
          <w:szCs w:val="22"/>
        </w:rPr>
        <w:t xml:space="preserve">was </w:t>
      </w:r>
      <w:r w:rsidR="005F43C2" w:rsidRPr="005F43C2">
        <w:rPr>
          <w:sz w:val="22"/>
          <w:szCs w:val="22"/>
        </w:rPr>
        <w:t xml:space="preserve">not met </w:t>
      </w:r>
      <w:r w:rsidR="005F43C2">
        <w:rPr>
          <w:sz w:val="22"/>
          <w:szCs w:val="22"/>
        </w:rPr>
        <w:t>for the</w:t>
      </w:r>
      <w:r w:rsidR="005F43C2" w:rsidRPr="005F43C2">
        <w:rPr>
          <w:sz w:val="22"/>
          <w:szCs w:val="22"/>
        </w:rPr>
        <w:t xml:space="preserve"> hookworm vaccine</w:t>
      </w:r>
      <w:r w:rsidR="005F43C2">
        <w:rPr>
          <w:sz w:val="22"/>
          <w:szCs w:val="22"/>
        </w:rPr>
        <w:t xml:space="preserve"> as it</w:t>
      </w:r>
      <w:r w:rsidR="005F43C2" w:rsidRPr="005F43C2">
        <w:rPr>
          <w:sz w:val="22"/>
          <w:szCs w:val="22"/>
        </w:rPr>
        <w:t xml:space="preserve"> has not yet been in a Phase II study in the target population (infants)</w:t>
      </w:r>
      <w:r w:rsidR="00DA4A21">
        <w:rPr>
          <w:sz w:val="22"/>
          <w:szCs w:val="22"/>
          <w:lang w:val="en-GB"/>
        </w:rPr>
        <w:t xml:space="preserve">,However, </w:t>
      </w:r>
      <w:r w:rsidRPr="28429A3C">
        <w:rPr>
          <w:sz w:val="22"/>
          <w:szCs w:val="22"/>
          <w:lang w:val="en-GB"/>
        </w:rPr>
        <w:t>there is a high degree of co-infection and geographical overlap in burden. Another example is a combination of BCG-</w:t>
      </w:r>
      <w:proofErr w:type="spellStart"/>
      <w:r w:rsidRPr="28429A3C">
        <w:rPr>
          <w:sz w:val="22"/>
          <w:szCs w:val="22"/>
          <w:lang w:val="en-GB"/>
        </w:rPr>
        <w:t>HepB</w:t>
      </w:r>
      <w:proofErr w:type="spellEnd"/>
      <w:r w:rsidRPr="28429A3C">
        <w:rPr>
          <w:sz w:val="22"/>
          <w:szCs w:val="22"/>
          <w:lang w:val="en-GB"/>
        </w:rPr>
        <w:t xml:space="preserve"> vaccines, which is not technically feasible within the next five years. </w:t>
      </w:r>
    </w:p>
    <w:p w14:paraId="62EA153A" w14:textId="6A55126A" w:rsidR="000D5101" w:rsidRPr="00CC364C" w:rsidRDefault="000D5101" w:rsidP="000D5101">
      <w:pPr>
        <w:jc w:val="both"/>
        <w:rPr>
          <w:sz w:val="22"/>
          <w:szCs w:val="22"/>
          <w:lang w:val="en-GB"/>
        </w:rPr>
      </w:pPr>
      <w:r w:rsidRPr="51810E21">
        <w:rPr>
          <w:sz w:val="22"/>
          <w:szCs w:val="22"/>
          <w:lang w:val="en-GB"/>
        </w:rPr>
        <w:t xml:space="preserve">PDVAC expressed broad support for the proposed WHO-PATH framework to identify and prioritize novel combination vaccines. They found the stepwise approach sound and transparent. They recommended maintaining flexibility for future iterations to include new platforms (e.g., mRNA, patches) and other age groups beyond children under five. The framework’s utility as a decision-support tool for R&amp;D and policy was acknowledged, particularly when aligned with measurable value metrics. They also recommended </w:t>
      </w:r>
      <w:r>
        <w:rPr>
          <w:sz w:val="22"/>
          <w:szCs w:val="22"/>
          <w:lang w:val="en-GB"/>
        </w:rPr>
        <w:t xml:space="preserve">highlighting vaccines that may be important from public health (like hookworm malaria), or programmatic (like </w:t>
      </w:r>
      <w:proofErr w:type="spellStart"/>
      <w:r>
        <w:rPr>
          <w:sz w:val="22"/>
          <w:szCs w:val="22"/>
          <w:lang w:val="en-GB"/>
        </w:rPr>
        <w:t>HepB</w:t>
      </w:r>
      <w:proofErr w:type="spellEnd"/>
      <w:r>
        <w:rPr>
          <w:sz w:val="22"/>
          <w:szCs w:val="22"/>
          <w:lang w:val="en-GB"/>
        </w:rPr>
        <w:t xml:space="preserve"> and BCG) perspectives but have not progressed through the analysis. </w:t>
      </w:r>
    </w:p>
    <w:p w14:paraId="493D4622" w14:textId="391D6CC1" w:rsidR="000D5101" w:rsidRDefault="000D5101" w:rsidP="000D5101">
      <w:pPr>
        <w:jc w:val="both"/>
        <w:rPr>
          <w:sz w:val="22"/>
          <w:szCs w:val="22"/>
          <w:lang w:val="en-GB"/>
        </w:rPr>
      </w:pPr>
      <w:r w:rsidRPr="28429A3C">
        <w:rPr>
          <w:sz w:val="22"/>
          <w:szCs w:val="22"/>
          <w:lang w:val="en-GB"/>
        </w:rPr>
        <w:t xml:space="preserve">PDVAC questioned the commercial viability of combination vaccines for specific regions and linked the success of existing combinations such as DTP, Hexavalent, and MMR vaccines to their global use. However, the committee also saw regional combinations as a potential opportunity for capacity building for regional vaccine developers. They considered the volume of potential combinations (27 in total) to be higher than optimal for discussions with country </w:t>
      </w:r>
      <w:proofErr w:type="gramStart"/>
      <w:r w:rsidR="33FE2F84" w:rsidRPr="28429A3C">
        <w:rPr>
          <w:sz w:val="22"/>
          <w:szCs w:val="22"/>
          <w:lang w:val="en-GB"/>
        </w:rPr>
        <w:t>stakeholders, and</w:t>
      </w:r>
      <w:proofErr w:type="gramEnd"/>
      <w:r w:rsidRPr="28429A3C">
        <w:rPr>
          <w:sz w:val="22"/>
          <w:szCs w:val="22"/>
          <w:lang w:val="en-GB"/>
        </w:rPr>
        <w:t xml:space="preserve"> suggested reducing this number prior to the consultations. Other complicating factors were discussed, including the continued need for single-component boosters even if combinations were available, the risk of reduced immunogenicity due to interference, and the scepticism with which industry views combinations. Some committee members expressed support for reviewing the vaccine schedule in order to create more space, although they framed this as solution which was unrelated to combination vaccines.</w:t>
      </w:r>
    </w:p>
    <w:p w14:paraId="4EB86E0D" w14:textId="5D44D0CA" w:rsidR="000D5101" w:rsidRPr="009563BD" w:rsidRDefault="000D5101" w:rsidP="000D5101">
      <w:pPr>
        <w:jc w:val="both"/>
        <w:rPr>
          <w:sz w:val="22"/>
          <w:szCs w:val="22"/>
        </w:rPr>
      </w:pPr>
      <w:r w:rsidRPr="51810E21">
        <w:rPr>
          <w:sz w:val="22"/>
          <w:szCs w:val="22"/>
        </w:rPr>
        <w:t xml:space="preserve">PDVAC endorsed the proposed plan to engage NITAGs and RITAGs but emphasized that representatives should clarify why certain combinations are preferred (e.g., ease of delivery, coverage, health system efficiency, or disease burden), not just which ones were preferred. PDVAC suggested prioritizing mature NITAGs, as they are better positioned to reflect country-level realities and policy needs. The committee </w:t>
      </w:r>
      <w:r w:rsidR="000D3E43" w:rsidRPr="51810E21">
        <w:rPr>
          <w:sz w:val="22"/>
          <w:szCs w:val="22"/>
        </w:rPr>
        <w:t>emphasized</w:t>
      </w:r>
      <w:r w:rsidRPr="51810E21">
        <w:rPr>
          <w:sz w:val="22"/>
          <w:szCs w:val="22"/>
        </w:rPr>
        <w:t xml:space="preserve"> the importance of including an indication of the cost of combination vaccines in these conversations, even if indicative or high level, so that stakeholders can more accurately reflect their preferences. The TAG’s way forward is now to present the shortlisted (27) combinations at the Global NITAG Network meeting in November 2025, conduct pilot discussions with selected RITAGs (e.g., AFRO), and align outreach with ongoing </w:t>
      </w:r>
      <w:r w:rsidRPr="51810E21">
        <w:rPr>
          <w:i/>
          <w:iCs/>
          <w:sz w:val="22"/>
          <w:szCs w:val="22"/>
        </w:rPr>
        <w:t>Shigella</w:t>
      </w:r>
      <w:r w:rsidRPr="51810E21">
        <w:rPr>
          <w:sz w:val="22"/>
          <w:szCs w:val="22"/>
        </w:rPr>
        <w:t xml:space="preserve"> combination vaccine discussions.</w:t>
      </w:r>
    </w:p>
    <w:p w14:paraId="1462D18D" w14:textId="77777777" w:rsidR="000D5101" w:rsidRPr="009563BD" w:rsidRDefault="000D5101" w:rsidP="000D5101">
      <w:pPr>
        <w:jc w:val="both"/>
        <w:rPr>
          <w:sz w:val="22"/>
          <w:szCs w:val="22"/>
          <w:lang w:val="en-GB"/>
        </w:rPr>
      </w:pPr>
      <w:r w:rsidRPr="28429A3C">
        <w:rPr>
          <w:sz w:val="22"/>
          <w:szCs w:val="22"/>
          <w:lang w:val="en-GB"/>
        </w:rPr>
        <w:t xml:space="preserve">PDVAC agreed with the approach of aligning </w:t>
      </w:r>
      <w:r w:rsidRPr="28429A3C">
        <w:rPr>
          <w:i/>
          <w:iCs/>
          <w:sz w:val="22"/>
          <w:szCs w:val="22"/>
          <w:lang w:val="en-GB"/>
        </w:rPr>
        <w:t>Shigella</w:t>
      </w:r>
      <w:r w:rsidRPr="28429A3C">
        <w:rPr>
          <w:sz w:val="22"/>
          <w:szCs w:val="22"/>
          <w:lang w:val="en-GB"/>
        </w:rPr>
        <w:t xml:space="preserve"> combination analysis to the current PPC age of vaccination. Members encouraged the combination project colleagues to maintain flexibility to revisit age alignment as </w:t>
      </w:r>
      <w:r w:rsidRPr="28429A3C">
        <w:rPr>
          <w:i/>
          <w:iCs/>
          <w:sz w:val="22"/>
          <w:szCs w:val="22"/>
          <w:lang w:val="en-GB"/>
        </w:rPr>
        <w:t>Shigella</w:t>
      </w:r>
      <w:r w:rsidRPr="28429A3C">
        <w:rPr>
          <w:sz w:val="22"/>
          <w:szCs w:val="22"/>
          <w:lang w:val="en-GB"/>
        </w:rPr>
        <w:t xml:space="preserve"> vaccines progress and as other combination pairings potentially become programmatically feasible. The </w:t>
      </w:r>
      <w:r w:rsidRPr="28429A3C">
        <w:rPr>
          <w:i/>
          <w:iCs/>
          <w:sz w:val="22"/>
          <w:szCs w:val="22"/>
          <w:lang w:val="en-GB"/>
        </w:rPr>
        <w:t>Shigella</w:t>
      </w:r>
      <w:r w:rsidRPr="28429A3C">
        <w:rPr>
          <w:sz w:val="22"/>
          <w:szCs w:val="22"/>
          <w:lang w:val="en-GB"/>
        </w:rPr>
        <w:t xml:space="preserve"> TAG will benefit from awareness of the combination framework and will closely coordinate with members of the combination framework project team.</w:t>
      </w:r>
    </w:p>
    <w:p w14:paraId="2E0DC61F" w14:textId="77777777" w:rsidR="000D5101" w:rsidRDefault="000D5101" w:rsidP="000D5101">
      <w:pPr>
        <w:jc w:val="both"/>
        <w:rPr>
          <w:sz w:val="22"/>
          <w:szCs w:val="22"/>
        </w:rPr>
      </w:pPr>
      <w:r w:rsidRPr="17D943AB">
        <w:rPr>
          <w:sz w:val="22"/>
          <w:szCs w:val="22"/>
        </w:rPr>
        <w:t xml:space="preserve">PDVAC found the hookworm-malaria case study’s scientific rationale strong and commended its syndromic rationale to address co-endemic anemia. The committee also noted significant </w:t>
      </w:r>
      <w:r>
        <w:br/>
      </w:r>
      <w:r w:rsidRPr="17D943AB">
        <w:rPr>
          <w:sz w:val="22"/>
          <w:szCs w:val="22"/>
        </w:rPr>
        <w:t>hurdles to develop this vaccine, including: the need to demonstrate duration of protection and correlates of protection for hookworm; the lack of a correlate of protection for malaria, the current mismatch</w:t>
      </w:r>
      <w:r w:rsidRPr="17D943AB">
        <w:rPr>
          <w:i/>
          <w:iCs/>
          <w:sz w:val="22"/>
          <w:szCs w:val="22"/>
        </w:rPr>
        <w:t xml:space="preserve"> </w:t>
      </w:r>
      <w:r w:rsidRPr="17D943AB">
        <w:rPr>
          <w:sz w:val="22"/>
          <w:szCs w:val="22"/>
        </w:rPr>
        <w:t>in target population ages (hookworm in school-age children vs malaria in infants), the lack of school-entry immunization platforms in many LMICs, and the higher overall development and programmatic costs despite low marginal cost of goods.  They also noted that malaria–hookworm combinations may quickly face competition from malaria–malaria combinations targeting different parasite stages, which might offer clearer development pathways and policy interest.</w:t>
      </w:r>
    </w:p>
    <w:p w14:paraId="0D5FFF55" w14:textId="77777777" w:rsidR="00534008" w:rsidRDefault="00534008" w:rsidP="000D5101">
      <w:pPr>
        <w:jc w:val="both"/>
        <w:rPr>
          <w:sz w:val="22"/>
          <w:szCs w:val="22"/>
        </w:rPr>
      </w:pPr>
    </w:p>
    <w:p w14:paraId="7ACF6673" w14:textId="77777777" w:rsidR="0044519C" w:rsidRPr="0044519C" w:rsidRDefault="0046020E" w:rsidP="0044519C">
      <w:pPr>
        <w:jc w:val="both"/>
        <w:rPr>
          <w:rFonts w:asciiTheme="majorHAnsi" w:eastAsiaTheme="majorEastAsia" w:hAnsiTheme="majorHAnsi" w:cstheme="majorBidi"/>
          <w:color w:val="0F4761" w:themeColor="accent1" w:themeShade="BF"/>
          <w:sz w:val="28"/>
          <w:szCs w:val="28"/>
          <w:lang w:val="en-GB"/>
        </w:rPr>
      </w:pPr>
      <w:r w:rsidRPr="0044519C">
        <w:rPr>
          <w:rFonts w:asciiTheme="majorHAnsi" w:eastAsiaTheme="majorEastAsia" w:hAnsiTheme="majorHAnsi" w:cstheme="majorBidi"/>
          <w:color w:val="0F4761" w:themeColor="accent1" w:themeShade="BF"/>
          <w:sz w:val="28"/>
          <w:szCs w:val="28"/>
          <w:lang w:val="en-GB"/>
        </w:rPr>
        <w:t>Including Pregnant and Lactating Women and Girls in Clinical Trials</w:t>
      </w:r>
    </w:p>
    <w:p w14:paraId="1439EA94" w14:textId="5CB051BC" w:rsidR="0046020E" w:rsidRPr="0044519C" w:rsidRDefault="0046020E" w:rsidP="0044519C">
      <w:pPr>
        <w:jc w:val="both"/>
        <w:rPr>
          <w:sz w:val="22"/>
          <w:szCs w:val="22"/>
        </w:rPr>
      </w:pPr>
      <w:r w:rsidRPr="28429A3C">
        <w:rPr>
          <w:sz w:val="22"/>
          <w:szCs w:val="22"/>
          <w:lang w:val="en-GB"/>
        </w:rPr>
        <w:t xml:space="preserve">While some vaccines are considered “maternal vaccines” because the pathogen they target is relevant to maternal and newborn health, other “general use” vaccines do not have an indication for pregnant and lactating women and girls (PLWG) because they have not been </w:t>
      </w:r>
      <w:r w:rsidR="00587AE6" w:rsidRPr="28429A3C">
        <w:rPr>
          <w:sz w:val="22"/>
          <w:szCs w:val="22"/>
          <w:lang w:val="en-GB"/>
        </w:rPr>
        <w:t xml:space="preserve">specifically evaluated </w:t>
      </w:r>
      <w:r w:rsidRPr="28429A3C">
        <w:rPr>
          <w:sz w:val="22"/>
          <w:szCs w:val="22"/>
          <w:lang w:val="en-GB"/>
        </w:rPr>
        <w:t xml:space="preserve">in </w:t>
      </w:r>
      <w:r w:rsidR="0054060E">
        <w:rPr>
          <w:sz w:val="22"/>
          <w:szCs w:val="22"/>
          <w:lang w:val="en-GB"/>
        </w:rPr>
        <w:t>these</w:t>
      </w:r>
      <w:r w:rsidR="0054060E" w:rsidRPr="28429A3C">
        <w:rPr>
          <w:sz w:val="22"/>
          <w:szCs w:val="22"/>
          <w:lang w:val="en-GB"/>
        </w:rPr>
        <w:t xml:space="preserve"> </w:t>
      </w:r>
      <w:r w:rsidRPr="28429A3C">
        <w:rPr>
          <w:sz w:val="22"/>
          <w:szCs w:val="22"/>
          <w:lang w:val="en-GB"/>
        </w:rPr>
        <w:t>population</w:t>
      </w:r>
      <w:r w:rsidR="0054060E">
        <w:rPr>
          <w:sz w:val="22"/>
          <w:szCs w:val="22"/>
          <w:lang w:val="en-GB"/>
        </w:rPr>
        <w:t>s</w:t>
      </w:r>
      <w:r w:rsidRPr="28429A3C">
        <w:rPr>
          <w:sz w:val="22"/>
          <w:szCs w:val="22"/>
          <w:lang w:val="en-GB"/>
        </w:rPr>
        <w:t xml:space="preserve">. </w:t>
      </w:r>
      <w:r w:rsidR="002E2E27" w:rsidRPr="28429A3C">
        <w:rPr>
          <w:sz w:val="22"/>
          <w:szCs w:val="22"/>
          <w:lang w:val="en-GB"/>
        </w:rPr>
        <w:t xml:space="preserve">As a result, </w:t>
      </w:r>
      <w:r w:rsidRPr="28429A3C">
        <w:rPr>
          <w:sz w:val="22"/>
          <w:szCs w:val="22"/>
          <w:lang w:val="en-GB"/>
        </w:rPr>
        <w:t xml:space="preserve">health practitioners and PLWG </w:t>
      </w:r>
      <w:r w:rsidR="000021D1" w:rsidRPr="28429A3C">
        <w:rPr>
          <w:sz w:val="22"/>
          <w:szCs w:val="22"/>
        </w:rPr>
        <w:t>often face an evidence gap and may rely on off-label use when catch-up</w:t>
      </w:r>
      <w:r w:rsidR="00A16A22" w:rsidRPr="28429A3C">
        <w:rPr>
          <w:sz w:val="22"/>
          <w:szCs w:val="22"/>
        </w:rPr>
        <w:t xml:space="preserve">, </w:t>
      </w:r>
      <w:r w:rsidR="000021D1" w:rsidRPr="28429A3C">
        <w:rPr>
          <w:sz w:val="22"/>
          <w:szCs w:val="22"/>
        </w:rPr>
        <w:t>booster</w:t>
      </w:r>
      <w:r w:rsidR="00A16A22" w:rsidRPr="28429A3C">
        <w:rPr>
          <w:sz w:val="22"/>
          <w:szCs w:val="22"/>
        </w:rPr>
        <w:t>, or outbreak</w:t>
      </w:r>
      <w:r w:rsidR="000021D1" w:rsidRPr="28429A3C">
        <w:rPr>
          <w:sz w:val="22"/>
          <w:szCs w:val="22"/>
        </w:rPr>
        <w:t xml:space="preserve"> </w:t>
      </w:r>
      <w:r w:rsidR="00050C9E" w:rsidRPr="28429A3C">
        <w:rPr>
          <w:sz w:val="22"/>
          <w:szCs w:val="22"/>
        </w:rPr>
        <w:t xml:space="preserve">response vaccination </w:t>
      </w:r>
      <w:r w:rsidR="000021D1" w:rsidRPr="28429A3C">
        <w:rPr>
          <w:sz w:val="22"/>
          <w:szCs w:val="22"/>
        </w:rPr>
        <w:t xml:space="preserve">are needed during pregnancy or </w:t>
      </w:r>
      <w:proofErr w:type="gramStart"/>
      <w:r w:rsidR="000021D1" w:rsidRPr="28429A3C">
        <w:rPr>
          <w:sz w:val="22"/>
          <w:szCs w:val="22"/>
        </w:rPr>
        <w:t>lactation</w:t>
      </w:r>
      <w:r w:rsidR="002B5A58">
        <w:rPr>
          <w:sz w:val="22"/>
          <w:szCs w:val="22"/>
        </w:rPr>
        <w:t xml:space="preserve">, </w:t>
      </w:r>
      <w:r w:rsidR="00110ABF" w:rsidRPr="00110ABF">
        <w:rPr>
          <w:sz w:val="22"/>
          <w:szCs w:val="22"/>
        </w:rPr>
        <w:t>or</w:t>
      </w:r>
      <w:proofErr w:type="gramEnd"/>
      <w:r w:rsidR="00110ABF" w:rsidRPr="00110ABF">
        <w:rPr>
          <w:sz w:val="22"/>
          <w:szCs w:val="22"/>
        </w:rPr>
        <w:t xml:space="preserve"> may opt against vaccination altogether</w:t>
      </w:r>
      <w:r w:rsidR="000021D1" w:rsidRPr="28429A3C">
        <w:rPr>
          <w:sz w:val="22"/>
          <w:szCs w:val="22"/>
        </w:rPr>
        <w:t>. This lack of clinical data is largely driven by insufficient guidance and operational frameworks for the inclusion of PLWG in vaccine clinical trials</w:t>
      </w:r>
      <w:r w:rsidRPr="28429A3C">
        <w:rPr>
          <w:sz w:val="22"/>
          <w:szCs w:val="22"/>
          <w:lang w:val="en-GB"/>
        </w:rPr>
        <w:t xml:space="preserve">. The gap in clinical trials in this population is due to </w:t>
      </w:r>
      <w:r w:rsidRPr="28429A3C">
        <w:rPr>
          <w:sz w:val="22"/>
          <w:szCs w:val="22"/>
        </w:rPr>
        <w:t xml:space="preserve">a lack of guidance on how to include pregnant and lactating women and girls (PLWG) in clinical trials. </w:t>
      </w:r>
    </w:p>
    <w:p w14:paraId="513B342E" w14:textId="05A04548" w:rsidR="0046020E" w:rsidRPr="00534008" w:rsidRDefault="0046020E" w:rsidP="00534008">
      <w:pPr>
        <w:jc w:val="both"/>
        <w:rPr>
          <w:sz w:val="22"/>
          <w:szCs w:val="22"/>
        </w:rPr>
      </w:pPr>
      <w:r w:rsidRPr="00BC33C0">
        <w:rPr>
          <w:sz w:val="22"/>
          <w:szCs w:val="22"/>
        </w:rPr>
        <w:t>WHO has developed a dynamic toolkit</w:t>
      </w:r>
      <w:r>
        <w:rPr>
          <w:rStyle w:val="EndnoteReference"/>
          <w:sz w:val="22"/>
          <w:szCs w:val="22"/>
        </w:rPr>
        <w:endnoteReference w:id="12"/>
      </w:r>
      <w:r w:rsidRPr="00BC33C0">
        <w:rPr>
          <w:sz w:val="22"/>
          <w:szCs w:val="22"/>
        </w:rPr>
        <w:t xml:space="preserve"> </w:t>
      </w:r>
      <w:r w:rsidRPr="7DC59A82">
        <w:rPr>
          <w:sz w:val="22"/>
          <w:szCs w:val="22"/>
        </w:rPr>
        <w:t>in alignment with ICH E21 guidance,</w:t>
      </w:r>
      <w:r w:rsidRPr="28429A3C">
        <w:rPr>
          <w:rStyle w:val="EndnoteReference"/>
          <w:sz w:val="22"/>
          <w:szCs w:val="22"/>
        </w:rPr>
        <w:endnoteReference w:id="13"/>
      </w:r>
      <w:r w:rsidRPr="28429A3C">
        <w:rPr>
          <w:sz w:val="22"/>
          <w:szCs w:val="22"/>
        </w:rPr>
        <w:t xml:space="preserve"> to guide the early and equitable inclusion of PLWG throughout the clinical trial cycle. This living guidance acts as a repository, linking to other documents and facilitating the coordination of global efforts towards this goal, and defines the minimum data requirements for inclusive labelling and regulatory approval. Developers who use this guidance can accelerate the inclusion of PLWG on product labels for vaccines. </w:t>
      </w:r>
    </w:p>
    <w:p w14:paraId="674DA6E5" w14:textId="734AD912" w:rsidR="0046020E" w:rsidRDefault="0046020E" w:rsidP="0046020E">
      <w:pPr>
        <w:pStyle w:val="ListParagraph"/>
        <w:numPr>
          <w:ilvl w:val="0"/>
          <w:numId w:val="27"/>
        </w:numPr>
        <w:jc w:val="both"/>
        <w:rPr>
          <w:sz w:val="22"/>
          <w:szCs w:val="22"/>
        </w:rPr>
      </w:pPr>
      <w:r w:rsidRPr="28429A3C">
        <w:rPr>
          <w:sz w:val="22"/>
          <w:szCs w:val="22"/>
          <w:lang w:val="en-GB"/>
        </w:rPr>
        <w:t xml:space="preserve">PDVAC encourages </w:t>
      </w:r>
      <w:r w:rsidRPr="28429A3C">
        <w:rPr>
          <w:sz w:val="22"/>
          <w:szCs w:val="22"/>
        </w:rPr>
        <w:t>the inclusion of PLWG in plans for vaccine trials for both maternal and “general use</w:t>
      </w:r>
      <w:r w:rsidR="00735AAF" w:rsidRPr="28429A3C">
        <w:rPr>
          <w:sz w:val="22"/>
          <w:szCs w:val="22"/>
        </w:rPr>
        <w:t xml:space="preserve">” </w:t>
      </w:r>
      <w:r w:rsidRPr="28429A3C">
        <w:rPr>
          <w:sz w:val="22"/>
          <w:szCs w:val="22"/>
        </w:rPr>
        <w:t xml:space="preserve">vaccines and is committed to </w:t>
      </w:r>
      <w:r w:rsidRPr="28429A3C">
        <w:rPr>
          <w:sz w:val="22"/>
          <w:szCs w:val="22"/>
          <w:lang w:val="en-GB"/>
        </w:rPr>
        <w:t xml:space="preserve">encouraging developers to embed the inclusion of PLWG throughout the vaccine pipeline, </w:t>
      </w:r>
      <w:r w:rsidRPr="28429A3C">
        <w:rPr>
          <w:sz w:val="22"/>
          <w:szCs w:val="22"/>
        </w:rPr>
        <w:t xml:space="preserve">through its recommendations. </w:t>
      </w:r>
    </w:p>
    <w:p w14:paraId="46F2443D" w14:textId="60376C0B" w:rsidR="0046020E" w:rsidRPr="00FE423F" w:rsidRDefault="0046020E" w:rsidP="0046020E">
      <w:pPr>
        <w:pStyle w:val="ListParagraph"/>
        <w:numPr>
          <w:ilvl w:val="0"/>
          <w:numId w:val="27"/>
        </w:numPr>
        <w:jc w:val="both"/>
        <w:rPr>
          <w:sz w:val="22"/>
          <w:szCs w:val="22"/>
        </w:rPr>
      </w:pPr>
      <w:r w:rsidRPr="7DC59A82">
        <w:rPr>
          <w:sz w:val="22"/>
          <w:szCs w:val="22"/>
        </w:rPr>
        <w:t xml:space="preserve">PDVAC recommended that WHO </w:t>
      </w:r>
      <w:r w:rsidR="008551AB">
        <w:rPr>
          <w:sz w:val="22"/>
          <w:szCs w:val="22"/>
        </w:rPr>
        <w:t xml:space="preserve">explore the </w:t>
      </w:r>
      <w:r w:rsidRPr="28429A3C">
        <w:rPr>
          <w:sz w:val="22"/>
          <w:szCs w:val="22"/>
        </w:rPr>
        <w:t>develop</w:t>
      </w:r>
      <w:r w:rsidR="008551AB" w:rsidRPr="28429A3C">
        <w:rPr>
          <w:sz w:val="22"/>
          <w:szCs w:val="22"/>
        </w:rPr>
        <w:t>ment of</w:t>
      </w:r>
      <w:r w:rsidRPr="28429A3C">
        <w:rPr>
          <w:sz w:val="22"/>
          <w:szCs w:val="22"/>
        </w:rPr>
        <w:t xml:space="preserve"> a </w:t>
      </w:r>
      <w:proofErr w:type="spellStart"/>
      <w:r w:rsidRPr="28429A3C">
        <w:rPr>
          <w:sz w:val="22"/>
          <w:szCs w:val="22"/>
        </w:rPr>
        <w:t>standardised</w:t>
      </w:r>
      <w:proofErr w:type="spellEnd"/>
      <w:r w:rsidRPr="28429A3C">
        <w:rPr>
          <w:sz w:val="22"/>
          <w:szCs w:val="22"/>
        </w:rPr>
        <w:t xml:space="preserve"> data collection tool to record information on incidental pregnancies in vaccine clinical trials, with the aim of developing a global safety database, building on the work of the Brighton Collaboration and CEPI.</w:t>
      </w:r>
      <w:r w:rsidRPr="28429A3C">
        <w:rPr>
          <w:rStyle w:val="EndnoteReference"/>
          <w:sz w:val="22"/>
          <w:szCs w:val="22"/>
        </w:rPr>
        <w:endnoteReference w:id="14"/>
      </w:r>
    </w:p>
    <w:p w14:paraId="24BC6033" w14:textId="77777777" w:rsidR="00C835CA" w:rsidRDefault="0046020E" w:rsidP="0046020E">
      <w:pPr>
        <w:pStyle w:val="ListParagraph"/>
        <w:numPr>
          <w:ilvl w:val="0"/>
          <w:numId w:val="28"/>
        </w:numPr>
        <w:jc w:val="both"/>
        <w:rPr>
          <w:sz w:val="22"/>
          <w:szCs w:val="22"/>
        </w:rPr>
      </w:pPr>
      <w:r w:rsidRPr="00AA7A09">
        <w:rPr>
          <w:sz w:val="22"/>
          <w:szCs w:val="22"/>
        </w:rPr>
        <w:t>PDVAC considered the experience and lessons learned of some developers of maternal vaccine candidates, such as RSV and GBS. They recommended launching industry-wide consultations with such developers to hear their lessons learned about including PLWG early in clinical trials.</w:t>
      </w:r>
    </w:p>
    <w:p w14:paraId="03AD8A38" w14:textId="69F52853" w:rsidR="0046020E" w:rsidRPr="00C835CA" w:rsidRDefault="00C835CA" w:rsidP="0046020E">
      <w:pPr>
        <w:pStyle w:val="ListParagraph"/>
        <w:numPr>
          <w:ilvl w:val="0"/>
          <w:numId w:val="28"/>
        </w:numPr>
        <w:jc w:val="both"/>
        <w:rPr>
          <w:sz w:val="22"/>
          <w:szCs w:val="22"/>
        </w:rPr>
      </w:pPr>
      <w:r>
        <w:rPr>
          <w:sz w:val="22"/>
          <w:szCs w:val="22"/>
        </w:rPr>
        <w:t xml:space="preserve">PDVAC encourages the </w:t>
      </w:r>
      <w:r w:rsidR="00C00923">
        <w:rPr>
          <w:sz w:val="22"/>
          <w:szCs w:val="22"/>
        </w:rPr>
        <w:t>establishment</w:t>
      </w:r>
      <w:r w:rsidR="00D06EF7">
        <w:rPr>
          <w:sz w:val="22"/>
          <w:szCs w:val="22"/>
        </w:rPr>
        <w:t xml:space="preserve"> of a</w:t>
      </w:r>
      <w:r>
        <w:rPr>
          <w:sz w:val="22"/>
          <w:szCs w:val="22"/>
        </w:rPr>
        <w:t xml:space="preserve"> </w:t>
      </w:r>
      <w:r w:rsidR="0046020E" w:rsidRPr="00C835CA">
        <w:rPr>
          <w:sz w:val="22"/>
          <w:szCs w:val="22"/>
        </w:rPr>
        <w:t>maternal immunization technical advisory group to support SAGE on vaccines for PLWG.</w:t>
      </w:r>
    </w:p>
    <w:p w14:paraId="20620B1C" w14:textId="77777777" w:rsidR="00212E53" w:rsidRDefault="00212E53" w:rsidP="000D5101">
      <w:pPr>
        <w:jc w:val="both"/>
        <w:rPr>
          <w:sz w:val="22"/>
          <w:szCs w:val="22"/>
        </w:rPr>
      </w:pPr>
    </w:p>
    <w:p w14:paraId="76A6EDDC" w14:textId="77777777" w:rsidR="00212E53" w:rsidRPr="000E11D4" w:rsidRDefault="00212E53" w:rsidP="000D5101">
      <w:pPr>
        <w:jc w:val="both"/>
        <w:rPr>
          <w:sz w:val="22"/>
          <w:szCs w:val="22"/>
        </w:rPr>
      </w:pPr>
    </w:p>
    <w:p w14:paraId="6B24C532" w14:textId="2A424FA1" w:rsidR="00D616C9" w:rsidRPr="00D616C9" w:rsidRDefault="00D616C9" w:rsidP="00D616C9">
      <w:pPr>
        <w:jc w:val="both"/>
        <w:rPr>
          <w:rFonts w:asciiTheme="majorHAnsi" w:eastAsiaTheme="majorEastAsia" w:hAnsiTheme="majorHAnsi" w:cstheme="majorBidi"/>
          <w:color w:val="0F4761" w:themeColor="accent1" w:themeShade="BF"/>
          <w:sz w:val="28"/>
          <w:szCs w:val="28"/>
          <w:lang w:val="en-GB"/>
        </w:rPr>
      </w:pPr>
      <w:r>
        <w:rPr>
          <w:rFonts w:asciiTheme="majorHAnsi" w:eastAsiaTheme="majorEastAsia" w:hAnsiTheme="majorHAnsi" w:cstheme="majorBidi"/>
          <w:color w:val="0F4761" w:themeColor="accent1" w:themeShade="BF"/>
          <w:sz w:val="28"/>
          <w:szCs w:val="28"/>
          <w:lang w:val="en-GB"/>
        </w:rPr>
        <w:t>Micro-Array Patches</w:t>
      </w:r>
      <w:r w:rsidRPr="00D616C9">
        <w:rPr>
          <w:rFonts w:asciiTheme="majorHAnsi" w:eastAsiaTheme="majorEastAsia" w:hAnsiTheme="majorHAnsi" w:cstheme="majorBidi"/>
          <w:color w:val="0F4761" w:themeColor="accent1" w:themeShade="BF"/>
          <w:sz w:val="28"/>
          <w:szCs w:val="28"/>
          <w:lang w:val="en-GB"/>
        </w:rPr>
        <w:t xml:space="preserve">: </w:t>
      </w:r>
    </w:p>
    <w:p w14:paraId="05F967C5" w14:textId="631BAE6C" w:rsidR="00D616C9" w:rsidRDefault="004A7664" w:rsidP="00D616C9">
      <w:pPr>
        <w:jc w:val="both"/>
        <w:rPr>
          <w:sz w:val="22"/>
          <w:szCs w:val="22"/>
          <w:lang w:val="en-GB"/>
        </w:rPr>
      </w:pPr>
      <w:r>
        <w:rPr>
          <w:sz w:val="22"/>
          <w:szCs w:val="22"/>
          <w:lang w:val="en-GB"/>
        </w:rPr>
        <w:t xml:space="preserve">PDVAC was updated on the status of </w:t>
      </w:r>
      <w:r w:rsidRPr="00D616C9">
        <w:rPr>
          <w:sz w:val="22"/>
          <w:szCs w:val="22"/>
          <w:lang w:val="en-GB"/>
        </w:rPr>
        <w:t xml:space="preserve">Measles-Rubella Micro Array Patch (MR-MAP) </w:t>
      </w:r>
      <w:r>
        <w:rPr>
          <w:sz w:val="22"/>
          <w:szCs w:val="22"/>
          <w:lang w:val="en-GB"/>
        </w:rPr>
        <w:t xml:space="preserve">development.  </w:t>
      </w:r>
      <w:r w:rsidR="00D616C9" w:rsidRPr="00D616C9">
        <w:rPr>
          <w:sz w:val="22"/>
          <w:szCs w:val="22"/>
          <w:lang w:val="en-GB"/>
        </w:rPr>
        <w:t>Following the phase 1/2 trial of a MR-MAP in the Gambia that demonstrated immunogenicity and safety comparable to the standard MR vaccine, manufacturing scale up is underway.</w:t>
      </w:r>
      <w:r w:rsidR="00D616C9">
        <w:rPr>
          <w:rStyle w:val="EndnoteReference"/>
          <w:sz w:val="22"/>
          <w:szCs w:val="22"/>
          <w:lang w:val="en-GB"/>
        </w:rPr>
        <w:endnoteReference w:id="15"/>
      </w:r>
      <w:r w:rsidR="00D616C9" w:rsidRPr="00D616C9">
        <w:rPr>
          <w:sz w:val="22"/>
          <w:szCs w:val="22"/>
          <w:lang w:val="en-GB"/>
        </w:rPr>
        <w:t xml:space="preserve"> A Phase 2 trial of MR-MAP is due to start in September 2026 in the Gambia, to evaluate shorter wear time and optimise antigen load.</w:t>
      </w:r>
    </w:p>
    <w:p w14:paraId="6104B246" w14:textId="77777777" w:rsidR="00DF1F41" w:rsidRDefault="00DF1F41" w:rsidP="00D616C9">
      <w:pPr>
        <w:jc w:val="both"/>
        <w:rPr>
          <w:sz w:val="22"/>
          <w:szCs w:val="22"/>
          <w:lang w:val="en-GB"/>
        </w:rPr>
      </w:pPr>
    </w:p>
    <w:p w14:paraId="007EE6F2" w14:textId="77577165" w:rsidR="00DF1F41" w:rsidRPr="00323172" w:rsidRDefault="00DF1F41" w:rsidP="00DF1F41">
      <w:pPr>
        <w:pStyle w:val="Heading2"/>
        <w:rPr>
          <w:sz w:val="28"/>
          <w:szCs w:val="28"/>
          <w:lang w:val="en-GB"/>
        </w:rPr>
      </w:pPr>
      <w:r w:rsidRPr="00323172">
        <w:rPr>
          <w:sz w:val="28"/>
          <w:szCs w:val="28"/>
          <w:lang w:val="en-GB"/>
        </w:rPr>
        <w:t>The WHO mRNA Vaccine Technology Transfer Hub</w:t>
      </w:r>
    </w:p>
    <w:p w14:paraId="1F6E7A27" w14:textId="77777777" w:rsidR="00DF1F41" w:rsidRPr="0099696B" w:rsidRDefault="00DF1F41" w:rsidP="00DF1F41">
      <w:pPr>
        <w:spacing w:line="288" w:lineRule="auto"/>
        <w:jc w:val="both"/>
        <w:rPr>
          <w:sz w:val="22"/>
          <w:szCs w:val="22"/>
          <w:lang w:val="en-GB"/>
        </w:rPr>
      </w:pPr>
      <w:r w:rsidRPr="0099696B">
        <w:rPr>
          <w:sz w:val="22"/>
          <w:szCs w:val="22"/>
          <w:lang w:val="en-GB"/>
        </w:rPr>
        <w:t xml:space="preserve">The mRNA </w:t>
      </w:r>
      <w:r>
        <w:rPr>
          <w:sz w:val="22"/>
          <w:szCs w:val="22"/>
          <w:lang w:val="en-GB"/>
        </w:rPr>
        <w:t xml:space="preserve">Technology Transfer Program </w:t>
      </w:r>
      <w:r w:rsidRPr="0099696B">
        <w:rPr>
          <w:sz w:val="22"/>
          <w:szCs w:val="22"/>
          <w:lang w:val="en-GB"/>
        </w:rPr>
        <w:t xml:space="preserve">was established </w:t>
      </w:r>
      <w:r>
        <w:rPr>
          <w:sz w:val="22"/>
          <w:szCs w:val="22"/>
          <w:lang w:val="en-GB"/>
        </w:rPr>
        <w:t xml:space="preserve">in 2021 </w:t>
      </w:r>
      <w:r w:rsidRPr="0099696B">
        <w:rPr>
          <w:sz w:val="22"/>
          <w:szCs w:val="22"/>
          <w:lang w:val="en-GB"/>
        </w:rPr>
        <w:t>by WHO and the Medicines Patent Pool</w:t>
      </w:r>
      <w:r>
        <w:rPr>
          <w:sz w:val="22"/>
          <w:szCs w:val="22"/>
          <w:lang w:val="en-GB"/>
        </w:rPr>
        <w:t>. Its aim is</w:t>
      </w:r>
      <w:r w:rsidRPr="0099696B">
        <w:rPr>
          <w:sz w:val="22"/>
          <w:szCs w:val="22"/>
          <w:lang w:val="en-GB"/>
        </w:rPr>
        <w:t xml:space="preserve"> to build regional capacity in </w:t>
      </w:r>
      <w:r>
        <w:rPr>
          <w:sz w:val="22"/>
          <w:szCs w:val="22"/>
          <w:lang w:val="en-GB"/>
        </w:rPr>
        <w:t xml:space="preserve">mRNA </w:t>
      </w:r>
      <w:r w:rsidRPr="0099696B">
        <w:rPr>
          <w:sz w:val="22"/>
          <w:szCs w:val="22"/>
          <w:lang w:val="en-GB"/>
        </w:rPr>
        <w:t>vaccine manufactur</w:t>
      </w:r>
      <w:r>
        <w:rPr>
          <w:sz w:val="22"/>
          <w:szCs w:val="22"/>
          <w:lang w:val="en-GB"/>
        </w:rPr>
        <w:t xml:space="preserve">ing to buffer demand surges in the event of </w:t>
      </w:r>
      <w:r w:rsidRPr="0099696B">
        <w:rPr>
          <w:sz w:val="22"/>
          <w:szCs w:val="22"/>
          <w:lang w:val="en-GB"/>
        </w:rPr>
        <w:t>future pandemic</w:t>
      </w:r>
      <w:r>
        <w:rPr>
          <w:sz w:val="22"/>
          <w:szCs w:val="22"/>
          <w:lang w:val="en-GB"/>
        </w:rPr>
        <w:t>s</w:t>
      </w:r>
      <w:r w:rsidRPr="0099696B">
        <w:rPr>
          <w:sz w:val="22"/>
          <w:szCs w:val="22"/>
          <w:lang w:val="en-GB"/>
        </w:rPr>
        <w:t xml:space="preserve">. A central hub </w:t>
      </w:r>
      <w:r>
        <w:rPr>
          <w:sz w:val="22"/>
          <w:szCs w:val="22"/>
          <w:lang w:val="en-GB"/>
        </w:rPr>
        <w:t xml:space="preserve">at </w:t>
      </w:r>
      <w:proofErr w:type="spellStart"/>
      <w:r>
        <w:rPr>
          <w:sz w:val="22"/>
          <w:szCs w:val="22"/>
          <w:lang w:val="en-GB"/>
        </w:rPr>
        <w:t>Afrigen</w:t>
      </w:r>
      <w:proofErr w:type="spellEnd"/>
      <w:r>
        <w:rPr>
          <w:sz w:val="22"/>
          <w:szCs w:val="22"/>
          <w:lang w:val="en-GB"/>
        </w:rPr>
        <w:t xml:space="preserve"> </w:t>
      </w:r>
      <w:r w:rsidRPr="0099696B">
        <w:rPr>
          <w:sz w:val="22"/>
          <w:szCs w:val="22"/>
          <w:lang w:val="en-GB"/>
        </w:rPr>
        <w:t>in South Africa supports technology transfer to 14 partner sites in all six WHO regions.</w:t>
      </w:r>
      <w:r>
        <w:rPr>
          <w:rStyle w:val="EndnoteReference"/>
          <w:sz w:val="22"/>
          <w:szCs w:val="22"/>
          <w:lang w:val="en-GB"/>
        </w:rPr>
        <w:endnoteReference w:id="16"/>
      </w:r>
    </w:p>
    <w:p w14:paraId="6C50F266" w14:textId="77777777" w:rsidR="00DF1F41" w:rsidRPr="0099696B" w:rsidRDefault="00DF1F41" w:rsidP="00DF1F41">
      <w:pPr>
        <w:spacing w:line="288" w:lineRule="auto"/>
        <w:jc w:val="both"/>
        <w:rPr>
          <w:sz w:val="22"/>
          <w:szCs w:val="22"/>
          <w:lang w:val="en-GB"/>
        </w:rPr>
      </w:pPr>
      <w:r>
        <w:rPr>
          <w:sz w:val="22"/>
          <w:szCs w:val="22"/>
          <w:lang w:val="en-GB"/>
        </w:rPr>
        <w:t xml:space="preserve">Two of the fifteen sites are currently capable of </w:t>
      </w:r>
      <w:r w:rsidRPr="0099696B">
        <w:rPr>
          <w:sz w:val="22"/>
          <w:szCs w:val="22"/>
          <w:lang w:val="en-GB"/>
        </w:rPr>
        <w:t>manufactur</w:t>
      </w:r>
      <w:r>
        <w:rPr>
          <w:sz w:val="22"/>
          <w:szCs w:val="22"/>
          <w:lang w:val="en-GB"/>
        </w:rPr>
        <w:t>ing</w:t>
      </w:r>
      <w:r w:rsidRPr="0099696B">
        <w:rPr>
          <w:sz w:val="22"/>
          <w:szCs w:val="22"/>
          <w:lang w:val="en-GB"/>
        </w:rPr>
        <w:t xml:space="preserve"> mRNA in a GMP environment. This will increase to 6 by the end of 2026 and is projected to rise to 10 by the end of 2030, if fund</w:t>
      </w:r>
      <w:r>
        <w:rPr>
          <w:sz w:val="22"/>
          <w:szCs w:val="22"/>
          <w:lang w:val="en-GB"/>
        </w:rPr>
        <w:t>raising efforts are successful</w:t>
      </w:r>
      <w:r w:rsidRPr="0099696B">
        <w:rPr>
          <w:sz w:val="22"/>
          <w:szCs w:val="22"/>
          <w:lang w:val="en-GB"/>
        </w:rPr>
        <w:t xml:space="preserve">. </w:t>
      </w:r>
      <w:r w:rsidRPr="0036093B">
        <w:rPr>
          <w:sz w:val="22"/>
          <w:szCs w:val="22"/>
          <w:lang w:val="en-GB"/>
        </w:rPr>
        <w:t>Individual sites can decide for themselves whether to aim for GMP certification or to restrict activities to research-grade materials.</w:t>
      </w:r>
    </w:p>
    <w:p w14:paraId="78701C4A" w14:textId="77777777" w:rsidR="00DF1F41" w:rsidRDefault="00DF1F41" w:rsidP="00DF1F41">
      <w:pPr>
        <w:spacing w:line="288" w:lineRule="auto"/>
        <w:jc w:val="both"/>
        <w:rPr>
          <w:sz w:val="22"/>
          <w:szCs w:val="22"/>
          <w:lang w:val="en-GB"/>
        </w:rPr>
      </w:pPr>
      <w:r w:rsidRPr="7B819807">
        <w:rPr>
          <w:sz w:val="22"/>
          <w:szCs w:val="22"/>
          <w:lang w:val="en-GB"/>
        </w:rPr>
        <w:t xml:space="preserve">The major challenges for sites are scaling production volumes and maintaining financial viability between pandemic demand. There are two approaches to scale up: increasing the size of the reactor which produces the </w:t>
      </w:r>
      <w:proofErr w:type="gramStart"/>
      <w:r w:rsidRPr="7B819807">
        <w:rPr>
          <w:sz w:val="22"/>
          <w:szCs w:val="22"/>
          <w:lang w:val="en-GB"/>
        </w:rPr>
        <w:t>mRNA, or</w:t>
      </w:r>
      <w:proofErr w:type="gramEnd"/>
      <w:r w:rsidRPr="7B819807">
        <w:rPr>
          <w:sz w:val="22"/>
          <w:szCs w:val="22"/>
          <w:lang w:val="en-GB"/>
        </w:rPr>
        <w:t xml:space="preserve"> using “dose sparing technologies” such as self-amplifying RNA (</w:t>
      </w:r>
      <w:proofErr w:type="spellStart"/>
      <w:r w:rsidRPr="7B819807">
        <w:rPr>
          <w:sz w:val="22"/>
          <w:szCs w:val="22"/>
          <w:lang w:val="en-GB"/>
        </w:rPr>
        <w:t>saRNA</w:t>
      </w:r>
      <w:proofErr w:type="spellEnd"/>
      <w:r w:rsidRPr="7B819807">
        <w:rPr>
          <w:sz w:val="22"/>
          <w:szCs w:val="22"/>
          <w:lang w:val="en-GB"/>
        </w:rPr>
        <w:t>).</w:t>
      </w:r>
    </w:p>
    <w:p w14:paraId="7FFA3465" w14:textId="77777777" w:rsidR="00DF1F41" w:rsidRPr="0036093B" w:rsidRDefault="00DF1F41" w:rsidP="00DF1F41">
      <w:pPr>
        <w:spacing w:line="288" w:lineRule="auto"/>
        <w:jc w:val="both"/>
        <w:rPr>
          <w:sz w:val="22"/>
          <w:szCs w:val="22"/>
          <w:lang w:val="en-GB"/>
        </w:rPr>
      </w:pPr>
      <w:r>
        <w:rPr>
          <w:sz w:val="22"/>
          <w:szCs w:val="22"/>
          <w:lang w:val="en-GB"/>
        </w:rPr>
        <w:t xml:space="preserve">Maintaining business viability in the intra-pandemic periods is more challenging. Companies broadly have two options; either acting as a CDMO and manufacturing products for other developers; or developing their own products. Companies in </w:t>
      </w:r>
      <w:r w:rsidRPr="0036093B">
        <w:rPr>
          <w:sz w:val="22"/>
          <w:szCs w:val="22"/>
          <w:lang w:val="en-GB"/>
        </w:rPr>
        <w:t>Argentina</w:t>
      </w:r>
      <w:r>
        <w:rPr>
          <w:sz w:val="22"/>
          <w:szCs w:val="22"/>
          <w:lang w:val="en-GB"/>
        </w:rPr>
        <w:t xml:space="preserve"> and South Africa are opting for the latter model, </w:t>
      </w:r>
      <w:r w:rsidRPr="0036093B">
        <w:rPr>
          <w:sz w:val="22"/>
          <w:szCs w:val="22"/>
          <w:lang w:val="en-GB"/>
        </w:rPr>
        <w:t xml:space="preserve">developing </w:t>
      </w:r>
      <w:r>
        <w:rPr>
          <w:sz w:val="22"/>
          <w:szCs w:val="22"/>
          <w:lang w:val="en-GB"/>
        </w:rPr>
        <w:t xml:space="preserve">mRNA vaccines against </w:t>
      </w:r>
      <w:r w:rsidRPr="0036093B">
        <w:rPr>
          <w:sz w:val="22"/>
          <w:szCs w:val="22"/>
          <w:lang w:val="en-GB"/>
        </w:rPr>
        <w:t>influenza</w:t>
      </w:r>
      <w:r>
        <w:rPr>
          <w:sz w:val="22"/>
          <w:szCs w:val="22"/>
          <w:lang w:val="en-GB"/>
        </w:rPr>
        <w:t xml:space="preserve"> and tuberculosis, respectively. </w:t>
      </w:r>
    </w:p>
    <w:p w14:paraId="3CB90E16" w14:textId="77777777" w:rsidR="00DF1F41" w:rsidRPr="0036093B" w:rsidRDefault="00DF1F41" w:rsidP="00DF1F41">
      <w:pPr>
        <w:spacing w:line="288" w:lineRule="auto"/>
        <w:jc w:val="both"/>
        <w:rPr>
          <w:sz w:val="22"/>
          <w:szCs w:val="22"/>
          <w:lang w:val="en-GB"/>
        </w:rPr>
      </w:pPr>
      <w:r w:rsidRPr="7B819807">
        <w:rPr>
          <w:sz w:val="22"/>
          <w:szCs w:val="22"/>
          <w:lang w:val="en-GB"/>
        </w:rPr>
        <w:t xml:space="preserve">The Hub has formed regional collaborations between sites to work on products against regional priority pathogens, including mRNA products for therapeutic applications. In addition, a memorandum of understanding has been signed between the Hub, the Children’s Hospital of Philadelphia, and the University of Pennsylvania, which could enable sites to contribute to the development of mRNA products emerging from their research. </w:t>
      </w:r>
    </w:p>
    <w:p w14:paraId="5B98659C" w14:textId="77777777" w:rsidR="00DF1F41" w:rsidRPr="00D616C9" w:rsidRDefault="00DF1F41" w:rsidP="00D616C9">
      <w:pPr>
        <w:jc w:val="both"/>
        <w:rPr>
          <w:sz w:val="22"/>
          <w:szCs w:val="22"/>
          <w:lang w:val="en-GB"/>
        </w:rPr>
      </w:pPr>
    </w:p>
    <w:p w14:paraId="16C00769" w14:textId="77777777" w:rsidR="00754086" w:rsidRPr="00323172" w:rsidRDefault="00754086" w:rsidP="00754086">
      <w:pPr>
        <w:pStyle w:val="Heading2"/>
        <w:rPr>
          <w:sz w:val="28"/>
          <w:szCs w:val="28"/>
          <w:lang w:val="en-GB"/>
        </w:rPr>
      </w:pPr>
      <w:r w:rsidRPr="00323172">
        <w:rPr>
          <w:sz w:val="28"/>
          <w:szCs w:val="28"/>
          <w:lang w:val="en-GB"/>
        </w:rPr>
        <w:t>Adjuvants</w:t>
      </w:r>
    </w:p>
    <w:p w14:paraId="5FE8F885" w14:textId="03D0A1AB" w:rsidR="00754086" w:rsidRPr="00672F28" w:rsidRDefault="00754086" w:rsidP="00754086">
      <w:pPr>
        <w:jc w:val="both"/>
        <w:rPr>
          <w:rFonts w:cs="Hubballi"/>
          <w:sz w:val="22"/>
          <w:szCs w:val="22"/>
        </w:rPr>
      </w:pPr>
      <w:r w:rsidRPr="2FA0A26F">
        <w:rPr>
          <w:rFonts w:cs="Hubballi"/>
          <w:sz w:val="22"/>
          <w:szCs w:val="22"/>
        </w:rPr>
        <w:t xml:space="preserve">Adjuvants are </w:t>
      </w:r>
      <w:r w:rsidR="00BF2BFB">
        <w:rPr>
          <w:rFonts w:cs="Hubballi"/>
          <w:sz w:val="22"/>
          <w:szCs w:val="22"/>
        </w:rPr>
        <w:t>frequently required</w:t>
      </w:r>
      <w:r w:rsidRPr="2FA0A26F">
        <w:rPr>
          <w:rFonts w:cs="Hubballi"/>
          <w:sz w:val="22"/>
          <w:szCs w:val="22"/>
        </w:rPr>
        <w:t xml:space="preserve"> to enhance the immune response to a vaccine, but of the approximately twelve adjuvants used in licensed products, most are proprietary and only two are open source. There is no framework for adjuvant choice and identifying the optimal antigen–adjuvant combination is generally a question of trial and error. Therefore, most vaccine developers work with the adjuvants to which they have access, and developers without access to adjuvants may face significant challenges. </w:t>
      </w:r>
    </w:p>
    <w:p w14:paraId="0792FB0F" w14:textId="5A1978F0" w:rsidR="00754086" w:rsidRPr="00672F28" w:rsidRDefault="00754086" w:rsidP="00754086">
      <w:pPr>
        <w:spacing w:line="288" w:lineRule="auto"/>
        <w:jc w:val="both"/>
        <w:rPr>
          <w:rFonts w:cs="Hubballi"/>
          <w:sz w:val="22"/>
          <w:szCs w:val="22"/>
        </w:rPr>
      </w:pPr>
      <w:r w:rsidRPr="2FA0A26F">
        <w:rPr>
          <w:rFonts w:cs="Hubballi"/>
          <w:sz w:val="22"/>
          <w:szCs w:val="22"/>
        </w:rPr>
        <w:t>The V</w:t>
      </w:r>
      <w:r w:rsidR="005A2E4E">
        <w:rPr>
          <w:rFonts w:cs="Hubballi"/>
          <w:sz w:val="22"/>
          <w:szCs w:val="22"/>
        </w:rPr>
        <w:t>accine Formulation Institute (V</w:t>
      </w:r>
      <w:r w:rsidRPr="2FA0A26F">
        <w:rPr>
          <w:rFonts w:cs="Hubballi"/>
          <w:sz w:val="22"/>
          <w:szCs w:val="22"/>
        </w:rPr>
        <w:t>FI</w:t>
      </w:r>
      <w:r w:rsidR="005A2E4E">
        <w:rPr>
          <w:rFonts w:cs="Hubballi"/>
          <w:sz w:val="22"/>
          <w:szCs w:val="22"/>
        </w:rPr>
        <w:t>)</w:t>
      </w:r>
      <w:r w:rsidRPr="2FA0A26F">
        <w:rPr>
          <w:rFonts w:cs="Hubballi"/>
          <w:sz w:val="22"/>
          <w:szCs w:val="22"/>
        </w:rPr>
        <w:t xml:space="preserve"> was established in association with WHO to generate additional open-source adjuvants for use in vaccine development. VFI has developed oil-in-water-based (squalene) (SWE) adjuvants, which have been incorporated into multiple vaccine products being evaluated in clinical trials, many of them targeting COVID-19. More recently, it has developed products based on saponin, extracted from the </w:t>
      </w:r>
      <w:proofErr w:type="gramStart"/>
      <w:r w:rsidRPr="2FA0A26F">
        <w:rPr>
          <w:rFonts w:cs="Hubballi"/>
          <w:sz w:val="22"/>
          <w:szCs w:val="22"/>
        </w:rPr>
        <w:t>soapbark</w:t>
      </w:r>
      <w:proofErr w:type="gramEnd"/>
      <w:r w:rsidRPr="2FA0A26F">
        <w:rPr>
          <w:rFonts w:cs="Hubballi"/>
          <w:sz w:val="22"/>
          <w:szCs w:val="22"/>
        </w:rPr>
        <w:t xml:space="preserve"> tree. Three preparations have been developed, SQ, LQ and LMQ. With partners at the University of Oxford, UK, these have been shown to work well in a TB mouse model. The malaria vaccine antigen R21 is also being reformulated with SQ and LMQ. Phase I studies of these adjuvants are due to start in 2026.</w:t>
      </w:r>
    </w:p>
    <w:p w14:paraId="4D3BE715" w14:textId="733C8258" w:rsidR="001D3166" w:rsidRPr="001D3166" w:rsidRDefault="00754086" w:rsidP="001D3166">
      <w:pPr>
        <w:spacing w:line="288" w:lineRule="auto"/>
        <w:jc w:val="both"/>
        <w:rPr>
          <w:rFonts w:cs="Hubballi"/>
          <w:sz w:val="22"/>
          <w:szCs w:val="22"/>
        </w:rPr>
      </w:pPr>
      <w:r w:rsidRPr="28429A3C">
        <w:rPr>
          <w:rFonts w:cs="Hubballi"/>
          <w:sz w:val="22"/>
          <w:szCs w:val="22"/>
        </w:rPr>
        <w:t>The presentation from colleagues from the</w:t>
      </w:r>
      <w:r w:rsidR="00070343" w:rsidRPr="28429A3C">
        <w:rPr>
          <w:rFonts w:cs="Hubballi"/>
          <w:sz w:val="22"/>
          <w:szCs w:val="22"/>
        </w:rPr>
        <w:t xml:space="preserve"> </w:t>
      </w:r>
      <w:r w:rsidRPr="28429A3C">
        <w:rPr>
          <w:rFonts w:cs="Hubballi"/>
          <w:sz w:val="22"/>
          <w:szCs w:val="22"/>
        </w:rPr>
        <w:t xml:space="preserve">VFI was well received, and PDVAC commended the institute’s development and successes. </w:t>
      </w:r>
      <w:r w:rsidRPr="28429A3C">
        <w:rPr>
          <w:sz w:val="22"/>
          <w:szCs w:val="22"/>
        </w:rPr>
        <w:t xml:space="preserve">The committee noted that the mission of </w:t>
      </w:r>
      <w:r w:rsidRPr="28429A3C">
        <w:rPr>
          <w:rFonts w:cs="Hubballi"/>
          <w:sz w:val="22"/>
          <w:szCs w:val="22"/>
        </w:rPr>
        <w:t xml:space="preserve">the VFI is compatible with accelerating clinical development of adjuvants in LMICs and highlighted the potential for VFI to contribute to better understanding </w:t>
      </w:r>
      <w:r w:rsidRPr="28429A3C">
        <w:rPr>
          <w:rFonts w:cs="Hubballi"/>
          <w:sz w:val="22"/>
          <w:szCs w:val="22"/>
          <w:lang w:val="en-GB"/>
        </w:rPr>
        <w:t xml:space="preserve">of adjuvant performance in different populations </w:t>
      </w:r>
      <w:r w:rsidRPr="28429A3C">
        <w:rPr>
          <w:rFonts w:cs="Hubballi"/>
          <w:sz w:val="22"/>
          <w:szCs w:val="22"/>
        </w:rPr>
        <w:t>by testing</w:t>
      </w:r>
      <w:r w:rsidRPr="28429A3C">
        <w:rPr>
          <w:rFonts w:cs="Hubballi"/>
          <w:sz w:val="22"/>
          <w:szCs w:val="22"/>
          <w:lang w:val="en-GB"/>
        </w:rPr>
        <w:t xml:space="preserve"> adjuvants</w:t>
      </w:r>
      <w:r w:rsidRPr="28429A3C">
        <w:rPr>
          <w:rFonts w:cs="Hubballi"/>
          <w:sz w:val="22"/>
          <w:szCs w:val="22"/>
        </w:rPr>
        <w:t xml:space="preserve"> across different regions to build capacity and confidence.</w:t>
      </w:r>
      <w:r w:rsidR="006F1C5A" w:rsidRPr="28429A3C">
        <w:rPr>
          <w:rFonts w:cs="Hubballi"/>
          <w:sz w:val="22"/>
          <w:szCs w:val="22"/>
        </w:rPr>
        <w:t xml:space="preserve"> </w:t>
      </w:r>
      <w:r w:rsidRPr="28429A3C">
        <w:rPr>
          <w:rFonts w:cs="Hubballi"/>
          <w:sz w:val="22"/>
          <w:szCs w:val="22"/>
          <w:lang w:val="en-GB"/>
        </w:rPr>
        <w:t xml:space="preserve">The committee noted the complex regulatory pathway to replacing adjuvants in existing vaccines with new “generic” or “biosimilar” adjuvants. In licensed vaccines, regulators would generally require new trials of the re-formulated vaccine including the new adjuvant. </w:t>
      </w:r>
      <w:r w:rsidR="001D3166" w:rsidRPr="001D3166">
        <w:rPr>
          <w:rFonts w:cs="Hubballi"/>
          <w:sz w:val="22"/>
          <w:szCs w:val="22"/>
        </w:rPr>
        <w:t>For vaccines in development, the technology transfer of adjuvant manufacturing should be done as early in the clinical development stage as possible. The later the technology transfer happens, the higher the evidentiary requirements will be for demonstrating comparability between adjuvant manufacturers (e.g. VFI vs developer). Developers must avoid doing the technology transfer after the pivotal clinical trials (Phase III) are completed as clinical trial material for the pivotal studies is expected to be as close to the commercial manufacturing process as possible.</w:t>
      </w:r>
    </w:p>
    <w:p w14:paraId="2CB621C7" w14:textId="0E1CFDF4" w:rsidR="00754086" w:rsidRPr="00672F28" w:rsidRDefault="00754086" w:rsidP="00754086">
      <w:pPr>
        <w:spacing w:line="288" w:lineRule="auto"/>
        <w:jc w:val="both"/>
        <w:rPr>
          <w:rFonts w:cs="Hubballi"/>
          <w:sz w:val="22"/>
          <w:szCs w:val="22"/>
          <w:lang w:val="en-GB"/>
        </w:rPr>
      </w:pPr>
    </w:p>
    <w:p w14:paraId="0DCD9DEE" w14:textId="73615D21" w:rsidR="000D5101" w:rsidRDefault="00754086" w:rsidP="00A0647C">
      <w:pPr>
        <w:spacing w:line="288" w:lineRule="auto"/>
        <w:jc w:val="both"/>
        <w:rPr>
          <w:sz w:val="22"/>
          <w:szCs w:val="22"/>
        </w:rPr>
      </w:pPr>
      <w:r w:rsidRPr="28429A3C">
        <w:rPr>
          <w:rFonts w:cs="Hubballi"/>
          <w:sz w:val="22"/>
          <w:szCs w:val="22"/>
          <w:lang w:val="en-GB"/>
        </w:rPr>
        <w:t xml:space="preserve">During the presentation, </w:t>
      </w:r>
      <w:r w:rsidRPr="28429A3C">
        <w:rPr>
          <w:rFonts w:cs="Hubballi"/>
          <w:sz w:val="22"/>
          <w:szCs w:val="22"/>
        </w:rPr>
        <w:t xml:space="preserve">VFI </w:t>
      </w:r>
      <w:r w:rsidRPr="28429A3C">
        <w:rPr>
          <w:rFonts w:cs="Hubballi"/>
          <w:sz w:val="22"/>
          <w:szCs w:val="22"/>
          <w:lang w:val="en-GB"/>
        </w:rPr>
        <w:t xml:space="preserve">considered </w:t>
      </w:r>
      <w:r w:rsidRPr="28429A3C">
        <w:rPr>
          <w:rFonts w:cs="Hubballi"/>
          <w:sz w:val="22"/>
          <w:szCs w:val="22"/>
        </w:rPr>
        <w:t>conducting developmental and reproductive toxicology (DART) studies on adjuvants alone</w:t>
      </w:r>
      <w:r w:rsidRPr="28429A3C">
        <w:rPr>
          <w:rFonts w:cs="Hubballi"/>
          <w:sz w:val="22"/>
          <w:szCs w:val="22"/>
          <w:lang w:val="en-GB"/>
        </w:rPr>
        <w:t xml:space="preserve">. </w:t>
      </w:r>
      <w:r w:rsidRPr="28429A3C">
        <w:rPr>
          <w:rFonts w:cs="Hubballi"/>
          <w:sz w:val="22"/>
          <w:szCs w:val="22"/>
        </w:rPr>
        <w:t>PDVAC recommends that VFI choose a</w:t>
      </w:r>
      <w:r w:rsidRPr="28429A3C">
        <w:rPr>
          <w:rFonts w:cs="Hubballi"/>
          <w:sz w:val="22"/>
          <w:szCs w:val="22"/>
          <w:lang w:val="en-GB"/>
        </w:rPr>
        <w:t>n adjuvant</w:t>
      </w:r>
      <w:r w:rsidRPr="28429A3C">
        <w:rPr>
          <w:rFonts w:cs="Hubballi"/>
          <w:sz w:val="22"/>
          <w:szCs w:val="22"/>
        </w:rPr>
        <w:t xml:space="preserve"> </w:t>
      </w:r>
      <w:r w:rsidR="00706B31">
        <w:rPr>
          <w:rFonts w:cs="Hubballi"/>
          <w:sz w:val="22"/>
          <w:szCs w:val="22"/>
        </w:rPr>
        <w:t>co-formulated with a vaccine</w:t>
      </w:r>
      <w:r w:rsidRPr="28429A3C">
        <w:rPr>
          <w:rFonts w:cs="Hubballi"/>
          <w:sz w:val="22"/>
          <w:szCs w:val="22"/>
        </w:rPr>
        <w:t xml:space="preserve"> for a demonstration DART study, as this would have more value than doing a DART study on an adjuvant only. </w:t>
      </w:r>
      <w:r w:rsidRPr="28429A3C">
        <w:rPr>
          <w:rFonts w:cs="Hubballi"/>
          <w:sz w:val="22"/>
          <w:szCs w:val="22"/>
          <w:lang w:val="en-GB"/>
        </w:rPr>
        <w:t xml:space="preserve">In fact, </w:t>
      </w:r>
      <w:r w:rsidRPr="28429A3C">
        <w:rPr>
          <w:sz w:val="22"/>
          <w:szCs w:val="22"/>
        </w:rPr>
        <w:t xml:space="preserve">PDVAC identified a potentially mutually beneficial partnership should VFI consider working with the hookworm/malaria combination vaccine group. This could increase data availability on a saponin containing adjuvant and create more commercial interest </w:t>
      </w:r>
      <w:r w:rsidR="555724E1" w:rsidRPr="28429A3C">
        <w:rPr>
          <w:sz w:val="22"/>
          <w:szCs w:val="22"/>
        </w:rPr>
        <w:t>in</w:t>
      </w:r>
      <w:r w:rsidRPr="28429A3C">
        <w:rPr>
          <w:sz w:val="22"/>
          <w:szCs w:val="22"/>
        </w:rPr>
        <w:t xml:space="preserve"> the hookworm vaccine. </w:t>
      </w:r>
    </w:p>
    <w:p w14:paraId="633754FB" w14:textId="77777777" w:rsidR="00A0647C" w:rsidRPr="00A0647C" w:rsidRDefault="00A0647C" w:rsidP="00A0647C">
      <w:pPr>
        <w:spacing w:line="288" w:lineRule="auto"/>
        <w:jc w:val="both"/>
        <w:rPr>
          <w:sz w:val="22"/>
          <w:szCs w:val="22"/>
        </w:rPr>
      </w:pPr>
    </w:p>
    <w:p w14:paraId="03B39457" w14:textId="77777777" w:rsidR="00FF10C4" w:rsidRPr="007A64BB" w:rsidRDefault="00FF10C4" w:rsidP="00974547">
      <w:pPr>
        <w:jc w:val="both"/>
        <w:rPr>
          <w:rFonts w:asciiTheme="majorHAnsi" w:eastAsiaTheme="majorEastAsia" w:hAnsiTheme="majorHAnsi" w:cstheme="majorBidi"/>
          <w:color w:val="0F4761" w:themeColor="accent1" w:themeShade="BF"/>
          <w:sz w:val="32"/>
          <w:szCs w:val="32"/>
          <w:lang w:val="en-GB"/>
        </w:rPr>
      </w:pPr>
      <w:r w:rsidRPr="007A64BB">
        <w:rPr>
          <w:rFonts w:asciiTheme="majorHAnsi" w:eastAsiaTheme="majorEastAsia" w:hAnsiTheme="majorHAnsi" w:cstheme="majorBidi"/>
          <w:color w:val="0F4761" w:themeColor="accent1" w:themeShade="BF"/>
          <w:sz w:val="32"/>
          <w:szCs w:val="32"/>
          <w:lang w:val="en-GB"/>
        </w:rPr>
        <w:t>Pathogen-Specific Updates and Recommendations</w:t>
      </w:r>
    </w:p>
    <w:p w14:paraId="6FACD8E0" w14:textId="7BC93080" w:rsidR="00111D90" w:rsidRDefault="00850416" w:rsidP="00974547">
      <w:pPr>
        <w:jc w:val="both"/>
        <w:rPr>
          <w:sz w:val="22"/>
          <w:szCs w:val="22"/>
          <w:lang w:val="en-GB"/>
        </w:rPr>
      </w:pPr>
      <w:r w:rsidRPr="00C12E0B">
        <w:rPr>
          <w:sz w:val="22"/>
          <w:szCs w:val="22"/>
          <w:lang w:val="en-GB"/>
        </w:rPr>
        <w:t xml:space="preserve">PDVAC </w:t>
      </w:r>
      <w:r w:rsidR="00A47489">
        <w:rPr>
          <w:sz w:val="22"/>
          <w:szCs w:val="22"/>
          <w:lang w:val="en-GB"/>
        </w:rPr>
        <w:t xml:space="preserve">reviewed </w:t>
      </w:r>
      <w:r w:rsidR="006A21ED">
        <w:rPr>
          <w:sz w:val="22"/>
          <w:szCs w:val="22"/>
          <w:lang w:val="en-GB"/>
        </w:rPr>
        <w:t>progress</w:t>
      </w:r>
      <w:r w:rsidR="00A47489">
        <w:rPr>
          <w:sz w:val="22"/>
          <w:szCs w:val="22"/>
          <w:lang w:val="en-GB"/>
        </w:rPr>
        <w:t xml:space="preserve"> </w:t>
      </w:r>
      <w:r w:rsidR="000E0E14">
        <w:rPr>
          <w:sz w:val="22"/>
          <w:szCs w:val="22"/>
          <w:lang w:val="en-GB"/>
        </w:rPr>
        <w:t xml:space="preserve">since the last meeting </w:t>
      </w:r>
      <w:r w:rsidR="002C52CE">
        <w:rPr>
          <w:sz w:val="22"/>
          <w:szCs w:val="22"/>
          <w:lang w:val="en-GB"/>
        </w:rPr>
        <w:t>(</w:t>
      </w:r>
      <w:r w:rsidR="000E0E14">
        <w:rPr>
          <w:sz w:val="22"/>
          <w:szCs w:val="22"/>
          <w:lang w:val="en-GB"/>
        </w:rPr>
        <w:t>in December 2024</w:t>
      </w:r>
      <w:r w:rsidR="002C52CE">
        <w:rPr>
          <w:sz w:val="22"/>
          <w:szCs w:val="22"/>
          <w:lang w:val="en-GB"/>
        </w:rPr>
        <w:t>)</w:t>
      </w:r>
      <w:r w:rsidR="00155AD4">
        <w:rPr>
          <w:sz w:val="22"/>
          <w:szCs w:val="22"/>
          <w:lang w:val="en-GB"/>
        </w:rPr>
        <w:t xml:space="preserve">, with a focus on </w:t>
      </w:r>
      <w:r w:rsidR="00EE1AA9">
        <w:rPr>
          <w:sz w:val="22"/>
          <w:szCs w:val="22"/>
          <w:lang w:val="en-GB"/>
        </w:rPr>
        <w:t>progress</w:t>
      </w:r>
      <w:r w:rsidR="0044779D">
        <w:rPr>
          <w:sz w:val="22"/>
          <w:szCs w:val="22"/>
          <w:lang w:val="en-GB"/>
        </w:rPr>
        <w:t xml:space="preserve"> </w:t>
      </w:r>
      <w:r w:rsidR="007F32F7">
        <w:rPr>
          <w:sz w:val="22"/>
          <w:szCs w:val="22"/>
          <w:lang w:val="en-GB"/>
        </w:rPr>
        <w:t>towards</w:t>
      </w:r>
      <w:r w:rsidR="00A92011">
        <w:rPr>
          <w:sz w:val="22"/>
          <w:szCs w:val="22"/>
          <w:lang w:val="en-GB"/>
        </w:rPr>
        <w:t xml:space="preserve"> vaccines and monoclonal antibodies against the </w:t>
      </w:r>
      <w:r w:rsidR="00EE60C7">
        <w:rPr>
          <w:sz w:val="22"/>
          <w:szCs w:val="22"/>
          <w:lang w:val="en-GB"/>
        </w:rPr>
        <w:t>17</w:t>
      </w:r>
      <w:r w:rsidR="00A92011">
        <w:rPr>
          <w:sz w:val="22"/>
          <w:szCs w:val="22"/>
          <w:lang w:val="en-GB"/>
        </w:rPr>
        <w:t xml:space="preserve"> </w:t>
      </w:r>
      <w:r w:rsidR="005E6700" w:rsidRPr="00962063">
        <w:rPr>
          <w:sz w:val="22"/>
          <w:szCs w:val="22"/>
          <w:lang w:val="en-GB"/>
        </w:rPr>
        <w:t>priority endemic pathogens</w:t>
      </w:r>
      <w:r w:rsidR="00FE3747">
        <w:rPr>
          <w:sz w:val="22"/>
          <w:szCs w:val="22"/>
          <w:lang w:val="en-GB"/>
        </w:rPr>
        <w:t xml:space="preserve"> that were identify under IA2030</w:t>
      </w:r>
      <w:r w:rsidR="00447A88">
        <w:rPr>
          <w:sz w:val="22"/>
          <w:szCs w:val="22"/>
          <w:lang w:val="en-GB"/>
        </w:rPr>
        <w:t>.</w:t>
      </w:r>
      <w:r w:rsidR="009E6B37">
        <w:rPr>
          <w:rStyle w:val="EndnoteReference"/>
        </w:rPr>
        <w:endnoteReference w:id="17"/>
      </w:r>
      <w:r w:rsidR="009F294C">
        <w:rPr>
          <w:sz w:val="22"/>
          <w:szCs w:val="22"/>
          <w:lang w:val="en-GB"/>
        </w:rPr>
        <w:t xml:space="preserve"> </w:t>
      </w:r>
      <w:r w:rsidR="005E6700">
        <w:rPr>
          <w:sz w:val="22"/>
          <w:szCs w:val="22"/>
          <w:lang w:val="en-GB"/>
        </w:rPr>
        <w:t>These pathogens</w:t>
      </w:r>
      <w:r w:rsidR="00846DD5">
        <w:rPr>
          <w:sz w:val="22"/>
          <w:szCs w:val="22"/>
          <w:lang w:val="en-GB"/>
        </w:rPr>
        <w:t xml:space="preserve"> and </w:t>
      </w:r>
      <w:r w:rsidR="00F34765">
        <w:rPr>
          <w:sz w:val="22"/>
          <w:szCs w:val="22"/>
          <w:lang w:val="en-GB"/>
        </w:rPr>
        <w:t xml:space="preserve">their priority </w:t>
      </w:r>
      <w:r w:rsidR="005E6700" w:rsidRPr="00114815">
        <w:rPr>
          <w:sz w:val="22"/>
          <w:szCs w:val="22"/>
          <w:lang w:val="en-GB"/>
        </w:rPr>
        <w:t>use cases</w:t>
      </w:r>
      <w:r w:rsidR="00F34765">
        <w:rPr>
          <w:sz w:val="22"/>
          <w:szCs w:val="22"/>
          <w:lang w:val="en-GB"/>
        </w:rPr>
        <w:t xml:space="preserve"> </w:t>
      </w:r>
      <w:r w:rsidR="00DF3759">
        <w:rPr>
          <w:sz w:val="22"/>
          <w:szCs w:val="22"/>
          <w:lang w:val="en-GB"/>
        </w:rPr>
        <w:t xml:space="preserve"> </w:t>
      </w:r>
      <w:r w:rsidR="005E6700">
        <w:rPr>
          <w:sz w:val="22"/>
          <w:szCs w:val="22"/>
          <w:lang w:val="en-GB"/>
        </w:rPr>
        <w:t xml:space="preserve">framed the </w:t>
      </w:r>
      <w:r w:rsidR="00802FA7">
        <w:rPr>
          <w:sz w:val="22"/>
          <w:szCs w:val="22"/>
          <w:lang w:val="en-GB"/>
        </w:rPr>
        <w:t>agenda for the 2025 meeting</w:t>
      </w:r>
      <w:r w:rsidR="005E6700" w:rsidRPr="00114815">
        <w:rPr>
          <w:sz w:val="22"/>
          <w:szCs w:val="22"/>
          <w:lang w:val="en-GB"/>
        </w:rPr>
        <w:t>. </w:t>
      </w:r>
      <w:r w:rsidR="009F294C">
        <w:rPr>
          <w:sz w:val="22"/>
          <w:szCs w:val="22"/>
          <w:lang w:val="en-GB"/>
        </w:rPr>
        <w:t>M</w:t>
      </w:r>
      <w:r w:rsidR="00C12E0B" w:rsidRPr="00C12E0B">
        <w:rPr>
          <w:sz w:val="22"/>
          <w:szCs w:val="22"/>
          <w:lang w:val="en-GB"/>
        </w:rPr>
        <w:t xml:space="preserve">ore information </w:t>
      </w:r>
      <w:r w:rsidR="009F294C">
        <w:rPr>
          <w:sz w:val="22"/>
          <w:szCs w:val="22"/>
          <w:lang w:val="en-GB"/>
        </w:rPr>
        <w:t xml:space="preserve">about each pathogen and the presentation materials are available </w:t>
      </w:r>
      <w:r w:rsidR="00C12E0B" w:rsidRPr="00C12E0B">
        <w:rPr>
          <w:sz w:val="22"/>
          <w:szCs w:val="22"/>
          <w:lang w:val="en-GB"/>
        </w:rPr>
        <w:t>on the PDVAC website.</w:t>
      </w:r>
      <w:r w:rsidR="003A0050">
        <w:rPr>
          <w:rStyle w:val="EndnoteReference"/>
          <w:sz w:val="22"/>
          <w:szCs w:val="22"/>
          <w:lang w:val="en-GB"/>
        </w:rPr>
        <w:endnoteReference w:id="18"/>
      </w:r>
      <w:r w:rsidR="000731F6">
        <w:rPr>
          <w:sz w:val="22"/>
          <w:szCs w:val="22"/>
          <w:lang w:val="en-GB"/>
        </w:rPr>
        <w:t xml:space="preserve"> </w:t>
      </w:r>
    </w:p>
    <w:p w14:paraId="789059F4" w14:textId="3FA14AC3" w:rsidR="007A64BB" w:rsidRDefault="00BC0784" w:rsidP="00974547">
      <w:pPr>
        <w:jc w:val="both"/>
        <w:rPr>
          <w:sz w:val="22"/>
          <w:szCs w:val="22"/>
        </w:rPr>
      </w:pPr>
      <w:r w:rsidRPr="00BC0784">
        <w:rPr>
          <w:sz w:val="22"/>
          <w:szCs w:val="22"/>
        </w:rPr>
        <w:t xml:space="preserve">Pathogen-specific sessions varied in purpose according to the maturity of the field and the needs of the vaccine development pathway. Some sessions provided high-level updates on the status of vaccine development, while others </w:t>
      </w:r>
      <w:r w:rsidR="003C4A0B">
        <w:rPr>
          <w:sz w:val="22"/>
          <w:szCs w:val="22"/>
        </w:rPr>
        <w:t xml:space="preserve">provided more in-depth information on </w:t>
      </w:r>
      <w:r w:rsidR="003C4A0B" w:rsidRPr="00BC0784">
        <w:rPr>
          <w:sz w:val="22"/>
          <w:szCs w:val="22"/>
        </w:rPr>
        <w:t xml:space="preserve">epidemiology, public health need, and </w:t>
      </w:r>
      <w:r w:rsidRPr="00BC0784">
        <w:rPr>
          <w:sz w:val="22"/>
          <w:szCs w:val="22"/>
        </w:rPr>
        <w:t>enabled more discussion of scientific, regulatory, and policy challenges. Selected topics were presented for formal PDVAC review and recommendations to inform future WHO work, including research priorities, preferred product characteristics, and product development strategies.</w:t>
      </w:r>
    </w:p>
    <w:p w14:paraId="77C5245A" w14:textId="53DD1B5C" w:rsidR="007A64BB" w:rsidRPr="007A64BB" w:rsidRDefault="00244AAA" w:rsidP="00974547">
      <w:pPr>
        <w:jc w:val="both"/>
        <w:rPr>
          <w:rFonts w:asciiTheme="majorHAnsi" w:eastAsiaTheme="majorEastAsia" w:hAnsiTheme="majorHAnsi" w:cstheme="majorBidi"/>
          <w:color w:val="0F4761" w:themeColor="accent1" w:themeShade="BF"/>
          <w:sz w:val="28"/>
          <w:szCs w:val="28"/>
          <w:lang w:val="en-GB"/>
        </w:rPr>
      </w:pPr>
      <w:r>
        <w:rPr>
          <w:rFonts w:asciiTheme="majorHAnsi" w:eastAsiaTheme="majorEastAsia" w:hAnsiTheme="majorHAnsi" w:cstheme="majorBidi"/>
          <w:color w:val="0F4761" w:themeColor="accent1" w:themeShade="BF"/>
          <w:sz w:val="28"/>
          <w:szCs w:val="28"/>
          <w:lang w:val="en-GB"/>
        </w:rPr>
        <w:t>Pathogen u</w:t>
      </w:r>
      <w:r w:rsidR="007A64BB" w:rsidRPr="007A64BB">
        <w:rPr>
          <w:rFonts w:asciiTheme="majorHAnsi" w:eastAsiaTheme="majorEastAsia" w:hAnsiTheme="majorHAnsi" w:cstheme="majorBidi"/>
          <w:color w:val="0F4761" w:themeColor="accent1" w:themeShade="BF"/>
          <w:sz w:val="28"/>
          <w:szCs w:val="28"/>
          <w:lang w:val="en-GB"/>
        </w:rPr>
        <w:t>pdates for information and discussion</w:t>
      </w:r>
    </w:p>
    <w:p w14:paraId="45F79AB7" w14:textId="0C8F2197" w:rsidR="00850416" w:rsidRDefault="00D66063" w:rsidP="00974547">
      <w:pPr>
        <w:jc w:val="both"/>
        <w:rPr>
          <w:sz w:val="22"/>
          <w:szCs w:val="22"/>
          <w:lang w:val="en-GB"/>
        </w:rPr>
      </w:pPr>
      <w:r>
        <w:rPr>
          <w:sz w:val="22"/>
          <w:szCs w:val="22"/>
          <w:lang w:val="en-GB"/>
        </w:rPr>
        <w:t>High-level p</w:t>
      </w:r>
      <w:r w:rsidR="00DC1874">
        <w:rPr>
          <w:sz w:val="22"/>
          <w:szCs w:val="22"/>
          <w:lang w:val="en-GB"/>
        </w:rPr>
        <w:t xml:space="preserve">athogen-specific </w:t>
      </w:r>
      <w:r w:rsidR="00974547">
        <w:rPr>
          <w:sz w:val="22"/>
          <w:szCs w:val="22"/>
          <w:lang w:val="en-GB"/>
        </w:rPr>
        <w:t>updates</w:t>
      </w:r>
      <w:r w:rsidR="00A928FD">
        <w:rPr>
          <w:sz w:val="22"/>
          <w:szCs w:val="22"/>
          <w:lang w:val="en-GB"/>
        </w:rPr>
        <w:t xml:space="preserve"> of the priority </w:t>
      </w:r>
      <w:r w:rsidR="00401EAC">
        <w:rPr>
          <w:sz w:val="22"/>
          <w:szCs w:val="22"/>
          <w:lang w:val="en-GB"/>
        </w:rPr>
        <w:t xml:space="preserve">endemic </w:t>
      </w:r>
      <w:r w:rsidR="00A928FD">
        <w:rPr>
          <w:sz w:val="22"/>
          <w:szCs w:val="22"/>
          <w:lang w:val="en-GB"/>
        </w:rPr>
        <w:t>pathogens</w:t>
      </w:r>
      <w:r w:rsidR="00974547">
        <w:rPr>
          <w:sz w:val="22"/>
          <w:szCs w:val="22"/>
          <w:lang w:val="en-GB"/>
        </w:rPr>
        <w:t xml:space="preserve"> </w:t>
      </w:r>
      <w:r w:rsidR="000731F6">
        <w:rPr>
          <w:sz w:val="22"/>
          <w:szCs w:val="22"/>
          <w:lang w:val="en-GB"/>
        </w:rPr>
        <w:t>included:</w:t>
      </w:r>
    </w:p>
    <w:p w14:paraId="762175BE" w14:textId="260158C7" w:rsidR="00A923B6" w:rsidRDefault="00324B39" w:rsidP="00A923B6">
      <w:pPr>
        <w:pStyle w:val="ListParagraph"/>
        <w:numPr>
          <w:ilvl w:val="0"/>
          <w:numId w:val="12"/>
        </w:numPr>
        <w:jc w:val="both"/>
        <w:rPr>
          <w:sz w:val="22"/>
          <w:szCs w:val="22"/>
          <w:lang w:val="en-GB"/>
        </w:rPr>
      </w:pPr>
      <w:r w:rsidRPr="003D6EF5">
        <w:rPr>
          <w:b/>
          <w:bCs/>
          <w:color w:val="156082" w:themeColor="accent1"/>
          <w:sz w:val="22"/>
          <w:szCs w:val="22"/>
          <w:lang w:val="en-GB"/>
        </w:rPr>
        <w:t>Influenza:</w:t>
      </w:r>
      <w:r w:rsidRPr="003D6EF5">
        <w:rPr>
          <w:color w:val="156082" w:themeColor="accent1"/>
          <w:sz w:val="22"/>
          <w:szCs w:val="22"/>
          <w:lang w:val="en-GB"/>
        </w:rPr>
        <w:t xml:space="preserve"> </w:t>
      </w:r>
      <w:r w:rsidR="00DC1874">
        <w:rPr>
          <w:sz w:val="22"/>
          <w:szCs w:val="22"/>
          <w:lang w:val="en-GB"/>
        </w:rPr>
        <w:t xml:space="preserve">Results from </w:t>
      </w:r>
      <w:r w:rsidR="00FF5F60">
        <w:rPr>
          <w:sz w:val="22"/>
          <w:szCs w:val="22"/>
          <w:lang w:val="en-GB"/>
        </w:rPr>
        <w:t xml:space="preserve">two separate improved seasonal influenza Phase 3 vaccine trials, one from </w:t>
      </w:r>
      <w:r w:rsidR="00DC1874">
        <w:rPr>
          <w:sz w:val="22"/>
          <w:szCs w:val="22"/>
          <w:lang w:val="en-GB"/>
        </w:rPr>
        <w:t>Moderna</w:t>
      </w:r>
      <w:r w:rsidR="00DC1874">
        <w:rPr>
          <w:rStyle w:val="EndnoteReference"/>
          <w:sz w:val="22"/>
          <w:szCs w:val="22"/>
          <w:lang w:val="en-GB"/>
        </w:rPr>
        <w:endnoteReference w:id="19"/>
      </w:r>
      <w:r w:rsidR="00DC1874">
        <w:rPr>
          <w:sz w:val="22"/>
          <w:szCs w:val="22"/>
          <w:lang w:val="en-GB"/>
        </w:rPr>
        <w:t xml:space="preserve"> and </w:t>
      </w:r>
      <w:r w:rsidR="00FF5F60">
        <w:rPr>
          <w:sz w:val="22"/>
          <w:szCs w:val="22"/>
          <w:lang w:val="en-GB"/>
        </w:rPr>
        <w:t xml:space="preserve">one from </w:t>
      </w:r>
      <w:r w:rsidR="00DC1874">
        <w:rPr>
          <w:sz w:val="22"/>
          <w:szCs w:val="22"/>
          <w:lang w:val="en-GB"/>
        </w:rPr>
        <w:t>Pfizer</w:t>
      </w:r>
      <w:r w:rsidR="00DC1874">
        <w:rPr>
          <w:rStyle w:val="EndnoteReference"/>
          <w:sz w:val="22"/>
          <w:szCs w:val="22"/>
          <w:lang w:val="en-GB"/>
        </w:rPr>
        <w:endnoteReference w:id="20"/>
      </w:r>
      <w:r w:rsidR="00FF5F60">
        <w:rPr>
          <w:sz w:val="22"/>
          <w:szCs w:val="22"/>
          <w:lang w:val="en-GB"/>
        </w:rPr>
        <w:t>,</w:t>
      </w:r>
      <w:r w:rsidR="00DC1874">
        <w:rPr>
          <w:sz w:val="22"/>
          <w:szCs w:val="22"/>
          <w:lang w:val="en-GB"/>
        </w:rPr>
        <w:t xml:space="preserve"> </w:t>
      </w:r>
      <w:r w:rsidR="00A923B6">
        <w:rPr>
          <w:sz w:val="22"/>
          <w:szCs w:val="22"/>
          <w:lang w:val="en-GB"/>
        </w:rPr>
        <w:t>suggest</w:t>
      </w:r>
      <w:r w:rsidR="00DC1874">
        <w:rPr>
          <w:sz w:val="22"/>
          <w:szCs w:val="22"/>
          <w:lang w:val="en-GB"/>
        </w:rPr>
        <w:t xml:space="preserve"> </w:t>
      </w:r>
      <w:r w:rsidR="00FF5F60">
        <w:rPr>
          <w:sz w:val="22"/>
          <w:szCs w:val="22"/>
          <w:lang w:val="en-GB"/>
        </w:rPr>
        <w:t xml:space="preserve">each </w:t>
      </w:r>
      <w:r w:rsidR="00A923B6">
        <w:rPr>
          <w:sz w:val="22"/>
          <w:szCs w:val="22"/>
          <w:lang w:val="en-GB"/>
        </w:rPr>
        <w:t>ha</w:t>
      </w:r>
      <w:r w:rsidR="00FF5F60">
        <w:rPr>
          <w:sz w:val="22"/>
          <w:szCs w:val="22"/>
          <w:lang w:val="en-GB"/>
        </w:rPr>
        <w:t>s</w:t>
      </w:r>
      <w:r w:rsidR="00A923B6">
        <w:rPr>
          <w:sz w:val="22"/>
          <w:szCs w:val="22"/>
          <w:lang w:val="en-GB"/>
        </w:rPr>
        <w:t xml:space="preserve"> </w:t>
      </w:r>
      <w:r w:rsidR="00DC1874">
        <w:rPr>
          <w:sz w:val="22"/>
          <w:szCs w:val="22"/>
          <w:lang w:val="en-GB"/>
        </w:rPr>
        <w:t xml:space="preserve">respectively </w:t>
      </w:r>
      <w:r w:rsidR="00A923B6">
        <w:rPr>
          <w:sz w:val="22"/>
          <w:szCs w:val="22"/>
          <w:lang w:val="en-GB"/>
        </w:rPr>
        <w:t>demonstrated superiority over licensed standard-dose seasonal influenza vaccines. A</w:t>
      </w:r>
      <w:r w:rsidR="006468A0">
        <w:rPr>
          <w:sz w:val="22"/>
          <w:szCs w:val="22"/>
          <w:lang w:val="en-GB"/>
        </w:rPr>
        <w:t xml:space="preserve"> revised</w:t>
      </w:r>
      <w:r w:rsidR="00A923B6">
        <w:rPr>
          <w:sz w:val="22"/>
          <w:szCs w:val="22"/>
          <w:lang w:val="en-GB"/>
        </w:rPr>
        <w:t xml:space="preserve"> PPC for next-generation influenza vaccines has also been finalised</w:t>
      </w:r>
      <w:r w:rsidR="000624E3">
        <w:rPr>
          <w:sz w:val="22"/>
          <w:szCs w:val="22"/>
          <w:lang w:val="en-GB"/>
        </w:rPr>
        <w:t xml:space="preserve"> and published</w:t>
      </w:r>
      <w:r w:rsidR="00A923B6">
        <w:rPr>
          <w:sz w:val="22"/>
          <w:szCs w:val="22"/>
          <w:lang w:val="en-GB"/>
        </w:rPr>
        <w:t>.</w:t>
      </w:r>
      <w:r w:rsidR="009C4545">
        <w:rPr>
          <w:rStyle w:val="EndnoteReference"/>
          <w:sz w:val="22"/>
          <w:szCs w:val="22"/>
          <w:lang w:val="en-GB"/>
        </w:rPr>
        <w:endnoteReference w:id="21"/>
      </w:r>
      <w:r w:rsidR="00A923B6">
        <w:rPr>
          <w:sz w:val="22"/>
          <w:szCs w:val="22"/>
          <w:lang w:val="en-GB"/>
        </w:rPr>
        <w:t xml:space="preserve"> </w:t>
      </w:r>
    </w:p>
    <w:p w14:paraId="7CAEFD4B" w14:textId="77777777" w:rsidR="00A923B6" w:rsidRPr="00B713D9" w:rsidRDefault="00A923B6" w:rsidP="00A923B6">
      <w:pPr>
        <w:pStyle w:val="ListParagraph"/>
        <w:numPr>
          <w:ilvl w:val="1"/>
          <w:numId w:val="12"/>
        </w:numPr>
        <w:jc w:val="both"/>
        <w:rPr>
          <w:sz w:val="22"/>
          <w:szCs w:val="22"/>
          <w:lang w:val="en-GB"/>
        </w:rPr>
      </w:pPr>
      <w:r>
        <w:rPr>
          <w:i/>
          <w:iCs/>
          <w:sz w:val="22"/>
          <w:szCs w:val="22"/>
          <w:lang w:val="en-GB"/>
        </w:rPr>
        <w:t>Note: following the PDVAC meeting, the full results of the Pfizer trial were published in the New England Journal of Medicine</w:t>
      </w:r>
      <w:r>
        <w:rPr>
          <w:rStyle w:val="EndnoteReference"/>
          <w:i/>
          <w:iCs/>
          <w:sz w:val="22"/>
          <w:szCs w:val="22"/>
          <w:lang w:val="en-GB"/>
        </w:rPr>
        <w:endnoteReference w:id="22"/>
      </w:r>
      <w:r>
        <w:rPr>
          <w:i/>
          <w:iCs/>
          <w:sz w:val="22"/>
          <w:szCs w:val="22"/>
          <w:lang w:val="en-GB"/>
        </w:rPr>
        <w:t xml:space="preserve">. </w:t>
      </w:r>
    </w:p>
    <w:p w14:paraId="6F1B29C9" w14:textId="77777777" w:rsidR="00B713D9" w:rsidRDefault="00B713D9" w:rsidP="0089451E">
      <w:pPr>
        <w:pStyle w:val="ListParagraph"/>
        <w:ind w:left="1440"/>
        <w:jc w:val="both"/>
        <w:rPr>
          <w:sz w:val="22"/>
          <w:szCs w:val="22"/>
          <w:lang w:val="en-GB"/>
        </w:rPr>
      </w:pPr>
    </w:p>
    <w:p w14:paraId="4BC79E0E" w14:textId="4507DA63" w:rsidR="00324B39" w:rsidRDefault="00324B39" w:rsidP="00324B39">
      <w:pPr>
        <w:pStyle w:val="ListParagraph"/>
        <w:numPr>
          <w:ilvl w:val="0"/>
          <w:numId w:val="12"/>
        </w:numPr>
        <w:jc w:val="both"/>
        <w:rPr>
          <w:sz w:val="22"/>
          <w:szCs w:val="22"/>
          <w:lang w:val="en-GB"/>
        </w:rPr>
      </w:pPr>
      <w:r w:rsidRPr="003D6EF5">
        <w:rPr>
          <w:b/>
          <w:bCs/>
          <w:color w:val="156082" w:themeColor="accent1"/>
          <w:sz w:val="22"/>
          <w:szCs w:val="22"/>
          <w:lang w:val="en-GB"/>
        </w:rPr>
        <w:t>HIV:</w:t>
      </w:r>
      <w:r w:rsidRPr="003D6EF5">
        <w:rPr>
          <w:color w:val="156082" w:themeColor="accent1"/>
          <w:sz w:val="22"/>
          <w:szCs w:val="22"/>
          <w:lang w:val="en-GB"/>
        </w:rPr>
        <w:t xml:space="preserve"> </w:t>
      </w:r>
      <w:r w:rsidR="00FF5F60">
        <w:rPr>
          <w:sz w:val="22"/>
          <w:szCs w:val="22"/>
          <w:lang w:val="en-GB"/>
        </w:rPr>
        <w:t>Two b</w:t>
      </w:r>
      <w:r>
        <w:rPr>
          <w:sz w:val="22"/>
          <w:szCs w:val="22"/>
          <w:lang w:val="en-GB"/>
        </w:rPr>
        <w:t>roadly neutralizing antibodies (</w:t>
      </w:r>
      <w:proofErr w:type="spellStart"/>
      <w:r>
        <w:rPr>
          <w:sz w:val="22"/>
          <w:szCs w:val="22"/>
          <w:lang w:val="en-GB"/>
        </w:rPr>
        <w:t>bnAb</w:t>
      </w:r>
      <w:proofErr w:type="spellEnd"/>
      <w:r>
        <w:rPr>
          <w:sz w:val="22"/>
          <w:szCs w:val="22"/>
          <w:lang w:val="en-GB"/>
        </w:rPr>
        <w:t>)</w:t>
      </w:r>
      <w:r w:rsidR="00FF5F60">
        <w:rPr>
          <w:sz w:val="22"/>
          <w:szCs w:val="22"/>
          <w:lang w:val="en-GB"/>
        </w:rPr>
        <w:t xml:space="preserve"> c</w:t>
      </w:r>
      <w:r>
        <w:rPr>
          <w:sz w:val="22"/>
          <w:szCs w:val="22"/>
          <w:lang w:val="en-GB"/>
        </w:rPr>
        <w:t xml:space="preserve">andidates </w:t>
      </w:r>
      <w:r w:rsidR="00FF5F60">
        <w:rPr>
          <w:sz w:val="22"/>
          <w:szCs w:val="22"/>
          <w:lang w:val="en-GB"/>
        </w:rPr>
        <w:t>have progressed to Phase 2</w:t>
      </w:r>
      <w:r w:rsidR="004308AF">
        <w:rPr>
          <w:sz w:val="22"/>
          <w:szCs w:val="22"/>
          <w:lang w:val="en-GB"/>
        </w:rPr>
        <w:t xml:space="preserve">, </w:t>
      </w:r>
      <w:r w:rsidR="00FE3992">
        <w:rPr>
          <w:sz w:val="22"/>
          <w:szCs w:val="22"/>
          <w:lang w:val="en-GB"/>
        </w:rPr>
        <w:t>one to treat HIV</w:t>
      </w:r>
      <w:r w:rsidR="007908C2">
        <w:rPr>
          <w:rStyle w:val="EndnoteReference"/>
          <w:sz w:val="22"/>
          <w:szCs w:val="22"/>
          <w:lang w:val="en-GB"/>
        </w:rPr>
        <w:endnoteReference w:id="23"/>
      </w:r>
      <w:r w:rsidR="00FF5F60">
        <w:rPr>
          <w:sz w:val="22"/>
          <w:szCs w:val="22"/>
          <w:lang w:val="en-GB"/>
        </w:rPr>
        <w:t xml:space="preserve"> and the other to prevent it.</w:t>
      </w:r>
      <w:r w:rsidR="00795066">
        <w:rPr>
          <w:rStyle w:val="EndnoteReference"/>
          <w:sz w:val="22"/>
          <w:szCs w:val="22"/>
          <w:lang w:val="en-GB"/>
        </w:rPr>
        <w:endnoteReference w:id="24"/>
      </w:r>
      <w:r w:rsidR="00FF5F60">
        <w:rPr>
          <w:sz w:val="22"/>
          <w:szCs w:val="22"/>
          <w:lang w:val="en-GB"/>
        </w:rPr>
        <w:t xml:space="preserve"> </w:t>
      </w:r>
      <w:r>
        <w:rPr>
          <w:sz w:val="22"/>
          <w:szCs w:val="22"/>
          <w:lang w:val="en-GB"/>
        </w:rPr>
        <w:t xml:space="preserve">However, </w:t>
      </w:r>
      <w:r w:rsidR="00B81B28">
        <w:rPr>
          <w:sz w:val="22"/>
          <w:szCs w:val="22"/>
          <w:lang w:val="en-GB"/>
        </w:rPr>
        <w:t xml:space="preserve">the cost of </w:t>
      </w:r>
      <w:r>
        <w:rPr>
          <w:sz w:val="22"/>
          <w:szCs w:val="22"/>
          <w:lang w:val="en-GB"/>
        </w:rPr>
        <w:t xml:space="preserve">the long-acting antiretroviral </w:t>
      </w:r>
      <w:proofErr w:type="spellStart"/>
      <w:r>
        <w:rPr>
          <w:sz w:val="22"/>
          <w:szCs w:val="22"/>
          <w:lang w:val="en-GB"/>
        </w:rPr>
        <w:t>lenacapavir</w:t>
      </w:r>
      <w:proofErr w:type="spellEnd"/>
      <w:r>
        <w:rPr>
          <w:sz w:val="22"/>
          <w:szCs w:val="22"/>
          <w:lang w:val="en-GB"/>
        </w:rPr>
        <w:t xml:space="preserve"> </w:t>
      </w:r>
      <w:r w:rsidR="00D80A51" w:rsidRPr="2FA0A26F">
        <w:rPr>
          <w:sz w:val="22"/>
          <w:szCs w:val="22"/>
          <w:lang w:val="en-GB"/>
        </w:rPr>
        <w:t xml:space="preserve">is expected to fall to </w:t>
      </w:r>
      <w:r w:rsidR="00B81B28">
        <w:rPr>
          <w:sz w:val="22"/>
          <w:szCs w:val="22"/>
          <w:lang w:val="en-GB"/>
        </w:rPr>
        <w:t xml:space="preserve"> </w:t>
      </w:r>
      <w:r w:rsidRPr="00E650DF">
        <w:rPr>
          <w:sz w:val="22"/>
          <w:szCs w:val="22"/>
          <w:lang w:val="en-GB"/>
        </w:rPr>
        <w:t>$40 for a years’ supply</w:t>
      </w:r>
      <w:r w:rsidR="00E650DF" w:rsidRPr="51810E21">
        <w:rPr>
          <w:rStyle w:val="EndnoteReference"/>
          <w:lang w:val="en-GB"/>
        </w:rPr>
        <w:endnoteReference w:id="25"/>
      </w:r>
      <w:r>
        <w:rPr>
          <w:sz w:val="22"/>
          <w:szCs w:val="22"/>
          <w:lang w:val="en-GB"/>
        </w:rPr>
        <w:t xml:space="preserve"> in 120 LMICs from 2027, </w:t>
      </w:r>
      <w:r w:rsidR="00CA630C" w:rsidRPr="2FA0A26F">
        <w:rPr>
          <w:sz w:val="22"/>
          <w:szCs w:val="22"/>
          <w:lang w:val="en-GB"/>
        </w:rPr>
        <w:t xml:space="preserve">suggesting that </w:t>
      </w:r>
      <w:r w:rsidR="00B81B28">
        <w:rPr>
          <w:sz w:val="22"/>
          <w:szCs w:val="22"/>
          <w:lang w:val="en-GB"/>
        </w:rPr>
        <w:t xml:space="preserve">these antibodies </w:t>
      </w:r>
      <w:r w:rsidR="00127E90">
        <w:rPr>
          <w:sz w:val="22"/>
          <w:szCs w:val="22"/>
          <w:lang w:val="en-GB"/>
        </w:rPr>
        <w:t xml:space="preserve">serve </w:t>
      </w:r>
      <w:r w:rsidR="00B81B28">
        <w:rPr>
          <w:sz w:val="22"/>
          <w:szCs w:val="22"/>
          <w:lang w:val="en-GB"/>
        </w:rPr>
        <w:t xml:space="preserve">as a </w:t>
      </w:r>
      <w:r>
        <w:rPr>
          <w:sz w:val="22"/>
          <w:szCs w:val="22"/>
          <w:lang w:val="en-GB"/>
        </w:rPr>
        <w:t xml:space="preserve">marker of </w:t>
      </w:r>
      <w:r w:rsidR="00B81B28">
        <w:rPr>
          <w:sz w:val="22"/>
          <w:szCs w:val="22"/>
          <w:lang w:val="en-GB"/>
        </w:rPr>
        <w:t xml:space="preserve">progress in </w:t>
      </w:r>
      <w:r>
        <w:rPr>
          <w:sz w:val="22"/>
          <w:szCs w:val="22"/>
          <w:lang w:val="en-GB"/>
        </w:rPr>
        <w:t>immunization science, rather than a</w:t>
      </w:r>
      <w:r w:rsidR="009A01C0" w:rsidRPr="2FA0A26F">
        <w:rPr>
          <w:sz w:val="22"/>
          <w:szCs w:val="22"/>
          <w:lang w:val="en-GB"/>
        </w:rPr>
        <w:t>n affordable</w:t>
      </w:r>
      <w:r>
        <w:rPr>
          <w:sz w:val="22"/>
          <w:szCs w:val="22"/>
          <w:lang w:val="en-GB"/>
        </w:rPr>
        <w:t xml:space="preserve"> breakthrough in patient treatment</w:t>
      </w:r>
      <w:r w:rsidR="7D9D60E3">
        <w:rPr>
          <w:sz w:val="22"/>
          <w:szCs w:val="22"/>
          <w:lang w:val="en-GB"/>
        </w:rPr>
        <w:t xml:space="preserve"> and prevention</w:t>
      </w:r>
      <w:r>
        <w:rPr>
          <w:sz w:val="22"/>
          <w:szCs w:val="22"/>
          <w:lang w:val="en-GB"/>
        </w:rPr>
        <w:t xml:space="preserve"> options. </w:t>
      </w:r>
    </w:p>
    <w:p w14:paraId="41A40870" w14:textId="77777777" w:rsidR="00B713D9" w:rsidRDefault="00B713D9" w:rsidP="00B713D9">
      <w:pPr>
        <w:pStyle w:val="ListParagraph"/>
        <w:jc w:val="both"/>
        <w:rPr>
          <w:sz w:val="22"/>
          <w:szCs w:val="22"/>
          <w:lang w:val="en-GB"/>
        </w:rPr>
      </w:pPr>
    </w:p>
    <w:p w14:paraId="5062107B" w14:textId="0B0F689A" w:rsidR="00B713D9" w:rsidRPr="0089451E" w:rsidRDefault="00324B39" w:rsidP="0089451E">
      <w:pPr>
        <w:pStyle w:val="ListParagraph"/>
        <w:numPr>
          <w:ilvl w:val="0"/>
          <w:numId w:val="12"/>
        </w:numPr>
        <w:jc w:val="both"/>
        <w:rPr>
          <w:sz w:val="22"/>
          <w:szCs w:val="22"/>
          <w:lang w:val="en-GB"/>
        </w:rPr>
      </w:pPr>
      <w:r w:rsidRPr="003D6EF5">
        <w:rPr>
          <w:b/>
          <w:bCs/>
          <w:color w:val="156082" w:themeColor="accent1"/>
          <w:sz w:val="22"/>
          <w:szCs w:val="22"/>
          <w:lang w:val="en-GB"/>
        </w:rPr>
        <w:t>RSV:</w:t>
      </w:r>
      <w:r>
        <w:rPr>
          <w:sz w:val="22"/>
          <w:szCs w:val="22"/>
          <w:lang w:val="en-GB"/>
        </w:rPr>
        <w:t xml:space="preserve"> </w:t>
      </w:r>
      <w:r w:rsidR="009A01C0">
        <w:rPr>
          <w:sz w:val="22"/>
          <w:szCs w:val="22"/>
          <w:lang w:val="en-GB"/>
        </w:rPr>
        <w:t xml:space="preserve">In March 2025 the first maternal RSV vaccine, </w:t>
      </w:r>
      <w:r w:rsidR="009A01C0" w:rsidRPr="672747AD">
        <w:rPr>
          <w:sz w:val="22"/>
          <w:szCs w:val="22"/>
          <w:lang w:val="en-GB"/>
        </w:rPr>
        <w:t>ABRYSVO®</w:t>
      </w:r>
      <w:r w:rsidR="009A01C0">
        <w:rPr>
          <w:sz w:val="22"/>
          <w:szCs w:val="22"/>
          <w:lang w:val="en-GB"/>
        </w:rPr>
        <w:t>,</w:t>
      </w:r>
      <w:r w:rsidR="009A01C0" w:rsidRPr="001344F7">
        <w:rPr>
          <w:sz w:val="22"/>
          <w:szCs w:val="22"/>
          <w:lang w:val="en-GB"/>
        </w:rPr>
        <w:t xml:space="preserve"> </w:t>
      </w:r>
      <w:r w:rsidR="009A01C0">
        <w:rPr>
          <w:sz w:val="22"/>
          <w:szCs w:val="22"/>
          <w:lang w:val="en-GB"/>
        </w:rPr>
        <w:t xml:space="preserve">was </w:t>
      </w:r>
      <w:r w:rsidR="009A01C0" w:rsidRPr="008861A7">
        <w:rPr>
          <w:sz w:val="22"/>
          <w:szCs w:val="22"/>
          <w:lang w:val="en-GB"/>
        </w:rPr>
        <w:t>prequalified</w:t>
      </w:r>
      <w:r w:rsidR="009A01C0" w:rsidRPr="672747AD">
        <w:rPr>
          <w:rStyle w:val="EndnoteReference"/>
          <w:lang w:val="en-GB"/>
        </w:rPr>
        <w:endnoteReference w:id="26"/>
      </w:r>
      <w:r w:rsidR="009A01C0">
        <w:rPr>
          <w:sz w:val="22"/>
          <w:szCs w:val="22"/>
          <w:lang w:val="en-GB"/>
        </w:rPr>
        <w:t xml:space="preserve">  </w:t>
      </w:r>
      <w:r>
        <w:rPr>
          <w:sz w:val="22"/>
          <w:szCs w:val="22"/>
          <w:lang w:val="en-GB"/>
        </w:rPr>
        <w:t xml:space="preserve">In </w:t>
      </w:r>
      <w:r w:rsidR="0AA01B98">
        <w:rPr>
          <w:sz w:val="22"/>
          <w:szCs w:val="22"/>
          <w:lang w:val="en-GB"/>
        </w:rPr>
        <w:t xml:space="preserve">May </w:t>
      </w:r>
      <w:r>
        <w:rPr>
          <w:sz w:val="22"/>
          <w:szCs w:val="22"/>
          <w:lang w:val="en-GB"/>
        </w:rPr>
        <w:t xml:space="preserve">2025, the </w:t>
      </w:r>
      <w:r w:rsidRPr="00260544">
        <w:rPr>
          <w:sz w:val="22"/>
          <w:szCs w:val="22"/>
          <w:lang w:val="en-GB"/>
        </w:rPr>
        <w:t>WHO position paper</w:t>
      </w:r>
      <w:r w:rsidR="00D077D0" w:rsidRPr="672747AD">
        <w:rPr>
          <w:rStyle w:val="EndnoteReference"/>
          <w:lang w:val="en-GB"/>
        </w:rPr>
        <w:endnoteReference w:id="27"/>
      </w:r>
      <w:r>
        <w:rPr>
          <w:sz w:val="22"/>
          <w:szCs w:val="22"/>
          <w:lang w:val="en-GB"/>
        </w:rPr>
        <w:t xml:space="preserve"> on RSV was </w:t>
      </w:r>
      <w:r w:rsidR="3E7960B6">
        <w:rPr>
          <w:sz w:val="22"/>
          <w:szCs w:val="22"/>
          <w:lang w:val="en-GB"/>
        </w:rPr>
        <w:t>published, recommending that all cou</w:t>
      </w:r>
      <w:r w:rsidR="009A01C0">
        <w:rPr>
          <w:sz w:val="22"/>
          <w:szCs w:val="22"/>
          <w:lang w:val="en-GB"/>
        </w:rPr>
        <w:t>nt</w:t>
      </w:r>
      <w:r w:rsidR="3E7960B6">
        <w:rPr>
          <w:sz w:val="22"/>
          <w:szCs w:val="22"/>
          <w:lang w:val="en-GB"/>
        </w:rPr>
        <w:t>ries introduce RSV immunization products to p</w:t>
      </w:r>
      <w:r w:rsidR="009A01C0">
        <w:rPr>
          <w:sz w:val="22"/>
          <w:szCs w:val="22"/>
          <w:lang w:val="en-GB"/>
        </w:rPr>
        <w:t>r</w:t>
      </w:r>
      <w:r w:rsidR="3E7960B6">
        <w:rPr>
          <w:sz w:val="22"/>
          <w:szCs w:val="22"/>
          <w:lang w:val="en-GB"/>
        </w:rPr>
        <w:t xml:space="preserve">otect infants. </w:t>
      </w:r>
      <w:r w:rsidR="57974BAD">
        <w:rPr>
          <w:sz w:val="22"/>
          <w:szCs w:val="22"/>
          <w:lang w:val="en-GB"/>
        </w:rPr>
        <w:t>At the time of the</w:t>
      </w:r>
      <w:r w:rsidR="009F1862">
        <w:rPr>
          <w:sz w:val="22"/>
          <w:szCs w:val="22"/>
          <w:lang w:val="en-GB"/>
        </w:rPr>
        <w:t xml:space="preserve"> PDVAC</w:t>
      </w:r>
      <w:r w:rsidR="57974BAD">
        <w:rPr>
          <w:sz w:val="22"/>
          <w:szCs w:val="22"/>
          <w:lang w:val="en-GB"/>
        </w:rPr>
        <w:t xml:space="preserve"> meeting </w:t>
      </w:r>
      <w:r w:rsidR="5C6E8146" w:rsidRPr="672747AD">
        <w:rPr>
          <w:sz w:val="22"/>
          <w:szCs w:val="22"/>
          <w:lang w:val="en-GB"/>
        </w:rPr>
        <w:t>over 70</w:t>
      </w:r>
      <w:r w:rsidR="5C6E8146">
        <w:rPr>
          <w:sz w:val="22"/>
          <w:szCs w:val="22"/>
          <w:lang w:val="en-GB"/>
        </w:rPr>
        <w:t xml:space="preserve"> national regulatory authorities</w:t>
      </w:r>
      <w:r>
        <w:rPr>
          <w:sz w:val="22"/>
          <w:szCs w:val="22"/>
          <w:lang w:val="en-GB"/>
        </w:rPr>
        <w:t xml:space="preserve"> h</w:t>
      </w:r>
      <w:r w:rsidR="6381E361" w:rsidRPr="672747AD">
        <w:rPr>
          <w:sz w:val="22"/>
          <w:szCs w:val="22"/>
          <w:lang w:val="en-GB"/>
        </w:rPr>
        <w:t>ad</w:t>
      </w:r>
      <w:r>
        <w:rPr>
          <w:sz w:val="22"/>
          <w:szCs w:val="22"/>
          <w:lang w:val="en-GB"/>
        </w:rPr>
        <w:t xml:space="preserve"> licensed either RSV maternal vaccines or RSV monoclonal antibodies, or both, and</w:t>
      </w:r>
      <w:r w:rsidR="4FB22F2E">
        <w:rPr>
          <w:sz w:val="22"/>
          <w:szCs w:val="22"/>
          <w:lang w:val="en-GB"/>
        </w:rPr>
        <w:t xml:space="preserve"> several high-income and upper-middle income </w:t>
      </w:r>
      <w:r w:rsidR="00CD2B16">
        <w:rPr>
          <w:sz w:val="22"/>
          <w:szCs w:val="22"/>
          <w:lang w:val="en-GB"/>
        </w:rPr>
        <w:t>countries</w:t>
      </w:r>
      <w:r w:rsidR="4FB22F2E">
        <w:rPr>
          <w:sz w:val="22"/>
          <w:szCs w:val="22"/>
          <w:lang w:val="en-GB"/>
        </w:rPr>
        <w:t xml:space="preserve"> ha</w:t>
      </w:r>
      <w:r w:rsidR="001A1668">
        <w:rPr>
          <w:sz w:val="22"/>
          <w:szCs w:val="22"/>
          <w:lang w:val="en-GB"/>
        </w:rPr>
        <w:t>d</w:t>
      </w:r>
      <w:r w:rsidR="4FB22F2E">
        <w:rPr>
          <w:sz w:val="22"/>
          <w:szCs w:val="22"/>
          <w:lang w:val="en-GB"/>
        </w:rPr>
        <w:t xml:space="preserve"> introduced these products into their routin</w:t>
      </w:r>
      <w:r w:rsidR="00CD2B16">
        <w:rPr>
          <w:sz w:val="22"/>
          <w:szCs w:val="22"/>
          <w:lang w:val="en-GB"/>
        </w:rPr>
        <w:t>e</w:t>
      </w:r>
      <w:r w:rsidR="4FB22F2E">
        <w:rPr>
          <w:sz w:val="22"/>
          <w:szCs w:val="22"/>
          <w:lang w:val="en-GB"/>
        </w:rPr>
        <w:t xml:space="preserve"> immunization programme. In addition, in July 2025, the</w:t>
      </w:r>
      <w:r>
        <w:rPr>
          <w:sz w:val="22"/>
          <w:szCs w:val="22"/>
          <w:lang w:val="en-GB"/>
        </w:rPr>
        <w:t xml:space="preserve"> Gavi</w:t>
      </w:r>
      <w:r w:rsidR="0146A793">
        <w:rPr>
          <w:sz w:val="22"/>
          <w:szCs w:val="22"/>
          <w:lang w:val="en-GB"/>
        </w:rPr>
        <w:t xml:space="preserve"> board</w:t>
      </w:r>
      <w:r>
        <w:rPr>
          <w:sz w:val="22"/>
          <w:szCs w:val="22"/>
          <w:lang w:val="en-GB"/>
        </w:rPr>
        <w:t xml:space="preserve"> approved an RSV maternal immunization programme</w:t>
      </w:r>
      <w:r w:rsidR="000B3331">
        <w:rPr>
          <w:sz w:val="22"/>
          <w:szCs w:val="22"/>
          <w:lang w:val="en-GB"/>
        </w:rPr>
        <w:t>,</w:t>
      </w:r>
      <w:r w:rsidR="000B3331">
        <w:rPr>
          <w:rStyle w:val="EndnoteReference"/>
          <w:sz w:val="22"/>
          <w:szCs w:val="22"/>
          <w:lang w:val="en-GB"/>
        </w:rPr>
        <w:endnoteReference w:id="28"/>
      </w:r>
      <w:r>
        <w:rPr>
          <w:sz w:val="22"/>
          <w:szCs w:val="22"/>
          <w:lang w:val="en-GB"/>
        </w:rPr>
        <w:t xml:space="preserve"> with country introductions expected to start in 2028</w:t>
      </w:r>
      <w:r w:rsidR="007006B4">
        <w:rPr>
          <w:sz w:val="22"/>
          <w:szCs w:val="22"/>
          <w:lang w:val="en-GB"/>
        </w:rPr>
        <w:t>.</w:t>
      </w:r>
      <w:r w:rsidR="00421698">
        <w:rPr>
          <w:sz w:val="22"/>
          <w:szCs w:val="22"/>
          <w:lang w:val="en-GB"/>
        </w:rPr>
        <w:t xml:space="preserve"> </w:t>
      </w:r>
      <w:r w:rsidR="00421698" w:rsidRPr="00421698">
        <w:rPr>
          <w:sz w:val="22"/>
          <w:szCs w:val="22"/>
        </w:rPr>
        <w:t xml:space="preserve">However, as the </w:t>
      </w:r>
      <w:r w:rsidR="00421698">
        <w:rPr>
          <w:sz w:val="22"/>
          <w:szCs w:val="22"/>
        </w:rPr>
        <w:t xml:space="preserve">RSV </w:t>
      </w:r>
      <w:proofErr w:type="spellStart"/>
      <w:r w:rsidR="00421698" w:rsidRPr="00421698">
        <w:rPr>
          <w:sz w:val="22"/>
          <w:szCs w:val="22"/>
        </w:rPr>
        <w:t>programme</w:t>
      </w:r>
      <w:proofErr w:type="spellEnd"/>
      <w:r w:rsidR="00421698" w:rsidRPr="00421698">
        <w:rPr>
          <w:sz w:val="22"/>
          <w:szCs w:val="22"/>
        </w:rPr>
        <w:t xml:space="preserve"> is included among Gavi's discretionary budget options, implementation may be constrained by available funding, potentially limiting the number of countries able to introduce the vaccine in the near term.</w:t>
      </w:r>
      <w:r w:rsidR="007006B4">
        <w:rPr>
          <w:sz w:val="22"/>
          <w:szCs w:val="22"/>
          <w:lang w:val="en-GB"/>
        </w:rPr>
        <w:t xml:space="preserve"> </w:t>
      </w:r>
    </w:p>
    <w:p w14:paraId="73D1BD8F" w14:textId="77777777" w:rsidR="00B713D9" w:rsidRDefault="00B713D9" w:rsidP="00B713D9">
      <w:pPr>
        <w:pStyle w:val="ListParagraph"/>
        <w:jc w:val="both"/>
        <w:rPr>
          <w:sz w:val="22"/>
          <w:szCs w:val="22"/>
          <w:lang w:val="en-GB"/>
        </w:rPr>
      </w:pPr>
    </w:p>
    <w:p w14:paraId="36F12959" w14:textId="78B97578" w:rsidR="00D83E56" w:rsidRDefault="036B535C" w:rsidP="17D943AB">
      <w:pPr>
        <w:pStyle w:val="ListParagraph"/>
        <w:numPr>
          <w:ilvl w:val="0"/>
          <w:numId w:val="12"/>
        </w:numPr>
        <w:jc w:val="both"/>
        <w:rPr>
          <w:sz w:val="22"/>
          <w:szCs w:val="22"/>
        </w:rPr>
      </w:pPr>
      <w:r w:rsidRPr="003D6EF5">
        <w:rPr>
          <w:b/>
          <w:bCs/>
          <w:color w:val="156082" w:themeColor="accent1"/>
          <w:sz w:val="22"/>
          <w:szCs w:val="22"/>
        </w:rPr>
        <w:t>Invasive Non-Typhoidal Salmonella (</w:t>
      </w:r>
      <w:proofErr w:type="spellStart"/>
      <w:r w:rsidRPr="003D6EF5">
        <w:rPr>
          <w:b/>
          <w:bCs/>
          <w:color w:val="156082" w:themeColor="accent1"/>
          <w:sz w:val="22"/>
          <w:szCs w:val="22"/>
        </w:rPr>
        <w:t>iNTS</w:t>
      </w:r>
      <w:proofErr w:type="spellEnd"/>
      <w:r w:rsidRPr="003D6EF5">
        <w:rPr>
          <w:b/>
          <w:bCs/>
          <w:color w:val="156082" w:themeColor="accent1"/>
          <w:sz w:val="22"/>
          <w:szCs w:val="22"/>
        </w:rPr>
        <w:t>)</w:t>
      </w:r>
      <w:r w:rsidRPr="003D6EF5">
        <w:rPr>
          <w:color w:val="156082" w:themeColor="accent1"/>
          <w:sz w:val="22"/>
          <w:szCs w:val="22"/>
        </w:rPr>
        <w:t xml:space="preserve">: </w:t>
      </w:r>
      <w:r w:rsidRPr="17D943AB">
        <w:rPr>
          <w:sz w:val="22"/>
          <w:szCs w:val="22"/>
        </w:rPr>
        <w:t xml:space="preserve">Three </w:t>
      </w:r>
      <w:r w:rsidR="706ACC1C" w:rsidRPr="17D943AB">
        <w:rPr>
          <w:sz w:val="22"/>
          <w:szCs w:val="22"/>
        </w:rPr>
        <w:t>vaccines</w:t>
      </w:r>
      <w:r w:rsidR="706ACC1C" w:rsidRPr="28429A3C">
        <w:rPr>
          <w:sz w:val="22"/>
          <w:szCs w:val="22"/>
        </w:rPr>
        <w:t xml:space="preserve"> are </w:t>
      </w:r>
      <w:r w:rsidRPr="17D943AB">
        <w:rPr>
          <w:sz w:val="22"/>
          <w:szCs w:val="22"/>
        </w:rPr>
        <w:t>under development</w:t>
      </w:r>
      <w:r w:rsidR="706ACC1C" w:rsidRPr="17D943AB">
        <w:rPr>
          <w:sz w:val="22"/>
          <w:szCs w:val="22"/>
        </w:rPr>
        <w:t>:</w:t>
      </w:r>
      <w:r w:rsidRPr="17D943AB">
        <w:rPr>
          <w:sz w:val="22"/>
          <w:szCs w:val="22"/>
        </w:rPr>
        <w:t xml:space="preserve"> two are conjugates</w:t>
      </w:r>
      <w:r w:rsidR="00AC0751" w:rsidRPr="17D943AB">
        <w:rPr>
          <w:rStyle w:val="EndnoteReference"/>
          <w:sz w:val="22"/>
          <w:szCs w:val="22"/>
        </w:rPr>
        <w:endnoteReference w:id="29"/>
      </w:r>
      <w:r w:rsidR="1728C06F" w:rsidRPr="17D943AB">
        <w:rPr>
          <w:sz w:val="22"/>
          <w:szCs w:val="22"/>
        </w:rPr>
        <w:t>,</w:t>
      </w:r>
      <w:r w:rsidR="00B63FA9" w:rsidRPr="17D943AB">
        <w:rPr>
          <w:rStyle w:val="EndnoteReference"/>
          <w:sz w:val="22"/>
          <w:szCs w:val="22"/>
        </w:rPr>
        <w:endnoteReference w:id="30"/>
      </w:r>
      <w:r w:rsidRPr="17D943AB">
        <w:rPr>
          <w:sz w:val="22"/>
          <w:szCs w:val="22"/>
        </w:rPr>
        <w:t xml:space="preserve"> and one is based on </w:t>
      </w:r>
      <w:r w:rsidR="002B7681">
        <w:rPr>
          <w:sz w:val="22"/>
          <w:szCs w:val="22"/>
        </w:rPr>
        <w:t xml:space="preserve">a platform known as </w:t>
      </w:r>
      <w:r w:rsidR="00435925" w:rsidRPr="00435925">
        <w:rPr>
          <w:sz w:val="22"/>
          <w:szCs w:val="22"/>
        </w:rPr>
        <w:t xml:space="preserve">Generalized Modules for Membrane Antigens </w:t>
      </w:r>
      <w:r w:rsidR="002B7681">
        <w:rPr>
          <w:sz w:val="22"/>
          <w:szCs w:val="22"/>
        </w:rPr>
        <w:t>(</w:t>
      </w:r>
      <w:r w:rsidRPr="17D943AB">
        <w:rPr>
          <w:sz w:val="22"/>
          <w:szCs w:val="22"/>
        </w:rPr>
        <w:t>G</w:t>
      </w:r>
      <w:r w:rsidR="554B8CD9" w:rsidRPr="17D943AB">
        <w:rPr>
          <w:sz w:val="22"/>
          <w:szCs w:val="22"/>
        </w:rPr>
        <w:t>M</w:t>
      </w:r>
      <w:r w:rsidRPr="17D943AB">
        <w:rPr>
          <w:sz w:val="22"/>
          <w:szCs w:val="22"/>
        </w:rPr>
        <w:t>MA</w:t>
      </w:r>
      <w:r w:rsidR="002B7681">
        <w:rPr>
          <w:sz w:val="22"/>
          <w:szCs w:val="22"/>
        </w:rPr>
        <w:t>)</w:t>
      </w:r>
      <w:r w:rsidRPr="17D943AB">
        <w:rPr>
          <w:sz w:val="22"/>
          <w:szCs w:val="22"/>
        </w:rPr>
        <w:t>.</w:t>
      </w:r>
      <w:r w:rsidR="00314FDF" w:rsidRPr="17D943AB">
        <w:rPr>
          <w:rStyle w:val="EndnoteReference"/>
          <w:sz w:val="22"/>
          <w:szCs w:val="22"/>
        </w:rPr>
        <w:endnoteReference w:id="31"/>
      </w:r>
      <w:r w:rsidRPr="17D943AB">
        <w:rPr>
          <w:sz w:val="22"/>
          <w:szCs w:val="22"/>
        </w:rPr>
        <w:t xml:space="preserve"> The </w:t>
      </w:r>
      <w:r w:rsidR="706ACC1C" w:rsidRPr="17D943AB">
        <w:rPr>
          <w:sz w:val="22"/>
          <w:szCs w:val="22"/>
        </w:rPr>
        <w:t>controlled human infection model (</w:t>
      </w:r>
      <w:r w:rsidRPr="17D943AB">
        <w:rPr>
          <w:sz w:val="22"/>
          <w:szCs w:val="22"/>
        </w:rPr>
        <w:t>CHIM</w:t>
      </w:r>
      <w:r w:rsidR="706ACC1C" w:rsidRPr="17D943AB">
        <w:rPr>
          <w:sz w:val="22"/>
          <w:szCs w:val="22"/>
        </w:rPr>
        <w:t>)</w:t>
      </w:r>
      <w:r w:rsidRPr="17D943AB">
        <w:rPr>
          <w:sz w:val="22"/>
          <w:szCs w:val="22"/>
        </w:rPr>
        <w:t xml:space="preserve"> has been established for both </w:t>
      </w:r>
      <w:r w:rsidR="413A5B78" w:rsidRPr="17D943AB">
        <w:rPr>
          <w:sz w:val="22"/>
          <w:szCs w:val="22"/>
        </w:rPr>
        <w:t xml:space="preserve">subspecies </w:t>
      </w:r>
      <w:r w:rsidR="1F2B27A3" w:rsidRPr="17D943AB">
        <w:rPr>
          <w:sz w:val="22"/>
          <w:szCs w:val="22"/>
        </w:rPr>
        <w:t>(</w:t>
      </w:r>
      <w:r w:rsidR="413A5B78" w:rsidRPr="17D943AB">
        <w:rPr>
          <w:sz w:val="22"/>
          <w:szCs w:val="22"/>
        </w:rPr>
        <w:t>E</w:t>
      </w:r>
      <w:r w:rsidR="1F2B27A3" w:rsidRPr="17D943AB">
        <w:rPr>
          <w:sz w:val="22"/>
          <w:szCs w:val="22"/>
        </w:rPr>
        <w:t xml:space="preserve">nteritidis or </w:t>
      </w:r>
      <w:r w:rsidR="413A5B78" w:rsidRPr="17D943AB">
        <w:rPr>
          <w:sz w:val="22"/>
          <w:szCs w:val="22"/>
        </w:rPr>
        <w:t>T</w:t>
      </w:r>
      <w:r w:rsidR="1F2B27A3" w:rsidRPr="17D943AB">
        <w:rPr>
          <w:sz w:val="22"/>
          <w:szCs w:val="22"/>
        </w:rPr>
        <w:t>yphimurium)</w:t>
      </w:r>
      <w:r w:rsidRPr="17D943AB">
        <w:rPr>
          <w:sz w:val="22"/>
          <w:szCs w:val="22"/>
        </w:rPr>
        <w:t xml:space="preserve">. </w:t>
      </w:r>
      <w:r w:rsidR="007C05F1" w:rsidRPr="007C05F1">
        <w:rPr>
          <w:sz w:val="22"/>
          <w:szCs w:val="22"/>
        </w:rPr>
        <w:t>There is increasing interest in evaluating these candidates in combination strategies with TCV</w:t>
      </w:r>
    </w:p>
    <w:p w14:paraId="02718595" w14:textId="77777777" w:rsidR="00B713D9" w:rsidRDefault="00B713D9" w:rsidP="00B713D9">
      <w:pPr>
        <w:pStyle w:val="ListParagraph"/>
        <w:jc w:val="both"/>
        <w:rPr>
          <w:sz w:val="22"/>
          <w:szCs w:val="22"/>
        </w:rPr>
      </w:pPr>
    </w:p>
    <w:p w14:paraId="5A81592B" w14:textId="595981F7" w:rsidR="0089451E" w:rsidRPr="0089451E" w:rsidRDefault="005418F1" w:rsidP="0089451E">
      <w:pPr>
        <w:pStyle w:val="ListParagraph"/>
        <w:numPr>
          <w:ilvl w:val="0"/>
          <w:numId w:val="12"/>
        </w:numPr>
        <w:jc w:val="both"/>
        <w:rPr>
          <w:sz w:val="22"/>
          <w:szCs w:val="22"/>
          <w:lang w:val="en-GB"/>
        </w:rPr>
      </w:pPr>
      <w:r w:rsidRPr="003D6EF5">
        <w:rPr>
          <w:b/>
          <w:bCs/>
          <w:i/>
          <w:iCs/>
          <w:color w:val="156082" w:themeColor="accent1"/>
          <w:sz w:val="22"/>
          <w:szCs w:val="22"/>
          <w:lang w:val="en-GB"/>
        </w:rPr>
        <w:t>Klebsiella:</w:t>
      </w:r>
      <w:r>
        <w:rPr>
          <w:sz w:val="22"/>
          <w:szCs w:val="22"/>
          <w:lang w:val="en-GB"/>
        </w:rPr>
        <w:t xml:space="preserve"> </w:t>
      </w:r>
      <w:r w:rsidR="00324B39">
        <w:rPr>
          <w:sz w:val="22"/>
          <w:szCs w:val="22"/>
          <w:lang w:val="en-GB"/>
        </w:rPr>
        <w:t>A</w:t>
      </w:r>
      <w:r w:rsidR="002B7681">
        <w:rPr>
          <w:sz w:val="22"/>
          <w:szCs w:val="22"/>
          <w:lang w:val="en-GB"/>
        </w:rPr>
        <w:t xml:space="preserve"> WHO</w:t>
      </w:r>
      <w:r w:rsidR="00324B39">
        <w:rPr>
          <w:sz w:val="22"/>
          <w:szCs w:val="22"/>
          <w:lang w:val="en-GB"/>
        </w:rPr>
        <w:t xml:space="preserve"> technical advisory group for the development of a </w:t>
      </w:r>
      <w:r w:rsidR="00324B39" w:rsidRPr="00135AA8">
        <w:rPr>
          <w:i/>
          <w:iCs/>
          <w:sz w:val="22"/>
          <w:szCs w:val="22"/>
          <w:lang w:val="en-GB"/>
        </w:rPr>
        <w:t>Klebsiella</w:t>
      </w:r>
      <w:r w:rsidR="00324B39">
        <w:rPr>
          <w:sz w:val="22"/>
          <w:szCs w:val="22"/>
          <w:lang w:val="en-GB"/>
        </w:rPr>
        <w:t xml:space="preserve"> </w:t>
      </w:r>
      <w:r w:rsidR="00324B39" w:rsidRPr="0082136A">
        <w:rPr>
          <w:i/>
          <w:iCs/>
          <w:sz w:val="22"/>
          <w:szCs w:val="22"/>
          <w:lang w:val="en-GB"/>
        </w:rPr>
        <w:t>pneumoniae</w:t>
      </w:r>
      <w:r w:rsidR="00324B39">
        <w:rPr>
          <w:sz w:val="22"/>
          <w:szCs w:val="22"/>
          <w:lang w:val="en-GB"/>
        </w:rPr>
        <w:t xml:space="preserve"> vaccine has been established,</w:t>
      </w:r>
      <w:r w:rsidR="00270146">
        <w:rPr>
          <w:rStyle w:val="EndnoteReference"/>
          <w:sz w:val="22"/>
          <w:szCs w:val="22"/>
          <w:lang w:val="en-GB"/>
        </w:rPr>
        <w:endnoteReference w:id="32"/>
      </w:r>
      <w:r w:rsidR="00324B39">
        <w:rPr>
          <w:sz w:val="22"/>
          <w:szCs w:val="22"/>
          <w:lang w:val="en-GB"/>
        </w:rPr>
        <w:t xml:space="preserve"> and the University of Witwatersrand </w:t>
      </w:r>
      <w:r w:rsidR="00AE0414">
        <w:rPr>
          <w:sz w:val="22"/>
          <w:szCs w:val="22"/>
          <w:lang w:val="en-GB"/>
        </w:rPr>
        <w:t xml:space="preserve">has been commissioned by WHO to </w:t>
      </w:r>
      <w:r w:rsidR="00324B39">
        <w:rPr>
          <w:sz w:val="22"/>
          <w:szCs w:val="22"/>
          <w:lang w:val="en-GB"/>
        </w:rPr>
        <w:t xml:space="preserve">develop a </w:t>
      </w:r>
      <w:r w:rsidR="00AE0414">
        <w:rPr>
          <w:sz w:val="22"/>
          <w:szCs w:val="22"/>
          <w:lang w:val="en-GB"/>
        </w:rPr>
        <w:t xml:space="preserve">R&amp;D </w:t>
      </w:r>
      <w:r w:rsidR="00324B39">
        <w:rPr>
          <w:sz w:val="22"/>
          <w:szCs w:val="22"/>
          <w:lang w:val="en-GB"/>
        </w:rPr>
        <w:t xml:space="preserve">roadmap for vaccines against </w:t>
      </w:r>
      <w:r w:rsidR="00324B39" w:rsidRPr="00BB71E1">
        <w:rPr>
          <w:i/>
          <w:iCs/>
          <w:sz w:val="22"/>
          <w:szCs w:val="22"/>
          <w:lang w:val="en-GB"/>
        </w:rPr>
        <w:t>K. pneumoniae</w:t>
      </w:r>
      <w:r w:rsidR="00324B39">
        <w:rPr>
          <w:i/>
          <w:iCs/>
          <w:sz w:val="22"/>
          <w:szCs w:val="22"/>
          <w:lang w:val="en-GB"/>
        </w:rPr>
        <w:t>.</w:t>
      </w:r>
    </w:p>
    <w:p w14:paraId="4C43A798" w14:textId="77777777" w:rsidR="0089451E" w:rsidRPr="0089451E" w:rsidRDefault="0089451E" w:rsidP="0089451E">
      <w:pPr>
        <w:pStyle w:val="ListParagraph"/>
        <w:jc w:val="both"/>
        <w:rPr>
          <w:sz w:val="22"/>
          <w:szCs w:val="22"/>
          <w:lang w:val="en-GB"/>
        </w:rPr>
      </w:pPr>
    </w:p>
    <w:p w14:paraId="4994D7C3" w14:textId="1CAA605F" w:rsidR="0089451E" w:rsidRPr="0089451E" w:rsidRDefault="73939F3A" w:rsidP="0089451E">
      <w:pPr>
        <w:pStyle w:val="ListParagraph"/>
        <w:numPr>
          <w:ilvl w:val="0"/>
          <w:numId w:val="12"/>
        </w:numPr>
        <w:jc w:val="both"/>
        <w:rPr>
          <w:sz w:val="22"/>
          <w:szCs w:val="22"/>
          <w:lang w:val="en-GB"/>
        </w:rPr>
      </w:pPr>
      <w:r w:rsidRPr="003D6EF5">
        <w:rPr>
          <w:b/>
          <w:bCs/>
          <w:color w:val="156082" w:themeColor="accent1"/>
          <w:sz w:val="22"/>
          <w:szCs w:val="22"/>
          <w:lang w:val="en-GB"/>
        </w:rPr>
        <w:t>Group A Strep</w:t>
      </w:r>
      <w:r w:rsidR="1C0D01D1" w:rsidRPr="003D6EF5">
        <w:rPr>
          <w:b/>
          <w:bCs/>
          <w:color w:val="156082" w:themeColor="accent1"/>
          <w:sz w:val="22"/>
          <w:szCs w:val="22"/>
          <w:lang w:val="en-GB"/>
        </w:rPr>
        <w:t>tococcus (GAS)</w:t>
      </w:r>
      <w:r w:rsidRPr="003D6EF5">
        <w:rPr>
          <w:color w:val="156082" w:themeColor="accent1"/>
          <w:sz w:val="22"/>
          <w:szCs w:val="22"/>
          <w:lang w:val="en-GB"/>
        </w:rPr>
        <w:t>:</w:t>
      </w:r>
      <w:r>
        <w:rPr>
          <w:sz w:val="22"/>
          <w:szCs w:val="22"/>
          <w:lang w:val="en-GB"/>
        </w:rPr>
        <w:t xml:space="preserve"> </w:t>
      </w:r>
      <w:r w:rsidR="1C0D01D1">
        <w:rPr>
          <w:sz w:val="22"/>
          <w:szCs w:val="22"/>
          <w:lang w:val="en-GB"/>
        </w:rPr>
        <w:t xml:space="preserve">Early-stage clinical development is active, with </w:t>
      </w:r>
      <w:r>
        <w:rPr>
          <w:sz w:val="22"/>
          <w:szCs w:val="22"/>
          <w:lang w:val="en-GB"/>
        </w:rPr>
        <w:t>three M-protein vaccine</w:t>
      </w:r>
      <w:r w:rsidR="1C0D01D1">
        <w:rPr>
          <w:sz w:val="22"/>
          <w:szCs w:val="22"/>
          <w:lang w:val="en-GB"/>
        </w:rPr>
        <w:t>s</w:t>
      </w:r>
      <w:r>
        <w:rPr>
          <w:sz w:val="22"/>
          <w:szCs w:val="22"/>
          <w:lang w:val="en-GB"/>
        </w:rPr>
        <w:t xml:space="preserve"> in Phase 1</w:t>
      </w:r>
      <w:r w:rsidR="1C0D01D1">
        <w:rPr>
          <w:sz w:val="22"/>
          <w:szCs w:val="22"/>
          <w:lang w:val="en-GB"/>
        </w:rPr>
        <w:t xml:space="preserve">. </w:t>
      </w:r>
      <w:r w:rsidR="7A049A89" w:rsidRPr="7B819807">
        <w:rPr>
          <w:sz w:val="22"/>
          <w:szCs w:val="22"/>
          <w:lang w:val="en-GB"/>
        </w:rPr>
        <w:t>Revisions</w:t>
      </w:r>
      <w:r w:rsidR="5F1C9F70" w:rsidRPr="7B819807">
        <w:rPr>
          <w:sz w:val="22"/>
          <w:szCs w:val="22"/>
          <w:lang w:val="en-GB"/>
        </w:rPr>
        <w:t xml:space="preserve"> to the WHO PPC</w:t>
      </w:r>
      <w:r w:rsidR="11F6221D">
        <w:rPr>
          <w:sz w:val="22"/>
          <w:szCs w:val="22"/>
          <w:lang w:val="en-GB"/>
        </w:rPr>
        <w:t xml:space="preserve"> (2018)</w:t>
      </w:r>
      <w:r w:rsidR="5F1C9F70" w:rsidRPr="7B819807">
        <w:rPr>
          <w:sz w:val="22"/>
          <w:szCs w:val="22"/>
          <w:lang w:val="en-GB"/>
        </w:rPr>
        <w:t xml:space="preserve"> and Vaccine Development Technology Roadmap</w:t>
      </w:r>
      <w:r w:rsidR="11F6221D">
        <w:rPr>
          <w:sz w:val="22"/>
          <w:szCs w:val="22"/>
          <w:lang w:val="en-GB"/>
        </w:rPr>
        <w:t xml:space="preserve"> (20</w:t>
      </w:r>
      <w:r w:rsidR="2A92812F">
        <w:rPr>
          <w:sz w:val="22"/>
          <w:szCs w:val="22"/>
          <w:lang w:val="en-GB"/>
        </w:rPr>
        <w:t xml:space="preserve">19) </w:t>
      </w:r>
      <w:r w:rsidR="5F1C9F70" w:rsidRPr="7B819807">
        <w:rPr>
          <w:sz w:val="22"/>
          <w:szCs w:val="22"/>
          <w:lang w:val="en-GB"/>
        </w:rPr>
        <w:t>are underway in collaboration with SAVAC.</w:t>
      </w:r>
      <w:r w:rsidR="0083D533" w:rsidRPr="7B819807">
        <w:rPr>
          <w:sz w:val="22"/>
          <w:szCs w:val="22"/>
          <w:lang w:val="en-GB"/>
        </w:rPr>
        <w:t xml:space="preserve"> Two consultations were organized to better outline pathway to licensure and </w:t>
      </w:r>
      <w:r w:rsidR="1E29E822" w:rsidRPr="3B7FEC15">
        <w:rPr>
          <w:sz w:val="22"/>
          <w:szCs w:val="22"/>
          <w:lang w:val="en-GB"/>
        </w:rPr>
        <w:t>policy</w:t>
      </w:r>
      <w:r w:rsidR="0083D533" w:rsidRPr="3B7FEC15">
        <w:rPr>
          <w:sz w:val="22"/>
          <w:szCs w:val="22"/>
          <w:lang w:val="en-GB"/>
        </w:rPr>
        <w:t xml:space="preserve"> for a GAS vaccine, including highlighting the eme</w:t>
      </w:r>
      <w:r w:rsidR="6F076103" w:rsidRPr="3B7FEC15">
        <w:rPr>
          <w:sz w:val="22"/>
          <w:szCs w:val="22"/>
          <w:lang w:val="en-GB"/>
        </w:rPr>
        <w:t>r</w:t>
      </w:r>
      <w:r w:rsidR="0083D533" w:rsidRPr="3B7FEC15">
        <w:rPr>
          <w:sz w:val="22"/>
          <w:szCs w:val="22"/>
          <w:lang w:val="en-GB"/>
        </w:rPr>
        <w:t xml:space="preserve">ging role of early rheumatic heart disease in clinical development. </w:t>
      </w:r>
      <w:r w:rsidRPr="3B7FEC15">
        <w:rPr>
          <w:sz w:val="22"/>
          <w:szCs w:val="22"/>
          <w:lang w:val="en-GB"/>
        </w:rPr>
        <w:t xml:space="preserve"> </w:t>
      </w:r>
      <w:r w:rsidR="00666F48" w:rsidRPr="3B7FEC15">
        <w:rPr>
          <w:rStyle w:val="EndnoteReference"/>
          <w:sz w:val="22"/>
          <w:szCs w:val="22"/>
          <w:lang w:val="en-GB"/>
        </w:rPr>
        <w:endnoteReference w:id="33"/>
      </w:r>
      <w:r w:rsidRPr="3B7FEC15">
        <w:rPr>
          <w:sz w:val="22"/>
          <w:szCs w:val="22"/>
          <w:lang w:val="en-GB"/>
        </w:rPr>
        <w:t xml:space="preserve"> </w:t>
      </w:r>
      <w:r w:rsidR="00666F48" w:rsidRPr="3B7FEC15">
        <w:rPr>
          <w:rStyle w:val="EndnoteReference"/>
          <w:sz w:val="22"/>
          <w:szCs w:val="22"/>
          <w:lang w:val="en-GB"/>
        </w:rPr>
        <w:endnoteReference w:id="34"/>
      </w:r>
    </w:p>
    <w:p w14:paraId="14A6443F" w14:textId="77777777" w:rsidR="0089451E" w:rsidRPr="0089451E" w:rsidRDefault="0089451E" w:rsidP="0089451E">
      <w:pPr>
        <w:pStyle w:val="ListParagraph"/>
        <w:jc w:val="both"/>
        <w:rPr>
          <w:sz w:val="22"/>
          <w:szCs w:val="22"/>
          <w:lang w:val="en-GB"/>
        </w:rPr>
      </w:pPr>
    </w:p>
    <w:p w14:paraId="0D143267" w14:textId="429EC9B4" w:rsidR="0089451E" w:rsidRPr="0089451E" w:rsidRDefault="005418F1" w:rsidP="0089451E">
      <w:pPr>
        <w:pStyle w:val="ListParagraph"/>
        <w:numPr>
          <w:ilvl w:val="0"/>
          <w:numId w:val="12"/>
        </w:numPr>
        <w:jc w:val="both"/>
        <w:rPr>
          <w:sz w:val="22"/>
          <w:szCs w:val="22"/>
          <w:lang w:val="en-GB"/>
        </w:rPr>
      </w:pPr>
      <w:proofErr w:type="spellStart"/>
      <w:r w:rsidRPr="003D6EF5">
        <w:rPr>
          <w:b/>
          <w:bCs/>
          <w:color w:val="156082" w:themeColor="accent1"/>
          <w:sz w:val="22"/>
          <w:szCs w:val="22"/>
          <w:lang w:val="en-GB"/>
        </w:rPr>
        <w:t>ExPEC</w:t>
      </w:r>
      <w:proofErr w:type="spellEnd"/>
      <w:r w:rsidRPr="003D6EF5">
        <w:rPr>
          <w:b/>
          <w:bCs/>
          <w:color w:val="156082" w:themeColor="accent1"/>
          <w:sz w:val="22"/>
          <w:szCs w:val="22"/>
          <w:lang w:val="en-GB"/>
        </w:rPr>
        <w:t>:</w:t>
      </w:r>
      <w:r>
        <w:rPr>
          <w:sz w:val="22"/>
          <w:szCs w:val="22"/>
          <w:lang w:val="en-GB"/>
        </w:rPr>
        <w:t xml:space="preserve"> </w:t>
      </w:r>
      <w:r w:rsidR="00324B39">
        <w:rPr>
          <w:sz w:val="22"/>
          <w:szCs w:val="22"/>
          <w:lang w:val="en-GB"/>
        </w:rPr>
        <w:t xml:space="preserve">The only Extraintestinal Pathogenic </w:t>
      </w:r>
      <w:r w:rsidR="00324B39" w:rsidRPr="672747AD">
        <w:rPr>
          <w:i/>
          <w:iCs/>
          <w:sz w:val="22"/>
          <w:szCs w:val="22"/>
          <w:lang w:val="en-GB"/>
        </w:rPr>
        <w:t>Escherichia coli</w:t>
      </w:r>
      <w:r w:rsidR="00324B39">
        <w:rPr>
          <w:sz w:val="22"/>
          <w:szCs w:val="22"/>
          <w:lang w:val="en-GB"/>
        </w:rPr>
        <w:t xml:space="preserve"> (</w:t>
      </w:r>
      <w:proofErr w:type="spellStart"/>
      <w:r w:rsidR="00324B39">
        <w:rPr>
          <w:sz w:val="22"/>
          <w:szCs w:val="22"/>
          <w:lang w:val="en-GB"/>
        </w:rPr>
        <w:t>ExPEC</w:t>
      </w:r>
      <w:proofErr w:type="spellEnd"/>
      <w:r w:rsidR="00324B39">
        <w:rPr>
          <w:sz w:val="22"/>
          <w:szCs w:val="22"/>
          <w:lang w:val="en-GB"/>
        </w:rPr>
        <w:t xml:space="preserve">) vaccine candidate, </w:t>
      </w:r>
      <w:proofErr w:type="spellStart"/>
      <w:r w:rsidR="00324B39">
        <w:rPr>
          <w:sz w:val="22"/>
          <w:szCs w:val="22"/>
          <w:lang w:val="en-GB"/>
        </w:rPr>
        <w:t>ExPEC</w:t>
      </w:r>
      <w:proofErr w:type="spellEnd"/>
      <w:r w:rsidR="00324B39">
        <w:rPr>
          <w:sz w:val="22"/>
          <w:szCs w:val="22"/>
          <w:lang w:val="en-GB"/>
        </w:rPr>
        <w:t xml:space="preserve"> 9V from Sanofi and Johnson &amp; Johnson, failed interim efficacy analysis on its Phase 3 trial</w:t>
      </w:r>
      <w:r w:rsidR="00C40456">
        <w:rPr>
          <w:sz w:val="22"/>
          <w:szCs w:val="22"/>
          <w:lang w:val="en-GB"/>
        </w:rPr>
        <w:t xml:space="preserve"> and the development programme has subsequently been terminated</w:t>
      </w:r>
      <w:r w:rsidR="00324B39">
        <w:rPr>
          <w:sz w:val="22"/>
          <w:szCs w:val="22"/>
          <w:lang w:val="en-GB"/>
        </w:rPr>
        <w:t>.</w:t>
      </w:r>
      <w:r w:rsidR="00324B39">
        <w:rPr>
          <w:rStyle w:val="EndnoteReference"/>
          <w:sz w:val="22"/>
          <w:szCs w:val="22"/>
          <w:lang w:val="en-GB"/>
        </w:rPr>
        <w:endnoteReference w:id="35"/>
      </w:r>
      <w:r w:rsidR="00324B39">
        <w:rPr>
          <w:sz w:val="22"/>
          <w:szCs w:val="22"/>
          <w:lang w:val="en-GB"/>
        </w:rPr>
        <w:t xml:space="preserve"> </w:t>
      </w:r>
    </w:p>
    <w:p w14:paraId="6B9D5008" w14:textId="77777777" w:rsidR="0089451E" w:rsidRPr="00A63ED4" w:rsidRDefault="0089451E" w:rsidP="0089451E">
      <w:pPr>
        <w:pStyle w:val="ListParagraph"/>
        <w:jc w:val="both"/>
        <w:rPr>
          <w:sz w:val="22"/>
          <w:szCs w:val="22"/>
          <w:lang w:val="en-GB"/>
        </w:rPr>
      </w:pPr>
    </w:p>
    <w:p w14:paraId="0057D16E" w14:textId="3B41247B" w:rsidR="005418F1" w:rsidRPr="00512E74" w:rsidRDefault="005418F1" w:rsidP="005418F1">
      <w:pPr>
        <w:pStyle w:val="ListParagraph"/>
        <w:numPr>
          <w:ilvl w:val="0"/>
          <w:numId w:val="12"/>
        </w:numPr>
        <w:jc w:val="both"/>
        <w:rPr>
          <w:sz w:val="22"/>
          <w:szCs w:val="22"/>
          <w:lang w:val="en-GB"/>
        </w:rPr>
      </w:pPr>
      <w:r w:rsidRPr="003D6EF5">
        <w:rPr>
          <w:b/>
          <w:bCs/>
          <w:color w:val="156082" w:themeColor="accent1"/>
          <w:sz w:val="22"/>
          <w:szCs w:val="22"/>
          <w:lang w:val="en-GB"/>
        </w:rPr>
        <w:t>Malaria:</w:t>
      </w:r>
      <w:r w:rsidRPr="003D6EF5">
        <w:rPr>
          <w:color w:val="156082" w:themeColor="accent1"/>
          <w:sz w:val="22"/>
          <w:szCs w:val="22"/>
          <w:lang w:val="en-GB"/>
        </w:rPr>
        <w:t xml:space="preserve"> </w:t>
      </w:r>
      <w:r w:rsidRPr="00512E74">
        <w:rPr>
          <w:sz w:val="22"/>
          <w:szCs w:val="22"/>
          <w:lang w:val="en-GB"/>
        </w:rPr>
        <w:t>As of September 2025, 23 countries have introduced malaria vaccines.</w:t>
      </w:r>
      <w:r w:rsidR="009E5AA0">
        <w:rPr>
          <w:rStyle w:val="EndnoteReference"/>
          <w:sz w:val="22"/>
          <w:szCs w:val="22"/>
          <w:lang w:val="en-GB"/>
        </w:rPr>
        <w:endnoteReference w:id="36"/>
      </w:r>
      <w:r w:rsidRPr="00512E74">
        <w:rPr>
          <w:sz w:val="22"/>
          <w:szCs w:val="22"/>
          <w:lang w:val="en-GB"/>
        </w:rPr>
        <w:t xml:space="preserve"> GSK and Bharat Biotech commit to reducing the price of RTS,S/AS01 to less </w:t>
      </w:r>
      <w:r w:rsidRPr="004405B6">
        <w:rPr>
          <w:sz w:val="22"/>
          <w:szCs w:val="22"/>
          <w:lang w:val="en-GB"/>
        </w:rPr>
        <w:t>than $5/dose</w:t>
      </w:r>
      <w:r w:rsidRPr="00512E74">
        <w:rPr>
          <w:sz w:val="22"/>
          <w:szCs w:val="22"/>
          <w:lang w:val="en-GB"/>
        </w:rPr>
        <w:t>,</w:t>
      </w:r>
      <w:r w:rsidR="004405B6">
        <w:rPr>
          <w:rStyle w:val="EndnoteReference"/>
          <w:sz w:val="22"/>
          <w:szCs w:val="22"/>
          <w:lang w:val="en-GB"/>
        </w:rPr>
        <w:endnoteReference w:id="37"/>
      </w:r>
      <w:r w:rsidRPr="00512E74">
        <w:rPr>
          <w:sz w:val="22"/>
          <w:szCs w:val="22"/>
          <w:lang w:val="en-GB"/>
        </w:rPr>
        <w:t xml:space="preserve"> and SII committed to reducing the price of R21/Matrix-M.</w:t>
      </w:r>
      <w:r w:rsidR="00FA323F">
        <w:rPr>
          <w:sz w:val="22"/>
          <w:szCs w:val="22"/>
          <w:lang w:val="en-GB"/>
        </w:rPr>
        <w:t xml:space="preserve"> </w:t>
      </w:r>
      <w:r w:rsidRPr="00512E74">
        <w:rPr>
          <w:sz w:val="22"/>
          <w:szCs w:val="22"/>
          <w:lang w:val="en-GB"/>
        </w:rPr>
        <w:t>There are 38 vaccines in the malaria pipeline.</w:t>
      </w:r>
      <w:r w:rsidR="00540B5A">
        <w:rPr>
          <w:rStyle w:val="EndnoteReference"/>
          <w:sz w:val="22"/>
          <w:szCs w:val="22"/>
          <w:lang w:val="en-GB"/>
        </w:rPr>
        <w:endnoteReference w:id="38"/>
      </w:r>
      <w:r w:rsidRPr="00512E74">
        <w:rPr>
          <w:sz w:val="22"/>
          <w:szCs w:val="22"/>
          <w:lang w:val="en-GB"/>
        </w:rPr>
        <w:t xml:space="preserve"> Notable upcoming trials include candidates for malaria in pregnancy, and a combination transmission-blocking trial of a combination of Pfs230 and R21. </w:t>
      </w:r>
    </w:p>
    <w:p w14:paraId="440A0642" w14:textId="4B99CD8D" w:rsidR="005418F1" w:rsidRPr="005418F1" w:rsidRDefault="005418F1" w:rsidP="005418F1">
      <w:pPr>
        <w:pStyle w:val="ListParagraph"/>
        <w:numPr>
          <w:ilvl w:val="1"/>
          <w:numId w:val="12"/>
        </w:numPr>
        <w:jc w:val="both"/>
        <w:rPr>
          <w:sz w:val="22"/>
          <w:szCs w:val="22"/>
          <w:lang w:val="en-GB"/>
        </w:rPr>
      </w:pPr>
      <w:r w:rsidRPr="672747AD">
        <w:rPr>
          <w:i/>
          <w:iCs/>
          <w:sz w:val="22"/>
          <w:szCs w:val="22"/>
          <w:lang w:val="en-GB"/>
        </w:rPr>
        <w:t xml:space="preserve">Post meeting note: Gavi and </w:t>
      </w:r>
      <w:proofErr w:type="spellStart"/>
      <w:r w:rsidRPr="672747AD">
        <w:rPr>
          <w:i/>
          <w:iCs/>
          <w:sz w:val="22"/>
          <w:szCs w:val="22"/>
          <w:lang w:val="en-GB"/>
        </w:rPr>
        <w:t>Unicef</w:t>
      </w:r>
      <w:proofErr w:type="spellEnd"/>
      <w:r w:rsidRPr="672747AD">
        <w:rPr>
          <w:i/>
          <w:iCs/>
          <w:sz w:val="22"/>
          <w:szCs w:val="22"/>
          <w:lang w:val="en-GB"/>
        </w:rPr>
        <w:t xml:space="preserve"> announced</w:t>
      </w:r>
      <w:r w:rsidR="004405B6" w:rsidRPr="51810E21">
        <w:rPr>
          <w:rStyle w:val="EndnoteReference"/>
          <w:lang w:val="en-GB"/>
        </w:rPr>
        <w:endnoteReference w:id="39"/>
      </w:r>
      <w:r w:rsidRPr="672747AD">
        <w:rPr>
          <w:i/>
          <w:iCs/>
          <w:sz w:val="22"/>
          <w:szCs w:val="22"/>
          <w:lang w:val="en-GB"/>
        </w:rPr>
        <w:t xml:space="preserve"> in November 2025 that the R21/Matrix-M price was reducing to $2.99/dose, </w:t>
      </w:r>
      <w:r w:rsidR="7D2B215A" w:rsidRPr="672747AD">
        <w:rPr>
          <w:i/>
          <w:iCs/>
          <w:sz w:val="22"/>
          <w:szCs w:val="22"/>
          <w:lang w:val="en-GB"/>
        </w:rPr>
        <w:t>which could result in savings of up to</w:t>
      </w:r>
      <w:r w:rsidRPr="672747AD">
        <w:rPr>
          <w:i/>
          <w:iCs/>
          <w:sz w:val="22"/>
          <w:szCs w:val="22"/>
          <w:lang w:val="en-GB"/>
        </w:rPr>
        <w:t xml:space="preserve"> $90 million. </w:t>
      </w:r>
    </w:p>
    <w:p w14:paraId="36C1082F" w14:textId="0CAC3650" w:rsidR="005418F1" w:rsidRPr="005418F1" w:rsidRDefault="005418F1" w:rsidP="005418F1">
      <w:pPr>
        <w:jc w:val="both"/>
        <w:rPr>
          <w:sz w:val="22"/>
          <w:szCs w:val="22"/>
          <w:lang w:val="en-GB"/>
        </w:rPr>
      </w:pPr>
      <w:r w:rsidRPr="005418F1">
        <w:rPr>
          <w:sz w:val="22"/>
          <w:szCs w:val="22"/>
          <w:lang w:val="en-GB"/>
        </w:rPr>
        <w:t xml:space="preserve">PDVAC </w:t>
      </w:r>
      <w:r w:rsidR="002E0731">
        <w:rPr>
          <w:sz w:val="22"/>
          <w:szCs w:val="22"/>
          <w:lang w:val="en-GB"/>
        </w:rPr>
        <w:t>was also updated on the following</w:t>
      </w:r>
      <w:r w:rsidRPr="005418F1">
        <w:rPr>
          <w:sz w:val="22"/>
          <w:szCs w:val="22"/>
          <w:lang w:val="en-GB"/>
        </w:rPr>
        <w:t xml:space="preserve"> pathogens </w:t>
      </w:r>
      <w:r w:rsidR="002E0731">
        <w:rPr>
          <w:sz w:val="22"/>
          <w:szCs w:val="22"/>
          <w:lang w:val="en-GB"/>
        </w:rPr>
        <w:t>that are not on the</w:t>
      </w:r>
      <w:r w:rsidRPr="005418F1">
        <w:rPr>
          <w:sz w:val="22"/>
          <w:szCs w:val="22"/>
          <w:lang w:val="en-GB"/>
        </w:rPr>
        <w:t xml:space="preserve"> priority list:</w:t>
      </w:r>
    </w:p>
    <w:p w14:paraId="1622185A" w14:textId="6B7048E7" w:rsidR="003B05F2" w:rsidRDefault="003B6117" w:rsidP="49180FC6">
      <w:pPr>
        <w:pStyle w:val="ListParagraph"/>
        <w:numPr>
          <w:ilvl w:val="0"/>
          <w:numId w:val="12"/>
        </w:numPr>
        <w:jc w:val="both"/>
        <w:rPr>
          <w:sz w:val="22"/>
          <w:szCs w:val="22"/>
          <w:lang w:val="en-GB"/>
        </w:rPr>
      </w:pPr>
      <w:r w:rsidRPr="003D6EF5">
        <w:rPr>
          <w:b/>
          <w:bCs/>
          <w:color w:val="156082" w:themeColor="accent1"/>
          <w:sz w:val="22"/>
          <w:szCs w:val="22"/>
          <w:lang w:val="en-GB"/>
        </w:rPr>
        <w:t>Salmonella</w:t>
      </w:r>
      <w:r w:rsidR="0071261F" w:rsidRPr="003D6EF5">
        <w:rPr>
          <w:b/>
          <w:bCs/>
          <w:color w:val="156082" w:themeColor="accent1"/>
          <w:sz w:val="22"/>
          <w:szCs w:val="22"/>
          <w:lang w:val="en-GB"/>
        </w:rPr>
        <w:t xml:space="preserve"> </w:t>
      </w:r>
      <w:r w:rsidR="00B7326A" w:rsidRPr="003D6EF5">
        <w:rPr>
          <w:b/>
          <w:bCs/>
          <w:color w:val="156082" w:themeColor="accent1"/>
          <w:sz w:val="22"/>
          <w:szCs w:val="22"/>
          <w:lang w:val="en-GB"/>
        </w:rPr>
        <w:t>(T</w:t>
      </w:r>
      <w:r w:rsidR="009E1BB9" w:rsidRPr="003D6EF5">
        <w:rPr>
          <w:b/>
          <w:bCs/>
          <w:color w:val="156082" w:themeColor="accent1"/>
          <w:sz w:val="22"/>
          <w:szCs w:val="22"/>
          <w:lang w:val="en-GB"/>
        </w:rPr>
        <w:t xml:space="preserve">yphi and </w:t>
      </w:r>
      <w:r w:rsidR="00B7326A" w:rsidRPr="003D6EF5">
        <w:rPr>
          <w:b/>
          <w:bCs/>
          <w:color w:val="156082" w:themeColor="accent1"/>
          <w:sz w:val="22"/>
          <w:szCs w:val="22"/>
          <w:lang w:val="en-GB"/>
        </w:rPr>
        <w:t>P</w:t>
      </w:r>
      <w:r w:rsidR="00267302" w:rsidRPr="003D6EF5">
        <w:rPr>
          <w:b/>
          <w:bCs/>
          <w:color w:val="156082" w:themeColor="accent1"/>
          <w:sz w:val="22"/>
          <w:szCs w:val="22"/>
          <w:lang w:val="en-GB"/>
        </w:rPr>
        <w:t>aratyphi</w:t>
      </w:r>
      <w:r w:rsidR="00B7326A" w:rsidRPr="003D6EF5">
        <w:rPr>
          <w:b/>
          <w:bCs/>
          <w:color w:val="156082" w:themeColor="accent1"/>
          <w:sz w:val="22"/>
          <w:szCs w:val="22"/>
          <w:lang w:val="en-GB"/>
        </w:rPr>
        <w:t>)</w:t>
      </w:r>
      <w:r w:rsidR="002B774C" w:rsidRPr="003D6EF5">
        <w:rPr>
          <w:b/>
          <w:bCs/>
          <w:color w:val="156082" w:themeColor="accent1"/>
          <w:sz w:val="22"/>
          <w:szCs w:val="22"/>
          <w:lang w:val="en-GB"/>
        </w:rPr>
        <w:t>:</w:t>
      </w:r>
      <w:r w:rsidR="002B774C" w:rsidRPr="003D6EF5">
        <w:rPr>
          <w:color w:val="156082" w:themeColor="accent1"/>
          <w:sz w:val="22"/>
          <w:szCs w:val="22"/>
          <w:lang w:val="en-GB"/>
        </w:rPr>
        <w:t xml:space="preserve"> </w:t>
      </w:r>
      <w:r w:rsidR="00B7326A" w:rsidRPr="008D0711">
        <w:rPr>
          <w:sz w:val="22"/>
          <w:szCs w:val="22"/>
          <w:lang w:val="en-GB"/>
        </w:rPr>
        <w:t>M</w:t>
      </w:r>
      <w:r w:rsidR="00A7499E" w:rsidRPr="008D0711">
        <w:rPr>
          <w:sz w:val="22"/>
          <w:szCs w:val="22"/>
          <w:lang w:val="en-GB"/>
        </w:rPr>
        <w:t xml:space="preserve">ultiple </w:t>
      </w:r>
      <w:r w:rsidR="00070609" w:rsidRPr="49180FC6">
        <w:rPr>
          <w:sz w:val="22"/>
          <w:szCs w:val="22"/>
          <w:lang w:val="en-GB"/>
        </w:rPr>
        <w:t xml:space="preserve">candidates </w:t>
      </w:r>
      <w:r w:rsidR="00B7326A" w:rsidRPr="008D0711">
        <w:rPr>
          <w:sz w:val="22"/>
          <w:szCs w:val="22"/>
          <w:lang w:val="en-GB"/>
        </w:rPr>
        <w:t xml:space="preserve">are </w:t>
      </w:r>
      <w:r w:rsidR="00A7499E" w:rsidRPr="008D0711">
        <w:rPr>
          <w:sz w:val="22"/>
          <w:szCs w:val="22"/>
          <w:lang w:val="en-GB"/>
        </w:rPr>
        <w:t xml:space="preserve">in development </w:t>
      </w:r>
      <w:r w:rsidR="00B7326A" w:rsidRPr="008D0711">
        <w:rPr>
          <w:sz w:val="22"/>
          <w:szCs w:val="22"/>
          <w:lang w:val="en-GB"/>
        </w:rPr>
        <w:t xml:space="preserve">for </w:t>
      </w:r>
      <w:r w:rsidR="00DC5408" w:rsidRPr="008D0711">
        <w:rPr>
          <w:sz w:val="22"/>
          <w:szCs w:val="22"/>
          <w:lang w:val="en-GB"/>
        </w:rPr>
        <w:t xml:space="preserve">typhoid </w:t>
      </w:r>
      <w:r w:rsidR="00267302" w:rsidRPr="008D0711">
        <w:rPr>
          <w:sz w:val="22"/>
          <w:szCs w:val="22"/>
          <w:lang w:val="en-GB"/>
        </w:rPr>
        <w:t xml:space="preserve">and </w:t>
      </w:r>
      <w:r w:rsidR="00DC5408" w:rsidRPr="008D0711">
        <w:rPr>
          <w:sz w:val="22"/>
          <w:szCs w:val="22"/>
          <w:lang w:val="en-GB"/>
        </w:rPr>
        <w:t>paratyphoid fever</w:t>
      </w:r>
      <w:r w:rsidR="00A87725" w:rsidRPr="008D0711">
        <w:rPr>
          <w:sz w:val="22"/>
          <w:szCs w:val="22"/>
          <w:lang w:val="en-GB"/>
        </w:rPr>
        <w:t xml:space="preserve">, </w:t>
      </w:r>
      <w:r w:rsidR="0074424A" w:rsidRPr="49180FC6">
        <w:rPr>
          <w:sz w:val="22"/>
          <w:szCs w:val="22"/>
          <w:lang w:val="en-GB"/>
        </w:rPr>
        <w:t>including in combination</w:t>
      </w:r>
      <w:r w:rsidR="00A87725" w:rsidRPr="008D0711">
        <w:rPr>
          <w:sz w:val="22"/>
          <w:szCs w:val="22"/>
          <w:lang w:val="en-GB"/>
        </w:rPr>
        <w:t xml:space="preserve">. </w:t>
      </w:r>
      <w:r w:rsidR="008D0711">
        <w:rPr>
          <w:sz w:val="22"/>
          <w:szCs w:val="22"/>
          <w:lang w:val="en-GB"/>
        </w:rPr>
        <w:t xml:space="preserve">The </w:t>
      </w:r>
      <w:r w:rsidR="00634192" w:rsidRPr="00AA7A09">
        <w:rPr>
          <w:i/>
          <w:iCs/>
          <w:sz w:val="22"/>
          <w:szCs w:val="22"/>
          <w:lang w:val="en-GB"/>
        </w:rPr>
        <w:t>Salmonella</w:t>
      </w:r>
      <w:r w:rsidR="00634192" w:rsidRPr="008D0711">
        <w:rPr>
          <w:sz w:val="22"/>
          <w:szCs w:val="22"/>
          <w:lang w:val="en-GB"/>
        </w:rPr>
        <w:t xml:space="preserve"> Typhi candidate </w:t>
      </w:r>
      <w:proofErr w:type="spellStart"/>
      <w:r w:rsidR="00634192" w:rsidRPr="008D0711">
        <w:rPr>
          <w:sz w:val="22"/>
          <w:szCs w:val="22"/>
          <w:lang w:val="en-GB"/>
        </w:rPr>
        <w:t>EuTyphC</w:t>
      </w:r>
      <w:proofErr w:type="spellEnd"/>
      <w:r w:rsidR="00894EE2" w:rsidRPr="51810E21">
        <w:rPr>
          <w:sz w:val="22"/>
          <w:szCs w:val="22"/>
          <w:lang w:val="en-GB"/>
        </w:rPr>
        <w:t>®</w:t>
      </w:r>
      <w:r w:rsidR="00634192" w:rsidRPr="008D0711">
        <w:rPr>
          <w:sz w:val="22"/>
          <w:szCs w:val="22"/>
          <w:lang w:val="en-GB"/>
        </w:rPr>
        <w:t xml:space="preserve"> </w:t>
      </w:r>
      <w:r w:rsidR="008D0711">
        <w:rPr>
          <w:sz w:val="22"/>
          <w:szCs w:val="22"/>
          <w:lang w:val="en-GB"/>
        </w:rPr>
        <w:t>(</w:t>
      </w:r>
      <w:proofErr w:type="spellStart"/>
      <w:r w:rsidR="00634192" w:rsidRPr="008D0711">
        <w:rPr>
          <w:sz w:val="22"/>
          <w:szCs w:val="22"/>
          <w:lang w:val="en-GB"/>
        </w:rPr>
        <w:t>E</w:t>
      </w:r>
      <w:r w:rsidR="00BE01BC" w:rsidRPr="008D0711">
        <w:rPr>
          <w:sz w:val="22"/>
          <w:szCs w:val="22"/>
          <w:lang w:val="en-GB"/>
        </w:rPr>
        <w:t>u</w:t>
      </w:r>
      <w:r w:rsidR="00634192" w:rsidRPr="008D0711">
        <w:rPr>
          <w:sz w:val="22"/>
          <w:szCs w:val="22"/>
          <w:lang w:val="en-GB"/>
        </w:rPr>
        <w:t>Biologics</w:t>
      </w:r>
      <w:proofErr w:type="spellEnd"/>
      <w:r w:rsidR="008D0711">
        <w:rPr>
          <w:sz w:val="22"/>
          <w:szCs w:val="22"/>
          <w:lang w:val="en-GB"/>
        </w:rPr>
        <w:t>)</w:t>
      </w:r>
      <w:r w:rsidR="00634192" w:rsidRPr="008D0711">
        <w:rPr>
          <w:sz w:val="22"/>
          <w:szCs w:val="22"/>
          <w:lang w:val="en-GB"/>
        </w:rPr>
        <w:t xml:space="preserve"> has </w:t>
      </w:r>
      <w:r w:rsidR="00690C77" w:rsidRPr="008D0711">
        <w:rPr>
          <w:sz w:val="22"/>
          <w:szCs w:val="22"/>
          <w:lang w:val="en-GB"/>
        </w:rPr>
        <w:t xml:space="preserve">successfully </w:t>
      </w:r>
      <w:r w:rsidR="00634192" w:rsidRPr="008D0711">
        <w:rPr>
          <w:sz w:val="22"/>
          <w:szCs w:val="22"/>
          <w:lang w:val="en-GB"/>
        </w:rPr>
        <w:t xml:space="preserve">completed Phase III trials and </w:t>
      </w:r>
      <w:r w:rsidR="00690C77" w:rsidRPr="008D0711">
        <w:rPr>
          <w:sz w:val="22"/>
          <w:szCs w:val="22"/>
          <w:lang w:val="en-GB"/>
        </w:rPr>
        <w:t xml:space="preserve">licensure is imminent, with WHO </w:t>
      </w:r>
      <w:r w:rsidR="008D0711">
        <w:rPr>
          <w:sz w:val="22"/>
          <w:szCs w:val="22"/>
          <w:lang w:val="en-GB"/>
        </w:rPr>
        <w:t>prequalification</w:t>
      </w:r>
      <w:r w:rsidR="00690C77" w:rsidRPr="008D0711">
        <w:rPr>
          <w:sz w:val="22"/>
          <w:szCs w:val="22"/>
          <w:lang w:val="en-GB"/>
        </w:rPr>
        <w:t xml:space="preserve"> </w:t>
      </w:r>
      <w:r w:rsidR="008D0711">
        <w:rPr>
          <w:sz w:val="22"/>
          <w:szCs w:val="22"/>
          <w:lang w:val="en-GB"/>
        </w:rPr>
        <w:t>anticipated</w:t>
      </w:r>
      <w:r w:rsidR="008D0711" w:rsidRPr="51810E21">
        <w:rPr>
          <w:sz w:val="22"/>
          <w:szCs w:val="22"/>
          <w:lang w:val="en-GB"/>
        </w:rPr>
        <w:t xml:space="preserve"> soon after</w:t>
      </w:r>
      <w:r w:rsidR="00690C77" w:rsidRPr="008D0711">
        <w:rPr>
          <w:sz w:val="22"/>
          <w:szCs w:val="22"/>
          <w:lang w:val="en-GB"/>
        </w:rPr>
        <w:t>.</w:t>
      </w:r>
      <w:r w:rsidR="00126B0A">
        <w:rPr>
          <w:rStyle w:val="EndnoteReference"/>
          <w:sz w:val="22"/>
          <w:szCs w:val="22"/>
          <w:lang w:val="en-GB"/>
        </w:rPr>
        <w:endnoteReference w:id="40"/>
      </w:r>
      <w:r w:rsidR="008D0711">
        <w:rPr>
          <w:sz w:val="22"/>
          <w:szCs w:val="22"/>
          <w:lang w:val="en-GB"/>
        </w:rPr>
        <w:t xml:space="preserve"> </w:t>
      </w:r>
      <w:r w:rsidR="005A5AB0" w:rsidRPr="008D0711">
        <w:rPr>
          <w:sz w:val="22"/>
          <w:szCs w:val="22"/>
          <w:lang w:val="en-GB"/>
        </w:rPr>
        <w:t>T</w:t>
      </w:r>
      <w:r w:rsidR="4E2F3E50" w:rsidRPr="008D0711">
        <w:rPr>
          <w:sz w:val="22"/>
          <w:szCs w:val="22"/>
          <w:lang w:val="en-GB"/>
        </w:rPr>
        <w:t>wo</w:t>
      </w:r>
      <w:r w:rsidR="005A5AB0" w:rsidRPr="008D0711">
        <w:rPr>
          <w:sz w:val="22"/>
          <w:szCs w:val="22"/>
          <w:lang w:val="en-GB"/>
        </w:rPr>
        <w:t xml:space="preserve"> bivalent conjugate vaccines targeting </w:t>
      </w:r>
      <w:r w:rsidR="23FFD2CA" w:rsidRPr="49180FC6">
        <w:rPr>
          <w:i/>
          <w:iCs/>
          <w:sz w:val="22"/>
          <w:szCs w:val="22"/>
          <w:lang w:val="en-GB"/>
        </w:rPr>
        <w:t xml:space="preserve">Salmonella </w:t>
      </w:r>
      <w:r w:rsidR="00977772" w:rsidRPr="49180FC6">
        <w:rPr>
          <w:sz w:val="22"/>
          <w:szCs w:val="22"/>
          <w:lang w:val="en-GB"/>
        </w:rPr>
        <w:t xml:space="preserve">Typhi and </w:t>
      </w:r>
      <w:r w:rsidR="005A5AB0" w:rsidRPr="00AA7A09">
        <w:rPr>
          <w:i/>
          <w:iCs/>
          <w:sz w:val="22"/>
          <w:szCs w:val="22"/>
          <w:lang w:val="en-GB"/>
        </w:rPr>
        <w:t>Salmonella</w:t>
      </w:r>
      <w:r w:rsidR="005A5AB0" w:rsidRPr="008D0711">
        <w:rPr>
          <w:sz w:val="22"/>
          <w:szCs w:val="22"/>
          <w:lang w:val="en-GB"/>
        </w:rPr>
        <w:t xml:space="preserve"> Paratyphi A are in development, </w:t>
      </w:r>
      <w:r w:rsidR="2C6987F3" w:rsidRPr="008D0711">
        <w:rPr>
          <w:sz w:val="22"/>
          <w:szCs w:val="22"/>
          <w:lang w:val="en-GB"/>
        </w:rPr>
        <w:t>and they will be following the regulatory pathway endorsed by PDVAC in 20</w:t>
      </w:r>
      <w:r w:rsidR="6EF4732D" w:rsidRPr="008D0711">
        <w:rPr>
          <w:sz w:val="22"/>
          <w:szCs w:val="22"/>
          <w:lang w:val="en-GB"/>
        </w:rPr>
        <w:t>22</w:t>
      </w:r>
      <w:r w:rsidR="005A5AB0" w:rsidRPr="008D0711">
        <w:rPr>
          <w:sz w:val="22"/>
          <w:szCs w:val="22"/>
          <w:lang w:val="en-GB"/>
        </w:rPr>
        <w:t>.</w:t>
      </w:r>
      <w:r w:rsidR="007C3CC3">
        <w:rPr>
          <w:rStyle w:val="EndnoteReference"/>
          <w:sz w:val="22"/>
          <w:szCs w:val="22"/>
          <w:lang w:val="en-GB"/>
        </w:rPr>
        <w:endnoteReference w:id="41"/>
      </w:r>
      <w:r w:rsidR="00275183" w:rsidRPr="008D0711">
        <w:rPr>
          <w:sz w:val="22"/>
          <w:szCs w:val="22"/>
          <w:lang w:val="en-GB"/>
        </w:rPr>
        <w:t xml:space="preserve"> </w:t>
      </w:r>
      <w:r w:rsidR="6E53423A" w:rsidRPr="008D0711">
        <w:rPr>
          <w:sz w:val="22"/>
          <w:szCs w:val="22"/>
          <w:lang w:val="en-GB"/>
        </w:rPr>
        <w:t xml:space="preserve">Additionally, a live-attenuated </w:t>
      </w:r>
      <w:r w:rsidR="6E53423A" w:rsidRPr="49180FC6">
        <w:rPr>
          <w:i/>
          <w:iCs/>
          <w:sz w:val="22"/>
          <w:szCs w:val="22"/>
          <w:lang w:val="en-GB"/>
        </w:rPr>
        <w:t xml:space="preserve">Salmonella </w:t>
      </w:r>
      <w:r w:rsidR="6E53423A" w:rsidRPr="49180FC6">
        <w:rPr>
          <w:sz w:val="22"/>
          <w:szCs w:val="22"/>
          <w:lang w:val="en-GB"/>
        </w:rPr>
        <w:t xml:space="preserve">Paratyphi A candidate </w:t>
      </w:r>
      <w:r w:rsidR="3D495CAD" w:rsidRPr="49180FC6">
        <w:rPr>
          <w:sz w:val="22"/>
          <w:szCs w:val="22"/>
          <w:lang w:val="en-GB"/>
        </w:rPr>
        <w:t>has shown a 72% protective efficacy in a CHIM</w:t>
      </w:r>
      <w:r w:rsidR="441CC53F" w:rsidRPr="49180FC6">
        <w:rPr>
          <w:sz w:val="22"/>
          <w:szCs w:val="22"/>
          <w:lang w:val="en-GB"/>
        </w:rPr>
        <w:t xml:space="preserve">. </w:t>
      </w:r>
    </w:p>
    <w:p w14:paraId="67EF6DB4" w14:textId="77777777" w:rsidR="00B713D9" w:rsidRPr="008D0711" w:rsidRDefault="00B713D9" w:rsidP="00B713D9">
      <w:pPr>
        <w:pStyle w:val="ListParagraph"/>
        <w:jc w:val="both"/>
        <w:rPr>
          <w:sz w:val="22"/>
          <w:szCs w:val="22"/>
          <w:lang w:val="en-GB"/>
        </w:rPr>
      </w:pPr>
    </w:p>
    <w:p w14:paraId="0FEB7D8D" w14:textId="6EEEBA2E" w:rsidR="00B713D9" w:rsidRPr="00A928FD" w:rsidRDefault="004E2809" w:rsidP="00A928FD">
      <w:pPr>
        <w:pStyle w:val="ListParagraph"/>
        <w:numPr>
          <w:ilvl w:val="0"/>
          <w:numId w:val="12"/>
        </w:numPr>
        <w:spacing w:line="288" w:lineRule="auto"/>
        <w:jc w:val="both"/>
        <w:rPr>
          <w:sz w:val="22"/>
          <w:szCs w:val="22"/>
          <w:lang w:val="en-GB"/>
        </w:rPr>
      </w:pPr>
      <w:r w:rsidRPr="003D6EF5">
        <w:rPr>
          <w:b/>
          <w:bCs/>
          <w:color w:val="156082" w:themeColor="accent1"/>
          <w:sz w:val="22"/>
          <w:szCs w:val="22"/>
          <w:lang w:val="en-GB"/>
        </w:rPr>
        <w:t>Rotavirus:</w:t>
      </w:r>
      <w:r w:rsidRPr="49180FC6">
        <w:rPr>
          <w:sz w:val="22"/>
          <w:szCs w:val="22"/>
          <w:lang w:val="en-GB"/>
        </w:rPr>
        <w:t xml:space="preserve"> </w:t>
      </w:r>
      <w:r w:rsidR="007118EE" w:rsidRPr="49180FC6">
        <w:rPr>
          <w:sz w:val="22"/>
          <w:szCs w:val="22"/>
          <w:lang w:val="en-GB"/>
        </w:rPr>
        <w:t>T</w:t>
      </w:r>
      <w:r w:rsidRPr="49180FC6">
        <w:rPr>
          <w:sz w:val="22"/>
          <w:szCs w:val="22"/>
          <w:lang w:val="en-GB"/>
        </w:rPr>
        <w:t xml:space="preserve">he </w:t>
      </w:r>
      <w:r w:rsidR="00A022B9" w:rsidRPr="49180FC6">
        <w:rPr>
          <w:sz w:val="22"/>
          <w:szCs w:val="22"/>
          <w:lang w:val="en-GB"/>
        </w:rPr>
        <w:t xml:space="preserve">neonatal </w:t>
      </w:r>
      <w:r w:rsidRPr="49180FC6">
        <w:rPr>
          <w:sz w:val="22"/>
          <w:szCs w:val="22"/>
          <w:lang w:val="en-GB"/>
        </w:rPr>
        <w:t xml:space="preserve">live attenuated RV3-BB </w:t>
      </w:r>
      <w:r w:rsidR="000F6EE9" w:rsidRPr="49180FC6">
        <w:rPr>
          <w:sz w:val="22"/>
          <w:szCs w:val="22"/>
          <w:lang w:val="en-GB"/>
        </w:rPr>
        <w:t xml:space="preserve">candidate has completed a Phase </w:t>
      </w:r>
      <w:r w:rsidR="00126B0A" w:rsidRPr="49180FC6">
        <w:rPr>
          <w:sz w:val="22"/>
          <w:szCs w:val="22"/>
          <w:lang w:val="en-GB"/>
        </w:rPr>
        <w:t>III</w:t>
      </w:r>
      <w:r w:rsidR="000F6EE9" w:rsidRPr="49180FC6">
        <w:rPr>
          <w:sz w:val="22"/>
          <w:szCs w:val="22"/>
          <w:lang w:val="en-GB"/>
        </w:rPr>
        <w:t xml:space="preserve"> trial </w:t>
      </w:r>
      <w:r w:rsidR="00EC6D69" w:rsidRPr="49180FC6">
        <w:rPr>
          <w:sz w:val="22"/>
          <w:szCs w:val="22"/>
          <w:lang w:val="en-GB"/>
        </w:rPr>
        <w:t xml:space="preserve">and is anticipated </w:t>
      </w:r>
      <w:r w:rsidRPr="49180FC6">
        <w:rPr>
          <w:sz w:val="22"/>
          <w:szCs w:val="22"/>
          <w:lang w:val="en-GB"/>
        </w:rPr>
        <w:t xml:space="preserve">to receive initial licensing </w:t>
      </w:r>
      <w:r w:rsidR="33133F1E" w:rsidRPr="49180FC6">
        <w:rPr>
          <w:sz w:val="22"/>
          <w:szCs w:val="22"/>
          <w:lang w:val="en-GB"/>
        </w:rPr>
        <w:t xml:space="preserve">for pilot introduction in Indonesia </w:t>
      </w:r>
      <w:r w:rsidRPr="49180FC6">
        <w:rPr>
          <w:sz w:val="22"/>
          <w:szCs w:val="22"/>
          <w:lang w:val="en-GB"/>
        </w:rPr>
        <w:t>early in 2026.</w:t>
      </w:r>
      <w:r w:rsidR="0036641A">
        <w:rPr>
          <w:sz w:val="22"/>
          <w:szCs w:val="22"/>
          <w:lang w:val="en-GB"/>
        </w:rPr>
        <w:t xml:space="preserve"> </w:t>
      </w:r>
      <w:r w:rsidR="00E77FD2" w:rsidRPr="49180FC6">
        <w:rPr>
          <w:sz w:val="22"/>
          <w:szCs w:val="22"/>
          <w:lang w:val="en-GB"/>
        </w:rPr>
        <w:t xml:space="preserve">Prequalified </w:t>
      </w:r>
      <w:r w:rsidR="00E028DE" w:rsidRPr="49180FC6">
        <w:rPr>
          <w:sz w:val="22"/>
          <w:szCs w:val="22"/>
          <w:lang w:val="en-GB"/>
        </w:rPr>
        <w:t xml:space="preserve">infant </w:t>
      </w:r>
      <w:r w:rsidR="00E77FD2" w:rsidRPr="49180FC6">
        <w:rPr>
          <w:sz w:val="22"/>
          <w:szCs w:val="22"/>
          <w:lang w:val="en-GB"/>
        </w:rPr>
        <w:t xml:space="preserve">Rotavirus vaccines have experienced </w:t>
      </w:r>
      <w:r w:rsidR="00EC6D69" w:rsidRPr="49180FC6">
        <w:rPr>
          <w:sz w:val="22"/>
          <w:szCs w:val="22"/>
          <w:lang w:val="en-GB"/>
        </w:rPr>
        <w:t xml:space="preserve">supply </w:t>
      </w:r>
      <w:r w:rsidR="001E71A6" w:rsidRPr="49180FC6">
        <w:rPr>
          <w:sz w:val="22"/>
          <w:szCs w:val="22"/>
          <w:lang w:val="en-GB"/>
        </w:rPr>
        <w:t>disruption</w:t>
      </w:r>
      <w:r w:rsidR="00EC6D69" w:rsidRPr="49180FC6">
        <w:rPr>
          <w:sz w:val="22"/>
          <w:szCs w:val="22"/>
          <w:lang w:val="en-GB"/>
        </w:rPr>
        <w:t>s</w:t>
      </w:r>
      <w:r w:rsidR="00E77FD2" w:rsidRPr="49180FC6">
        <w:rPr>
          <w:sz w:val="22"/>
          <w:szCs w:val="22"/>
          <w:lang w:val="en-GB"/>
        </w:rPr>
        <w:t>,</w:t>
      </w:r>
      <w:r w:rsidR="001E71A6" w:rsidRPr="49180FC6">
        <w:rPr>
          <w:sz w:val="22"/>
          <w:szCs w:val="22"/>
          <w:lang w:val="en-GB"/>
        </w:rPr>
        <w:t xml:space="preserve"> </w:t>
      </w:r>
      <w:r w:rsidR="00E77FD2" w:rsidRPr="49180FC6">
        <w:rPr>
          <w:sz w:val="22"/>
          <w:szCs w:val="22"/>
          <w:lang w:val="en-GB"/>
        </w:rPr>
        <w:t xml:space="preserve">including discontinuation of the </w:t>
      </w:r>
      <w:proofErr w:type="spellStart"/>
      <w:r w:rsidR="00E50561" w:rsidRPr="49180FC6">
        <w:rPr>
          <w:sz w:val="22"/>
          <w:szCs w:val="22"/>
          <w:lang w:val="en-GB"/>
        </w:rPr>
        <w:t>RotaSiil</w:t>
      </w:r>
      <w:proofErr w:type="spellEnd"/>
      <w:r w:rsidR="00E50561" w:rsidRPr="49180FC6">
        <w:rPr>
          <w:sz w:val="22"/>
          <w:szCs w:val="22"/>
          <w:lang w:val="en-GB"/>
        </w:rPr>
        <w:t xml:space="preserve"> lyophilised vaccine </w:t>
      </w:r>
      <w:r w:rsidR="00E77FD2" w:rsidRPr="49180FC6">
        <w:rPr>
          <w:sz w:val="22"/>
          <w:szCs w:val="22"/>
          <w:lang w:val="en-GB"/>
        </w:rPr>
        <w:t xml:space="preserve">and stockouts of </w:t>
      </w:r>
      <w:r w:rsidR="00474B8C" w:rsidRPr="49180FC6">
        <w:rPr>
          <w:sz w:val="22"/>
          <w:szCs w:val="22"/>
          <w:lang w:val="en-GB"/>
        </w:rPr>
        <w:t>Rotarix</w:t>
      </w:r>
      <w:r w:rsidR="00E77FD2" w:rsidRPr="49180FC6">
        <w:rPr>
          <w:sz w:val="22"/>
          <w:szCs w:val="22"/>
          <w:lang w:val="en-GB"/>
        </w:rPr>
        <w:t xml:space="preserve">, </w:t>
      </w:r>
      <w:r w:rsidR="00474B8C" w:rsidRPr="49180FC6">
        <w:rPr>
          <w:sz w:val="22"/>
          <w:szCs w:val="22"/>
          <w:lang w:val="en-GB"/>
        </w:rPr>
        <w:t xml:space="preserve">some </w:t>
      </w:r>
      <w:r w:rsidR="00E77FD2" w:rsidRPr="49180FC6">
        <w:rPr>
          <w:sz w:val="22"/>
          <w:szCs w:val="22"/>
          <w:lang w:val="en-GB"/>
        </w:rPr>
        <w:t xml:space="preserve">lasting </w:t>
      </w:r>
      <w:r w:rsidR="00474B8C" w:rsidRPr="49180FC6">
        <w:rPr>
          <w:sz w:val="22"/>
          <w:szCs w:val="22"/>
          <w:lang w:val="en-GB"/>
        </w:rPr>
        <w:t xml:space="preserve">for up to 11 months. </w:t>
      </w:r>
      <w:r w:rsidR="00E50561" w:rsidRPr="49180FC6">
        <w:rPr>
          <w:sz w:val="22"/>
          <w:szCs w:val="22"/>
          <w:lang w:val="en-GB"/>
        </w:rPr>
        <w:t xml:space="preserve"> </w:t>
      </w:r>
      <w:r w:rsidR="00E77FD2" w:rsidRPr="49180FC6">
        <w:rPr>
          <w:sz w:val="22"/>
          <w:szCs w:val="22"/>
          <w:lang w:val="en-GB"/>
        </w:rPr>
        <w:t xml:space="preserve">In parallel, </w:t>
      </w:r>
      <w:r w:rsidR="006B43D6" w:rsidRPr="49180FC6">
        <w:rPr>
          <w:sz w:val="22"/>
          <w:szCs w:val="22"/>
          <w:lang w:val="en-GB"/>
        </w:rPr>
        <w:t xml:space="preserve">inactivated rotavirus vaccines based on the </w:t>
      </w:r>
      <w:r w:rsidR="00844ABA" w:rsidRPr="49180FC6">
        <w:rPr>
          <w:sz w:val="22"/>
          <w:szCs w:val="22"/>
          <w:lang w:val="en-GB"/>
        </w:rPr>
        <w:t xml:space="preserve">CDC9 </w:t>
      </w:r>
      <w:r w:rsidR="006B43D6" w:rsidRPr="49180FC6">
        <w:rPr>
          <w:sz w:val="22"/>
          <w:szCs w:val="22"/>
          <w:lang w:val="en-GB"/>
        </w:rPr>
        <w:t>strain are in early clinical development</w:t>
      </w:r>
      <w:r w:rsidR="00405199" w:rsidRPr="49180FC6">
        <w:rPr>
          <w:sz w:val="22"/>
          <w:szCs w:val="22"/>
          <w:lang w:val="en-GB"/>
        </w:rPr>
        <w:t>, with one (</w:t>
      </w:r>
      <w:r w:rsidR="00C86E44" w:rsidRPr="49180FC6">
        <w:rPr>
          <w:sz w:val="22"/>
          <w:szCs w:val="22"/>
          <w:lang w:val="en-GB"/>
        </w:rPr>
        <w:t>Zhifei-IRV</w:t>
      </w:r>
      <w:r w:rsidR="00405199" w:rsidRPr="49180FC6">
        <w:rPr>
          <w:sz w:val="22"/>
          <w:szCs w:val="22"/>
          <w:lang w:val="en-GB"/>
        </w:rPr>
        <w:t>)</w:t>
      </w:r>
      <w:r w:rsidR="00C86E44" w:rsidRPr="49180FC6">
        <w:rPr>
          <w:sz w:val="22"/>
          <w:szCs w:val="22"/>
          <w:lang w:val="en-GB"/>
        </w:rPr>
        <w:t xml:space="preserve"> </w:t>
      </w:r>
      <w:r w:rsidR="00405199" w:rsidRPr="49180FC6">
        <w:rPr>
          <w:sz w:val="22"/>
          <w:szCs w:val="22"/>
          <w:lang w:val="en-GB"/>
        </w:rPr>
        <w:t xml:space="preserve">having </w:t>
      </w:r>
      <w:r w:rsidR="00C86E44" w:rsidRPr="49180FC6">
        <w:rPr>
          <w:sz w:val="22"/>
          <w:szCs w:val="22"/>
          <w:lang w:val="en-GB"/>
        </w:rPr>
        <w:t>finish</w:t>
      </w:r>
      <w:r w:rsidR="00405199" w:rsidRPr="49180FC6">
        <w:rPr>
          <w:sz w:val="22"/>
          <w:szCs w:val="22"/>
          <w:lang w:val="en-GB"/>
        </w:rPr>
        <w:t>ed</w:t>
      </w:r>
      <w:r w:rsidR="00C86E44" w:rsidRPr="49180FC6">
        <w:rPr>
          <w:sz w:val="22"/>
          <w:szCs w:val="22"/>
          <w:lang w:val="en-GB"/>
        </w:rPr>
        <w:t xml:space="preserve"> Phase</w:t>
      </w:r>
      <w:r w:rsidR="00A509FA">
        <w:rPr>
          <w:sz w:val="22"/>
          <w:szCs w:val="22"/>
          <w:lang w:val="en-GB"/>
        </w:rPr>
        <w:t xml:space="preserve"> I</w:t>
      </w:r>
      <w:r w:rsidR="00C86E44" w:rsidRPr="49180FC6">
        <w:rPr>
          <w:sz w:val="22"/>
          <w:szCs w:val="22"/>
          <w:lang w:val="en-GB"/>
        </w:rPr>
        <w:t xml:space="preserve"> </w:t>
      </w:r>
    </w:p>
    <w:p w14:paraId="66561834" w14:textId="77777777" w:rsidR="00B713D9" w:rsidRPr="00B713D9" w:rsidRDefault="00B713D9" w:rsidP="00B713D9">
      <w:pPr>
        <w:pStyle w:val="ListParagraph"/>
        <w:spacing w:line="288" w:lineRule="auto"/>
        <w:jc w:val="both"/>
        <w:rPr>
          <w:sz w:val="22"/>
          <w:szCs w:val="22"/>
          <w:lang w:val="en-GB"/>
        </w:rPr>
      </w:pPr>
    </w:p>
    <w:p w14:paraId="1BEC0D63" w14:textId="22F3D680" w:rsidR="003432E5" w:rsidRDefault="00695251" w:rsidP="003432E5">
      <w:pPr>
        <w:pStyle w:val="ListParagraph"/>
        <w:numPr>
          <w:ilvl w:val="0"/>
          <w:numId w:val="12"/>
        </w:numPr>
        <w:jc w:val="both"/>
        <w:rPr>
          <w:sz w:val="22"/>
          <w:szCs w:val="22"/>
        </w:rPr>
      </w:pPr>
      <w:r w:rsidRPr="00A71D33">
        <w:rPr>
          <w:b/>
          <w:bCs/>
          <w:color w:val="156082" w:themeColor="accent1"/>
          <w:sz w:val="22"/>
          <w:szCs w:val="22"/>
          <w:lang w:val="en-GB"/>
        </w:rPr>
        <w:t>Cholera:</w:t>
      </w:r>
      <w:r w:rsidR="00A71D33">
        <w:rPr>
          <w:sz w:val="22"/>
          <w:szCs w:val="22"/>
        </w:rPr>
        <w:t xml:space="preserve"> </w:t>
      </w:r>
      <w:r w:rsidR="005418F1" w:rsidRPr="51810E21">
        <w:rPr>
          <w:sz w:val="22"/>
          <w:szCs w:val="22"/>
        </w:rPr>
        <w:t>Three</w:t>
      </w:r>
      <w:r w:rsidR="00512E74" w:rsidRPr="51810E21">
        <w:rPr>
          <w:sz w:val="22"/>
          <w:szCs w:val="22"/>
        </w:rPr>
        <w:t xml:space="preserve"> products</w:t>
      </w:r>
      <w:r w:rsidR="00F94BA4" w:rsidRPr="51810E21">
        <w:rPr>
          <w:sz w:val="22"/>
          <w:szCs w:val="22"/>
        </w:rPr>
        <w:t xml:space="preserve"> have been </w:t>
      </w:r>
      <w:r w:rsidR="00F31E8C" w:rsidRPr="51810E21">
        <w:rPr>
          <w:sz w:val="22"/>
          <w:szCs w:val="22"/>
        </w:rPr>
        <w:t xml:space="preserve">WHO </w:t>
      </w:r>
      <w:r w:rsidR="00F94BA4" w:rsidRPr="51810E21">
        <w:rPr>
          <w:sz w:val="22"/>
          <w:szCs w:val="22"/>
        </w:rPr>
        <w:t>prequalified</w:t>
      </w:r>
      <w:r w:rsidR="00DB6D88">
        <w:rPr>
          <w:sz w:val="22"/>
          <w:szCs w:val="22"/>
        </w:rPr>
        <w:t>:</w:t>
      </w:r>
      <w:r w:rsidR="00512E74" w:rsidRPr="51810E21">
        <w:rPr>
          <w:sz w:val="22"/>
          <w:szCs w:val="22"/>
        </w:rPr>
        <w:t xml:space="preserve"> </w:t>
      </w:r>
      <w:proofErr w:type="spellStart"/>
      <w:r w:rsidR="00512E74" w:rsidRPr="51810E21">
        <w:rPr>
          <w:sz w:val="22"/>
          <w:szCs w:val="22"/>
        </w:rPr>
        <w:t>Shan</w:t>
      </w:r>
      <w:r w:rsidR="00F31E8C" w:rsidRPr="51810E21">
        <w:rPr>
          <w:sz w:val="22"/>
          <w:szCs w:val="22"/>
        </w:rPr>
        <w:t>c</w:t>
      </w:r>
      <w:r w:rsidR="00512E74" w:rsidRPr="51810E21">
        <w:rPr>
          <w:sz w:val="22"/>
          <w:szCs w:val="22"/>
        </w:rPr>
        <w:t>hol</w:t>
      </w:r>
      <w:proofErr w:type="spellEnd"/>
      <w:r w:rsidR="00894EE2" w:rsidRPr="51810E21">
        <w:rPr>
          <w:sz w:val="22"/>
          <w:szCs w:val="22"/>
        </w:rPr>
        <w:t>®</w:t>
      </w:r>
      <w:r w:rsidR="00512E74" w:rsidRPr="51810E21">
        <w:rPr>
          <w:sz w:val="22"/>
          <w:szCs w:val="22"/>
        </w:rPr>
        <w:t xml:space="preserve">, </w:t>
      </w:r>
      <w:proofErr w:type="spellStart"/>
      <w:r w:rsidR="00F31E8C" w:rsidRPr="51810E21">
        <w:rPr>
          <w:sz w:val="22"/>
          <w:szCs w:val="22"/>
        </w:rPr>
        <w:t>Dukoral</w:t>
      </w:r>
      <w:proofErr w:type="spellEnd"/>
      <w:r w:rsidR="00894EE2" w:rsidRPr="51810E21">
        <w:rPr>
          <w:sz w:val="22"/>
          <w:szCs w:val="22"/>
        </w:rPr>
        <w:t>®</w:t>
      </w:r>
      <w:r w:rsidR="00F94BA4" w:rsidRPr="51810E21">
        <w:rPr>
          <w:sz w:val="22"/>
          <w:szCs w:val="22"/>
        </w:rPr>
        <w:t>,</w:t>
      </w:r>
      <w:r w:rsidR="00512E74" w:rsidRPr="51810E21">
        <w:rPr>
          <w:sz w:val="22"/>
          <w:szCs w:val="22"/>
        </w:rPr>
        <w:t xml:space="preserve"> and </w:t>
      </w:r>
      <w:proofErr w:type="spellStart"/>
      <w:r w:rsidR="00F31E8C" w:rsidRPr="51810E21">
        <w:rPr>
          <w:sz w:val="22"/>
          <w:szCs w:val="22"/>
        </w:rPr>
        <w:t>Euvichol</w:t>
      </w:r>
      <w:proofErr w:type="spellEnd"/>
      <w:r w:rsidR="00894EE2" w:rsidRPr="51810E21">
        <w:rPr>
          <w:sz w:val="22"/>
          <w:szCs w:val="22"/>
        </w:rPr>
        <w:t>®</w:t>
      </w:r>
      <w:r w:rsidR="003B43D6" w:rsidRPr="51810E21">
        <w:rPr>
          <w:sz w:val="22"/>
          <w:szCs w:val="22"/>
        </w:rPr>
        <w:t>.</w:t>
      </w:r>
      <w:r w:rsidR="009F7CAA" w:rsidRPr="51810E21">
        <w:rPr>
          <w:rStyle w:val="EndnoteReference"/>
          <w:sz w:val="22"/>
          <w:szCs w:val="22"/>
        </w:rPr>
        <w:endnoteReference w:id="42"/>
      </w:r>
      <w:r w:rsidR="003B43D6" w:rsidRPr="51810E21">
        <w:rPr>
          <w:sz w:val="22"/>
          <w:szCs w:val="22"/>
        </w:rPr>
        <w:t xml:space="preserve"> </w:t>
      </w:r>
      <w:r w:rsidR="00AD6DB9" w:rsidRPr="51810E21">
        <w:rPr>
          <w:sz w:val="22"/>
          <w:szCs w:val="22"/>
        </w:rPr>
        <w:t>Three major platforms are being explored</w:t>
      </w:r>
      <w:r w:rsidR="00F94BA4" w:rsidRPr="51810E21">
        <w:rPr>
          <w:sz w:val="22"/>
          <w:szCs w:val="22"/>
        </w:rPr>
        <w:t xml:space="preserve"> for next generation vaccines</w:t>
      </w:r>
      <w:r w:rsidR="00AD6DB9" w:rsidRPr="51810E21">
        <w:rPr>
          <w:sz w:val="22"/>
          <w:szCs w:val="22"/>
        </w:rPr>
        <w:t xml:space="preserve">: </w:t>
      </w:r>
      <w:r w:rsidR="007075F9" w:rsidRPr="51810E21">
        <w:rPr>
          <w:sz w:val="22"/>
          <w:szCs w:val="22"/>
        </w:rPr>
        <w:t xml:space="preserve">improved </w:t>
      </w:r>
      <w:r w:rsidR="00AD6DB9" w:rsidRPr="51810E21">
        <w:rPr>
          <w:sz w:val="22"/>
          <w:szCs w:val="22"/>
        </w:rPr>
        <w:t>live attenuated</w:t>
      </w:r>
      <w:r w:rsidR="008C1D9A" w:rsidRPr="51810E21">
        <w:rPr>
          <w:sz w:val="22"/>
          <w:szCs w:val="22"/>
        </w:rPr>
        <w:t xml:space="preserve"> oral vaccines</w:t>
      </w:r>
      <w:r w:rsidR="00AD6DB9" w:rsidRPr="51810E21">
        <w:rPr>
          <w:sz w:val="22"/>
          <w:szCs w:val="22"/>
        </w:rPr>
        <w:t>, improved killed cell</w:t>
      </w:r>
      <w:r w:rsidR="008C1D9A" w:rsidRPr="51810E21">
        <w:rPr>
          <w:sz w:val="22"/>
          <w:szCs w:val="22"/>
        </w:rPr>
        <w:t xml:space="preserve"> vaccines</w:t>
      </w:r>
      <w:r w:rsidR="003D140F" w:rsidRPr="51810E21">
        <w:rPr>
          <w:sz w:val="22"/>
          <w:szCs w:val="22"/>
        </w:rPr>
        <w:t xml:space="preserve"> (to which the three </w:t>
      </w:r>
      <w:r w:rsidR="00AA5B28" w:rsidRPr="51810E21">
        <w:rPr>
          <w:sz w:val="22"/>
          <w:szCs w:val="22"/>
        </w:rPr>
        <w:t>prequalified</w:t>
      </w:r>
      <w:r w:rsidR="003D140F" w:rsidRPr="51810E21">
        <w:rPr>
          <w:sz w:val="22"/>
          <w:szCs w:val="22"/>
        </w:rPr>
        <w:t xml:space="preserve"> vaccines belong)</w:t>
      </w:r>
      <w:r w:rsidR="00AD6DB9" w:rsidRPr="51810E21">
        <w:rPr>
          <w:sz w:val="22"/>
          <w:szCs w:val="22"/>
        </w:rPr>
        <w:t>, and conjugate</w:t>
      </w:r>
      <w:r w:rsidR="007075F9" w:rsidRPr="51810E21">
        <w:rPr>
          <w:sz w:val="22"/>
          <w:szCs w:val="22"/>
        </w:rPr>
        <w:t xml:space="preserve"> vaccines</w:t>
      </w:r>
      <w:r w:rsidR="00AD6DB9" w:rsidRPr="51810E21">
        <w:rPr>
          <w:sz w:val="22"/>
          <w:szCs w:val="22"/>
        </w:rPr>
        <w:t xml:space="preserve">. </w:t>
      </w:r>
    </w:p>
    <w:p w14:paraId="5677D39F" w14:textId="77777777" w:rsidR="003432E5" w:rsidRPr="003432E5" w:rsidRDefault="003432E5" w:rsidP="003432E5">
      <w:pPr>
        <w:pStyle w:val="ListParagraph"/>
        <w:jc w:val="both"/>
        <w:rPr>
          <w:sz w:val="22"/>
          <w:szCs w:val="22"/>
        </w:rPr>
      </w:pPr>
    </w:p>
    <w:p w14:paraId="09281B0F" w14:textId="77777777" w:rsidR="00A928FD" w:rsidRPr="00A928FD" w:rsidRDefault="003432E5" w:rsidP="0089451E">
      <w:pPr>
        <w:pStyle w:val="ListParagraph"/>
        <w:numPr>
          <w:ilvl w:val="0"/>
          <w:numId w:val="12"/>
        </w:numPr>
        <w:spacing w:line="288" w:lineRule="auto"/>
        <w:jc w:val="both"/>
        <w:rPr>
          <w:i/>
          <w:iCs/>
          <w:sz w:val="22"/>
          <w:szCs w:val="22"/>
          <w:lang w:val="en-GB"/>
        </w:rPr>
      </w:pPr>
      <w:r w:rsidRPr="003432E5">
        <w:rPr>
          <w:b/>
          <w:bCs/>
          <w:color w:val="156082" w:themeColor="accent1"/>
          <w:sz w:val="22"/>
          <w:szCs w:val="22"/>
          <w:lang w:val="en-GB"/>
        </w:rPr>
        <w:t>Chlamydia trachomatis:</w:t>
      </w:r>
      <w:r>
        <w:rPr>
          <w:i/>
          <w:iCs/>
          <w:sz w:val="22"/>
          <w:szCs w:val="22"/>
          <w:lang w:val="en-GB"/>
        </w:rPr>
        <w:t xml:space="preserve"> </w:t>
      </w:r>
      <w:r w:rsidRPr="003432E5">
        <w:rPr>
          <w:rFonts w:cs="Hubballi"/>
          <w:i/>
          <w:iCs/>
          <w:sz w:val="22"/>
          <w:szCs w:val="22"/>
        </w:rPr>
        <w:t>Chlamydia</w:t>
      </w:r>
      <w:r w:rsidRPr="003432E5">
        <w:rPr>
          <w:rFonts w:cs="Hubballi"/>
          <w:sz w:val="22"/>
          <w:szCs w:val="22"/>
        </w:rPr>
        <w:t xml:space="preserve"> is the world’s most common STI with 129 million new cases in 2020, globally.</w:t>
      </w:r>
      <w:r w:rsidRPr="7DC59A82">
        <w:rPr>
          <w:rStyle w:val="EndnoteReference"/>
          <w:rFonts w:cs="Hubballi"/>
          <w:sz w:val="22"/>
          <w:szCs w:val="22"/>
        </w:rPr>
        <w:endnoteReference w:id="43"/>
      </w:r>
      <w:r w:rsidRPr="003432E5">
        <w:rPr>
          <w:rFonts w:cs="Hubballi"/>
          <w:sz w:val="22"/>
          <w:szCs w:val="22"/>
        </w:rPr>
        <w:t xml:space="preserve"> The leading candidate vaccine, CTH522, has been shown to be safe and immunogenic</w:t>
      </w:r>
      <w:r w:rsidRPr="51810E21">
        <w:rPr>
          <w:rStyle w:val="EndnoteReference"/>
          <w:rFonts w:cs="Hubballi"/>
          <w:sz w:val="22"/>
          <w:szCs w:val="22"/>
        </w:rPr>
        <w:endnoteReference w:id="44"/>
      </w:r>
      <w:r w:rsidRPr="003432E5">
        <w:rPr>
          <w:rFonts w:cs="Hubballi"/>
          <w:sz w:val="22"/>
          <w:szCs w:val="22"/>
        </w:rPr>
        <w:t xml:space="preserve"> but its clinical development has not progressed. A Phase I study of a Sanofi mRNA vaccine began in March 2025, with results expected in 2028. It has been granted fast-track status by the US FDA.</w:t>
      </w:r>
      <w:r w:rsidRPr="51810E21">
        <w:rPr>
          <w:rStyle w:val="EndnoteReference"/>
          <w:rFonts w:cs="Hubballi"/>
          <w:sz w:val="22"/>
          <w:szCs w:val="22"/>
        </w:rPr>
        <w:endnoteReference w:id="45"/>
      </w:r>
    </w:p>
    <w:p w14:paraId="62A2B410" w14:textId="77777777" w:rsidR="00A928FD" w:rsidRPr="00A928FD" w:rsidRDefault="00A928FD" w:rsidP="00A928FD">
      <w:pPr>
        <w:pStyle w:val="ListParagraph"/>
        <w:rPr>
          <w:b/>
          <w:bCs/>
          <w:i/>
          <w:iCs/>
          <w:color w:val="156082" w:themeColor="accent1"/>
          <w:sz w:val="22"/>
          <w:szCs w:val="22"/>
          <w:lang w:val="en-GB"/>
        </w:rPr>
      </w:pPr>
    </w:p>
    <w:p w14:paraId="2B066BC3" w14:textId="793EC23B" w:rsidR="00416400" w:rsidRDefault="1A8657F1" w:rsidP="00416400">
      <w:pPr>
        <w:pStyle w:val="ListParagraph"/>
        <w:numPr>
          <w:ilvl w:val="0"/>
          <w:numId w:val="12"/>
        </w:numPr>
        <w:spacing w:line="288" w:lineRule="auto"/>
        <w:jc w:val="both"/>
        <w:rPr>
          <w:rFonts w:cs="Hubballi"/>
          <w:sz w:val="22"/>
          <w:szCs w:val="22"/>
        </w:rPr>
      </w:pPr>
      <w:r w:rsidRPr="28429A3C">
        <w:rPr>
          <w:b/>
          <w:bCs/>
          <w:i/>
          <w:iCs/>
          <w:color w:val="156082" w:themeColor="accent1"/>
          <w:sz w:val="22"/>
          <w:szCs w:val="22"/>
          <w:lang w:val="en-GB"/>
        </w:rPr>
        <w:t xml:space="preserve">Neisseria gonorrhoea: </w:t>
      </w:r>
      <w:r w:rsidR="7237C6E8" w:rsidRPr="28429A3C">
        <w:rPr>
          <w:i/>
          <w:iCs/>
          <w:sz w:val="22"/>
          <w:szCs w:val="22"/>
          <w:lang w:val="en-GB"/>
        </w:rPr>
        <w:t>Neisseria gonorrhoea</w:t>
      </w:r>
      <w:r w:rsidR="7237C6E8" w:rsidRPr="00416400">
        <w:rPr>
          <w:sz w:val="22"/>
          <w:szCs w:val="22"/>
          <w:lang w:val="en-GB"/>
        </w:rPr>
        <w:t xml:space="preserve"> </w:t>
      </w:r>
      <w:r w:rsidR="0414A5E4" w:rsidRPr="00416400">
        <w:rPr>
          <w:sz w:val="22"/>
          <w:szCs w:val="22"/>
          <w:lang w:val="en-GB"/>
        </w:rPr>
        <w:t xml:space="preserve">causes </w:t>
      </w:r>
      <w:r w:rsidR="059F7D76" w:rsidRPr="00416400">
        <w:rPr>
          <w:sz w:val="22"/>
          <w:szCs w:val="22"/>
          <w:lang w:val="en-GB"/>
        </w:rPr>
        <w:t xml:space="preserve">around 82 </w:t>
      </w:r>
      <w:r w:rsidR="5465435A" w:rsidRPr="00416400">
        <w:rPr>
          <w:sz w:val="22"/>
          <w:szCs w:val="22"/>
          <w:lang w:val="en-GB"/>
        </w:rPr>
        <w:t xml:space="preserve">million </w:t>
      </w:r>
      <w:r w:rsidR="059F7D76" w:rsidRPr="00416400">
        <w:rPr>
          <w:sz w:val="22"/>
          <w:szCs w:val="22"/>
          <w:lang w:val="en-GB"/>
        </w:rPr>
        <w:t xml:space="preserve">new </w:t>
      </w:r>
      <w:r w:rsidR="7237C6E8" w:rsidRPr="00416400">
        <w:rPr>
          <w:sz w:val="22"/>
          <w:szCs w:val="22"/>
          <w:lang w:val="en-GB"/>
        </w:rPr>
        <w:t xml:space="preserve">infections </w:t>
      </w:r>
      <w:r w:rsidR="3CDCE771" w:rsidRPr="00416400">
        <w:rPr>
          <w:sz w:val="22"/>
          <w:szCs w:val="22"/>
          <w:lang w:val="en-GB"/>
        </w:rPr>
        <w:t>annually</w:t>
      </w:r>
      <w:r w:rsidR="059F7D76" w:rsidRPr="00416400">
        <w:rPr>
          <w:sz w:val="22"/>
          <w:szCs w:val="22"/>
          <w:lang w:val="en-GB"/>
        </w:rPr>
        <w:t>, with the highest burden in LMICs</w:t>
      </w:r>
      <w:r w:rsidR="00894383" w:rsidRPr="7DC59A82">
        <w:rPr>
          <w:rStyle w:val="EndnoteReference"/>
          <w:sz w:val="22"/>
          <w:szCs w:val="22"/>
          <w:lang w:val="en-GB"/>
        </w:rPr>
        <w:endnoteReference w:id="46"/>
      </w:r>
      <w:r w:rsidR="65347DBE" w:rsidRPr="00416400">
        <w:rPr>
          <w:sz w:val="22"/>
          <w:szCs w:val="22"/>
          <w:lang w:val="en-GB"/>
        </w:rPr>
        <w:t xml:space="preserve"> and an increasing public health concern due to</w:t>
      </w:r>
      <w:r w:rsidR="7EB43D15" w:rsidRPr="00416400">
        <w:rPr>
          <w:sz w:val="22"/>
          <w:szCs w:val="22"/>
          <w:lang w:val="en-GB"/>
        </w:rPr>
        <w:t xml:space="preserve"> anti</w:t>
      </w:r>
      <w:r w:rsidR="416A7646" w:rsidRPr="00416400">
        <w:rPr>
          <w:sz w:val="22"/>
          <w:szCs w:val="22"/>
          <w:lang w:val="en-GB"/>
        </w:rPr>
        <w:t xml:space="preserve">microbial resistance </w:t>
      </w:r>
      <w:r w:rsidR="03E6F5D3" w:rsidRPr="00416400">
        <w:rPr>
          <w:sz w:val="22"/>
          <w:szCs w:val="22"/>
          <w:lang w:val="en-GB"/>
        </w:rPr>
        <w:t>(AMR)</w:t>
      </w:r>
      <w:r w:rsidR="7237C6E8" w:rsidRPr="00416400">
        <w:rPr>
          <w:sz w:val="22"/>
          <w:szCs w:val="22"/>
          <w:lang w:val="en-GB"/>
        </w:rPr>
        <w:t xml:space="preserve">. </w:t>
      </w:r>
      <w:r w:rsidR="49A331BA" w:rsidRPr="00416400">
        <w:rPr>
          <w:sz w:val="22"/>
          <w:szCs w:val="22"/>
          <w:lang w:val="en-GB"/>
        </w:rPr>
        <w:t>V</w:t>
      </w:r>
      <w:proofErr w:type="spellStart"/>
      <w:r w:rsidR="49A331BA" w:rsidRPr="00416400">
        <w:rPr>
          <w:sz w:val="22"/>
          <w:szCs w:val="22"/>
        </w:rPr>
        <w:t>accine</w:t>
      </w:r>
      <w:proofErr w:type="spellEnd"/>
      <w:r w:rsidR="49A331BA" w:rsidRPr="28429A3C">
        <w:rPr>
          <w:sz w:val="22"/>
          <w:szCs w:val="22"/>
        </w:rPr>
        <w:t xml:space="preserve"> development is challenging because the bacterium is highly antigenically diverse and natural infection does not confer protective immunity.</w:t>
      </w:r>
      <w:r w:rsidR="49A331BA" w:rsidRPr="00416400">
        <w:rPr>
          <w:sz w:val="22"/>
          <w:szCs w:val="22"/>
          <w:lang w:val="en-GB"/>
        </w:rPr>
        <w:t xml:space="preserve"> </w:t>
      </w:r>
      <w:r w:rsidR="01522ADA" w:rsidRPr="00416400">
        <w:rPr>
          <w:rFonts w:cs="Hubballi"/>
          <w:sz w:val="22"/>
          <w:szCs w:val="22"/>
        </w:rPr>
        <w:t xml:space="preserve">In late 2024, GSK reported that it had ceased development of its GMMA-based </w:t>
      </w:r>
      <w:r w:rsidR="01522ADA" w:rsidRPr="28429A3C">
        <w:rPr>
          <w:rFonts w:cs="Hubballi"/>
          <w:i/>
          <w:iCs/>
          <w:sz w:val="22"/>
          <w:szCs w:val="22"/>
        </w:rPr>
        <w:t>N. gonorrhoea</w:t>
      </w:r>
      <w:r w:rsidR="5785C019" w:rsidRPr="28429A3C">
        <w:rPr>
          <w:rFonts w:cs="Hubballi"/>
          <w:i/>
          <w:iCs/>
          <w:sz w:val="22"/>
          <w:szCs w:val="22"/>
        </w:rPr>
        <w:t>e</w:t>
      </w:r>
      <w:r w:rsidR="01522ADA" w:rsidRPr="28429A3C">
        <w:rPr>
          <w:rFonts w:cs="Hubballi"/>
          <w:sz w:val="22"/>
          <w:szCs w:val="22"/>
        </w:rPr>
        <w:t xml:space="preserve"> vaccine following disappointing Phase II trial results. </w:t>
      </w:r>
      <w:r w:rsidR="7237C6E8" w:rsidRPr="28429A3C">
        <w:rPr>
          <w:sz w:val="22"/>
          <w:szCs w:val="22"/>
          <w:lang w:val="en-GB"/>
        </w:rPr>
        <w:t xml:space="preserve">Observational studies </w:t>
      </w:r>
      <w:r w:rsidR="0EFC2673" w:rsidRPr="28429A3C">
        <w:rPr>
          <w:sz w:val="22"/>
          <w:szCs w:val="22"/>
          <w:lang w:val="en-GB"/>
        </w:rPr>
        <w:t>demonstrated</w:t>
      </w:r>
      <w:r w:rsidR="7237C6E8" w:rsidRPr="28429A3C">
        <w:rPr>
          <w:sz w:val="22"/>
          <w:szCs w:val="22"/>
          <w:lang w:val="en-GB"/>
        </w:rPr>
        <w:t xml:space="preserve"> that </w:t>
      </w:r>
      <w:r w:rsidR="63F933B6" w:rsidRPr="28429A3C">
        <w:rPr>
          <w:sz w:val="22"/>
          <w:szCs w:val="22"/>
          <w:lang w:val="en-GB"/>
        </w:rPr>
        <w:t xml:space="preserve">outer membrane </w:t>
      </w:r>
      <w:r w:rsidR="787F68A1" w:rsidRPr="28429A3C">
        <w:rPr>
          <w:sz w:val="22"/>
          <w:szCs w:val="22"/>
          <w:lang w:val="en-GB"/>
        </w:rPr>
        <w:t>vesicle</w:t>
      </w:r>
      <w:r w:rsidR="63F933B6" w:rsidRPr="28429A3C">
        <w:rPr>
          <w:sz w:val="22"/>
          <w:szCs w:val="22"/>
          <w:lang w:val="en-GB"/>
        </w:rPr>
        <w:t xml:space="preserve"> (OMV)</w:t>
      </w:r>
      <w:r w:rsidR="7642858B" w:rsidRPr="28429A3C">
        <w:rPr>
          <w:sz w:val="22"/>
          <w:szCs w:val="22"/>
          <w:lang w:val="en-GB"/>
        </w:rPr>
        <w:t>-</w:t>
      </w:r>
      <w:r w:rsidR="787F68A1" w:rsidRPr="28429A3C">
        <w:rPr>
          <w:sz w:val="22"/>
          <w:szCs w:val="22"/>
          <w:lang w:val="en-GB"/>
        </w:rPr>
        <w:t>based</w:t>
      </w:r>
      <w:r w:rsidR="0EFC2673" w:rsidRPr="28429A3C">
        <w:rPr>
          <w:sz w:val="22"/>
          <w:szCs w:val="22"/>
          <w:lang w:val="en-GB"/>
        </w:rPr>
        <w:t xml:space="preserve"> </w:t>
      </w:r>
      <w:r w:rsidR="787F68A1" w:rsidRPr="28429A3C">
        <w:rPr>
          <w:sz w:val="22"/>
          <w:szCs w:val="22"/>
          <w:lang w:val="en-GB"/>
        </w:rPr>
        <w:t xml:space="preserve">vaccines against </w:t>
      </w:r>
      <w:r w:rsidR="787F68A1" w:rsidRPr="28429A3C">
        <w:rPr>
          <w:i/>
          <w:iCs/>
          <w:sz w:val="22"/>
          <w:szCs w:val="22"/>
          <w:lang w:val="en-GB"/>
        </w:rPr>
        <w:t>Neisseria meningitidis</w:t>
      </w:r>
      <w:r w:rsidR="787F68A1" w:rsidRPr="28429A3C">
        <w:rPr>
          <w:sz w:val="22"/>
          <w:szCs w:val="22"/>
          <w:lang w:val="en-GB"/>
        </w:rPr>
        <w:t xml:space="preserve"> serogroup B (</w:t>
      </w:r>
      <w:proofErr w:type="spellStart"/>
      <w:r w:rsidR="0EFC2673" w:rsidRPr="28429A3C">
        <w:rPr>
          <w:sz w:val="22"/>
          <w:szCs w:val="22"/>
          <w:lang w:val="en-GB"/>
        </w:rPr>
        <w:t>MenB</w:t>
      </w:r>
      <w:proofErr w:type="spellEnd"/>
      <w:r w:rsidR="787F68A1" w:rsidRPr="28429A3C">
        <w:rPr>
          <w:sz w:val="22"/>
          <w:szCs w:val="22"/>
          <w:lang w:val="en-GB"/>
        </w:rPr>
        <w:t>)</w:t>
      </w:r>
      <w:r w:rsidR="0EFC2673" w:rsidRPr="28429A3C">
        <w:rPr>
          <w:sz w:val="22"/>
          <w:szCs w:val="22"/>
          <w:lang w:val="en-GB"/>
        </w:rPr>
        <w:t xml:space="preserve"> </w:t>
      </w:r>
      <w:r w:rsidR="7237C6E8" w:rsidRPr="28429A3C">
        <w:rPr>
          <w:sz w:val="22"/>
          <w:szCs w:val="22"/>
          <w:lang w:val="en-GB"/>
        </w:rPr>
        <w:t>provide</w:t>
      </w:r>
      <w:r w:rsidR="42CC38FE" w:rsidRPr="28429A3C">
        <w:rPr>
          <w:sz w:val="22"/>
          <w:szCs w:val="22"/>
          <w:lang w:val="en-GB"/>
        </w:rPr>
        <w:t>s</w:t>
      </w:r>
      <w:r w:rsidR="7237C6E8" w:rsidRPr="28429A3C">
        <w:rPr>
          <w:sz w:val="22"/>
          <w:szCs w:val="22"/>
          <w:lang w:val="en-GB"/>
        </w:rPr>
        <w:t xml:space="preserve"> </w:t>
      </w:r>
      <w:r w:rsidR="42CC38FE" w:rsidRPr="28429A3C">
        <w:rPr>
          <w:sz w:val="22"/>
          <w:szCs w:val="22"/>
          <w:lang w:val="en-GB"/>
        </w:rPr>
        <w:t xml:space="preserve">some </w:t>
      </w:r>
      <w:r w:rsidR="7237C6E8" w:rsidRPr="28429A3C">
        <w:rPr>
          <w:sz w:val="22"/>
          <w:szCs w:val="22"/>
          <w:lang w:val="en-GB"/>
        </w:rPr>
        <w:t xml:space="preserve">cross-protection against </w:t>
      </w:r>
      <w:r w:rsidR="7237C6E8" w:rsidRPr="28429A3C">
        <w:rPr>
          <w:i/>
          <w:iCs/>
          <w:sz w:val="22"/>
          <w:szCs w:val="22"/>
          <w:lang w:val="en-GB"/>
        </w:rPr>
        <w:t>N. gonorrhoea</w:t>
      </w:r>
      <w:r w:rsidR="42CC38FE" w:rsidRPr="28429A3C">
        <w:rPr>
          <w:i/>
          <w:iCs/>
          <w:sz w:val="22"/>
          <w:szCs w:val="22"/>
          <w:lang w:val="en-GB"/>
        </w:rPr>
        <w:t xml:space="preserve">, </w:t>
      </w:r>
      <w:r w:rsidR="7237C6E8" w:rsidRPr="28429A3C">
        <w:rPr>
          <w:sz w:val="22"/>
          <w:szCs w:val="22"/>
          <w:lang w:val="en-GB"/>
        </w:rPr>
        <w:t xml:space="preserve">with </w:t>
      </w:r>
      <w:r w:rsidR="104C9164" w:rsidRPr="28429A3C">
        <w:rPr>
          <w:sz w:val="22"/>
          <w:szCs w:val="22"/>
          <w:lang w:val="en-GB"/>
        </w:rPr>
        <w:t xml:space="preserve">pooled </w:t>
      </w:r>
      <w:r w:rsidR="17EE63A3" w:rsidRPr="28429A3C">
        <w:rPr>
          <w:sz w:val="22"/>
          <w:szCs w:val="22"/>
          <w:lang w:val="en-GB"/>
        </w:rPr>
        <w:t xml:space="preserve">efficacy </w:t>
      </w:r>
      <w:r w:rsidR="104C9164" w:rsidRPr="28429A3C">
        <w:rPr>
          <w:sz w:val="22"/>
          <w:szCs w:val="22"/>
          <w:lang w:val="en-GB"/>
        </w:rPr>
        <w:t xml:space="preserve">estimates of </w:t>
      </w:r>
      <w:r w:rsidR="17EE63A3" w:rsidRPr="28429A3C">
        <w:rPr>
          <w:sz w:val="22"/>
          <w:szCs w:val="22"/>
          <w:lang w:val="en-GB"/>
        </w:rPr>
        <w:t>about</w:t>
      </w:r>
      <w:r w:rsidR="446EF421" w:rsidRPr="28429A3C">
        <w:rPr>
          <w:sz w:val="22"/>
          <w:szCs w:val="22"/>
          <w:lang w:val="en-GB"/>
        </w:rPr>
        <w:t xml:space="preserve"> </w:t>
      </w:r>
      <w:r w:rsidR="7237C6E8" w:rsidRPr="28429A3C">
        <w:rPr>
          <w:sz w:val="22"/>
          <w:szCs w:val="22"/>
          <w:lang w:val="en-GB"/>
        </w:rPr>
        <w:t>30–35%</w:t>
      </w:r>
      <w:r w:rsidR="17EE63A3" w:rsidRPr="28429A3C">
        <w:rPr>
          <w:sz w:val="22"/>
          <w:szCs w:val="22"/>
          <w:lang w:val="en-GB"/>
        </w:rPr>
        <w:t xml:space="preserve"> with </w:t>
      </w:r>
      <w:r w:rsidR="2B8C1F07" w:rsidRPr="28429A3C">
        <w:rPr>
          <w:sz w:val="22"/>
          <w:szCs w:val="22"/>
          <w:lang w:val="en-GB"/>
        </w:rPr>
        <w:t>protection potentially lasting up five years</w:t>
      </w:r>
      <w:r w:rsidR="42CC38FE" w:rsidRPr="28429A3C">
        <w:rPr>
          <w:sz w:val="22"/>
          <w:szCs w:val="22"/>
          <w:lang w:val="en-GB"/>
        </w:rPr>
        <w:t>.</w:t>
      </w:r>
      <w:r w:rsidR="2B8C1F07" w:rsidRPr="28429A3C">
        <w:rPr>
          <w:rStyle w:val="EndnoteReference"/>
          <w:sz w:val="22"/>
          <w:szCs w:val="22"/>
          <w:lang w:val="en-GB"/>
        </w:rPr>
        <w:t xml:space="preserve"> </w:t>
      </w:r>
      <w:r w:rsidRPr="28429A3C">
        <w:rPr>
          <w:rStyle w:val="EndnoteReference"/>
          <w:sz w:val="22"/>
          <w:szCs w:val="22"/>
          <w:lang w:val="en-GB"/>
        </w:rPr>
        <w:endnoteReference w:id="47"/>
      </w:r>
      <w:r w:rsidR="2B8C1F07" w:rsidRPr="28429A3C">
        <w:rPr>
          <w:sz w:val="22"/>
          <w:szCs w:val="22"/>
          <w:lang w:val="en-GB"/>
        </w:rPr>
        <w:t xml:space="preserve"> </w:t>
      </w:r>
      <w:r w:rsidR="42CC38FE" w:rsidRPr="28429A3C">
        <w:rPr>
          <w:sz w:val="22"/>
          <w:szCs w:val="22"/>
          <w:lang w:val="en-GB"/>
        </w:rPr>
        <w:t xml:space="preserve"> Modelling suggests this limited efficacy </w:t>
      </w:r>
      <w:r w:rsidR="721A6380" w:rsidRPr="28429A3C">
        <w:rPr>
          <w:rFonts w:cs="Hubballi"/>
          <w:sz w:val="22"/>
          <w:szCs w:val="22"/>
          <w:lang w:val="en-GB"/>
        </w:rPr>
        <w:t xml:space="preserve">may be </w:t>
      </w:r>
      <w:r w:rsidR="2C5FCD3D" w:rsidRPr="28429A3C">
        <w:rPr>
          <w:rFonts w:cs="Hubballi"/>
          <w:sz w:val="22"/>
          <w:szCs w:val="22"/>
          <w:lang w:val="en-GB"/>
        </w:rPr>
        <w:t>impactful</w:t>
      </w:r>
      <w:r w:rsidR="7CBF02FE" w:rsidRPr="28429A3C">
        <w:rPr>
          <w:rFonts w:cs="Hubballi"/>
          <w:sz w:val="22"/>
          <w:szCs w:val="22"/>
          <w:lang w:val="en-GB"/>
        </w:rPr>
        <w:t xml:space="preserve"> on gonorrhoea </w:t>
      </w:r>
      <w:r w:rsidR="569F4F10" w:rsidRPr="28429A3C">
        <w:rPr>
          <w:rFonts w:cs="Hubballi"/>
          <w:sz w:val="22"/>
          <w:szCs w:val="22"/>
          <w:lang w:val="en-GB"/>
        </w:rPr>
        <w:t>in high-risk groups</w:t>
      </w:r>
      <w:r w:rsidRPr="28429A3C">
        <w:rPr>
          <w:rStyle w:val="EndnoteReference"/>
          <w:rFonts w:cs="Hubballi"/>
          <w:sz w:val="22"/>
          <w:szCs w:val="22"/>
          <w:lang w:val="en-GB"/>
        </w:rPr>
        <w:endnoteReference w:id="48"/>
      </w:r>
      <w:r w:rsidR="00FAC24E" w:rsidRPr="28429A3C">
        <w:rPr>
          <w:rFonts w:cs="Hubballi"/>
          <w:sz w:val="22"/>
          <w:szCs w:val="22"/>
          <w:lang w:val="en-GB"/>
        </w:rPr>
        <w:t xml:space="preserve"> as well as </w:t>
      </w:r>
      <w:r w:rsidR="03E6F5D3" w:rsidRPr="28429A3C">
        <w:rPr>
          <w:rFonts w:cs="Hubballi"/>
          <w:sz w:val="22"/>
          <w:szCs w:val="22"/>
          <w:lang w:val="en-GB"/>
        </w:rPr>
        <w:t>reduce</w:t>
      </w:r>
      <w:r w:rsidR="00FAC24E" w:rsidRPr="28429A3C">
        <w:rPr>
          <w:rFonts w:cs="Hubballi"/>
          <w:sz w:val="22"/>
          <w:szCs w:val="22"/>
          <w:lang w:val="en-GB"/>
        </w:rPr>
        <w:t xml:space="preserve"> AMR</w:t>
      </w:r>
      <w:r w:rsidR="7237C6E8" w:rsidRPr="28429A3C">
        <w:rPr>
          <w:sz w:val="22"/>
          <w:szCs w:val="22"/>
          <w:lang w:val="en-GB"/>
        </w:rPr>
        <w:t>. Six trials of</w:t>
      </w:r>
      <w:r w:rsidR="74CF28BE" w:rsidRPr="28429A3C">
        <w:rPr>
          <w:sz w:val="22"/>
          <w:szCs w:val="22"/>
          <w:lang w:val="en-GB"/>
        </w:rPr>
        <w:t xml:space="preserve"> the </w:t>
      </w:r>
      <w:r w:rsidR="762FB350" w:rsidRPr="28429A3C">
        <w:rPr>
          <w:sz w:val="22"/>
          <w:szCs w:val="22"/>
          <w:lang w:val="en-GB"/>
        </w:rPr>
        <w:t xml:space="preserve">OMV-based </w:t>
      </w:r>
      <w:r w:rsidR="74CF28BE" w:rsidRPr="28429A3C">
        <w:rPr>
          <w:sz w:val="22"/>
          <w:szCs w:val="22"/>
          <w:lang w:val="en-GB"/>
        </w:rPr>
        <w:t xml:space="preserve">commercially available </w:t>
      </w:r>
      <w:proofErr w:type="spellStart"/>
      <w:r w:rsidR="74CF28BE" w:rsidRPr="28429A3C">
        <w:rPr>
          <w:sz w:val="22"/>
          <w:szCs w:val="22"/>
          <w:lang w:val="en-GB"/>
        </w:rPr>
        <w:t>MenB</w:t>
      </w:r>
      <w:proofErr w:type="spellEnd"/>
      <w:r w:rsidR="74CF28BE" w:rsidRPr="28429A3C">
        <w:rPr>
          <w:sz w:val="22"/>
          <w:szCs w:val="22"/>
          <w:lang w:val="en-GB"/>
        </w:rPr>
        <w:t xml:space="preserve"> vaccine </w:t>
      </w:r>
      <w:r w:rsidR="13CCC603" w:rsidRPr="28429A3C">
        <w:rPr>
          <w:sz w:val="22"/>
          <w:szCs w:val="22"/>
          <w:lang w:val="en-GB"/>
        </w:rPr>
        <w:t xml:space="preserve">(4CMenB </w:t>
      </w:r>
      <w:r w:rsidR="74CF28BE" w:rsidRPr="28429A3C">
        <w:rPr>
          <w:sz w:val="22"/>
          <w:szCs w:val="22"/>
          <w:lang w:val="en-GB"/>
        </w:rPr>
        <w:t>B</w:t>
      </w:r>
      <w:r w:rsidR="00A509FA">
        <w:rPr>
          <w:sz w:val="22"/>
          <w:szCs w:val="22"/>
          <w:lang w:val="en-GB"/>
        </w:rPr>
        <w:t>exs</w:t>
      </w:r>
      <w:r w:rsidR="00A509FA" w:rsidRPr="28429A3C">
        <w:rPr>
          <w:sz w:val="22"/>
          <w:szCs w:val="22"/>
          <w:lang w:val="en-GB"/>
        </w:rPr>
        <w:t>er</w:t>
      </w:r>
      <w:r w:rsidR="74CF28BE" w:rsidRPr="28429A3C">
        <w:rPr>
          <w:sz w:val="22"/>
          <w:szCs w:val="22"/>
          <w:lang w:val="en-GB"/>
        </w:rPr>
        <w:t>o</w:t>
      </w:r>
      <w:r w:rsidR="13CCC603" w:rsidRPr="28429A3C">
        <w:rPr>
          <w:sz w:val="22"/>
          <w:szCs w:val="22"/>
          <w:lang w:val="en-GB"/>
        </w:rPr>
        <w:t>)</w:t>
      </w:r>
      <w:r w:rsidR="7237C6E8" w:rsidRPr="28429A3C">
        <w:rPr>
          <w:sz w:val="22"/>
          <w:szCs w:val="22"/>
          <w:lang w:val="en-GB"/>
        </w:rPr>
        <w:t xml:space="preserve"> are evaluating protection against </w:t>
      </w:r>
      <w:r w:rsidR="7237C6E8" w:rsidRPr="28429A3C">
        <w:rPr>
          <w:i/>
          <w:iCs/>
          <w:sz w:val="22"/>
          <w:szCs w:val="22"/>
          <w:lang w:val="en-GB"/>
        </w:rPr>
        <w:t>N. gonorrhoea</w:t>
      </w:r>
      <w:r w:rsidR="7237C6E8" w:rsidRPr="28429A3C">
        <w:rPr>
          <w:sz w:val="22"/>
          <w:szCs w:val="22"/>
          <w:lang w:val="en-GB"/>
        </w:rPr>
        <w:t xml:space="preserve">, with results </w:t>
      </w:r>
      <w:r w:rsidR="0EC32C0D" w:rsidRPr="28429A3C">
        <w:rPr>
          <w:sz w:val="22"/>
          <w:szCs w:val="22"/>
          <w:lang w:val="en-GB"/>
        </w:rPr>
        <w:t>expected in 2026</w:t>
      </w:r>
      <w:r w:rsidR="7237C6E8" w:rsidRPr="28429A3C">
        <w:rPr>
          <w:sz w:val="22"/>
          <w:szCs w:val="22"/>
          <w:lang w:val="en-GB"/>
        </w:rPr>
        <w:t xml:space="preserve">. </w:t>
      </w:r>
      <w:r w:rsidR="69813268" w:rsidRPr="28429A3C">
        <w:rPr>
          <w:rFonts w:cs="Hubballi"/>
          <w:sz w:val="22"/>
          <w:szCs w:val="22"/>
        </w:rPr>
        <w:t xml:space="preserve">The potential for </w:t>
      </w:r>
      <w:proofErr w:type="spellStart"/>
      <w:r w:rsidR="69813268" w:rsidRPr="28429A3C">
        <w:rPr>
          <w:rFonts w:cs="Hubballi"/>
          <w:sz w:val="22"/>
          <w:szCs w:val="22"/>
        </w:rPr>
        <w:t>gonorrhoea</w:t>
      </w:r>
      <w:proofErr w:type="spellEnd"/>
      <w:r w:rsidR="69813268" w:rsidRPr="28429A3C">
        <w:rPr>
          <w:rFonts w:cs="Hubballi"/>
          <w:sz w:val="22"/>
          <w:szCs w:val="22"/>
        </w:rPr>
        <w:t xml:space="preserve"> prevention may improve the cost-effectiveness of </w:t>
      </w:r>
      <w:proofErr w:type="spellStart"/>
      <w:r w:rsidR="69813268" w:rsidRPr="28429A3C">
        <w:rPr>
          <w:rFonts w:cs="Hubballi"/>
          <w:sz w:val="22"/>
          <w:szCs w:val="22"/>
        </w:rPr>
        <w:t>MenB</w:t>
      </w:r>
      <w:proofErr w:type="spellEnd"/>
      <w:r w:rsidR="69813268" w:rsidRPr="28429A3C">
        <w:rPr>
          <w:rFonts w:cs="Hubballi"/>
          <w:sz w:val="22"/>
          <w:szCs w:val="22"/>
        </w:rPr>
        <w:t xml:space="preserve"> vaccination, although the epidemiology of meningococcal disease and </w:t>
      </w:r>
      <w:proofErr w:type="spellStart"/>
      <w:r w:rsidR="69813268" w:rsidRPr="28429A3C">
        <w:rPr>
          <w:rFonts w:cs="Hubballi"/>
          <w:sz w:val="22"/>
          <w:szCs w:val="22"/>
        </w:rPr>
        <w:t>gonorrhoea</w:t>
      </w:r>
      <w:proofErr w:type="spellEnd"/>
      <w:r w:rsidR="69813268" w:rsidRPr="28429A3C">
        <w:rPr>
          <w:rFonts w:cs="Hubballi"/>
          <w:sz w:val="22"/>
          <w:szCs w:val="22"/>
        </w:rPr>
        <w:t xml:space="preserve"> overlaps only in some settings. In 2025, the United Kingdom introduced targeted 4CMenB vaccination for high-risk </w:t>
      </w:r>
      <w:r w:rsidR="2E9AA0E6" w:rsidRPr="28429A3C">
        <w:rPr>
          <w:rFonts w:cs="Hubballi"/>
          <w:sz w:val="22"/>
          <w:szCs w:val="22"/>
        </w:rPr>
        <w:t>Gay, Bisexual, and other Men who have Sex with Men</w:t>
      </w:r>
      <w:r w:rsidR="4F699406" w:rsidRPr="28429A3C">
        <w:rPr>
          <w:rFonts w:cs="Hubballi"/>
          <w:sz w:val="22"/>
          <w:szCs w:val="22"/>
        </w:rPr>
        <w:t xml:space="preserve"> (</w:t>
      </w:r>
      <w:r w:rsidR="69813268" w:rsidRPr="28429A3C">
        <w:rPr>
          <w:rFonts w:cs="Hubballi"/>
          <w:sz w:val="22"/>
          <w:szCs w:val="22"/>
        </w:rPr>
        <w:t>GBMSM</w:t>
      </w:r>
      <w:r w:rsidR="4F699406" w:rsidRPr="28429A3C">
        <w:rPr>
          <w:rFonts w:cs="Hubballi"/>
          <w:sz w:val="22"/>
          <w:szCs w:val="22"/>
        </w:rPr>
        <w:t>)</w:t>
      </w:r>
      <w:r w:rsidR="69813268" w:rsidRPr="28429A3C">
        <w:rPr>
          <w:rFonts w:cs="Hubballi"/>
          <w:sz w:val="22"/>
          <w:szCs w:val="22"/>
        </w:rPr>
        <w:t xml:space="preserve"> populations through sexual health clinics.</w:t>
      </w:r>
      <w:r w:rsidR="1C18EA80" w:rsidRPr="28429A3C">
        <w:rPr>
          <w:rFonts w:cs="Hubballi"/>
          <w:sz w:val="22"/>
          <w:szCs w:val="22"/>
        </w:rPr>
        <w:t xml:space="preserve"> Future vaccine development is likely to be driven by the growing AMR threat. Results from ongoing 4CMenB st</w:t>
      </w:r>
      <w:r w:rsidR="003E02E6">
        <w:rPr>
          <w:rStyle w:val="EndnoteReference"/>
          <w:rFonts w:cs="Hubballi"/>
          <w:sz w:val="22"/>
          <w:szCs w:val="22"/>
        </w:rPr>
        <w:endnoteReference w:id="49"/>
      </w:r>
      <w:proofErr w:type="spellStart"/>
      <w:r w:rsidR="1C18EA80" w:rsidRPr="28429A3C">
        <w:rPr>
          <w:rFonts w:cs="Hubballi"/>
          <w:sz w:val="22"/>
          <w:szCs w:val="22"/>
        </w:rPr>
        <w:t>udies</w:t>
      </w:r>
      <w:proofErr w:type="spellEnd"/>
      <w:r w:rsidR="1C18EA80" w:rsidRPr="28429A3C">
        <w:rPr>
          <w:rFonts w:cs="Hubballi"/>
          <w:sz w:val="22"/>
          <w:szCs w:val="22"/>
        </w:rPr>
        <w:t xml:space="preserve"> will help determine the value of broader </w:t>
      </w:r>
      <w:proofErr w:type="spellStart"/>
      <w:r w:rsidR="1C18EA80" w:rsidRPr="28429A3C">
        <w:rPr>
          <w:rFonts w:cs="Hubballi"/>
          <w:sz w:val="22"/>
          <w:szCs w:val="22"/>
        </w:rPr>
        <w:t>MenB</w:t>
      </w:r>
      <w:proofErr w:type="spellEnd"/>
      <w:r w:rsidR="1C18EA80" w:rsidRPr="28429A3C">
        <w:rPr>
          <w:rFonts w:cs="Hubballi"/>
          <w:sz w:val="22"/>
          <w:szCs w:val="22"/>
        </w:rPr>
        <w:t xml:space="preserve"> use and guide the development of </w:t>
      </w:r>
      <w:proofErr w:type="spellStart"/>
      <w:r w:rsidR="1C18EA80" w:rsidRPr="28429A3C">
        <w:rPr>
          <w:rFonts w:cs="Hubballi"/>
          <w:sz w:val="22"/>
          <w:szCs w:val="22"/>
        </w:rPr>
        <w:t>gonorrhoea</w:t>
      </w:r>
      <w:proofErr w:type="spellEnd"/>
      <w:r w:rsidR="1C18EA80" w:rsidRPr="28429A3C">
        <w:rPr>
          <w:rFonts w:cs="Hubballi"/>
          <w:sz w:val="22"/>
          <w:szCs w:val="22"/>
        </w:rPr>
        <w:t xml:space="preserve">-specific or combined </w:t>
      </w:r>
      <w:proofErr w:type="spellStart"/>
      <w:r w:rsidR="1C18EA80" w:rsidRPr="28429A3C">
        <w:rPr>
          <w:rFonts w:cs="Hubballi"/>
          <w:sz w:val="22"/>
          <w:szCs w:val="22"/>
        </w:rPr>
        <w:t>gonorrhoea</w:t>
      </w:r>
      <w:proofErr w:type="spellEnd"/>
      <w:r w:rsidR="1C18EA80" w:rsidRPr="28429A3C">
        <w:rPr>
          <w:rFonts w:cs="Hubballi"/>
          <w:sz w:val="22"/>
          <w:szCs w:val="22"/>
        </w:rPr>
        <w:t>–chlamydia vaccines.</w:t>
      </w:r>
      <w:r w:rsidR="00902A87">
        <w:rPr>
          <w:rFonts w:cs="Hubballi"/>
          <w:sz w:val="22"/>
          <w:szCs w:val="22"/>
        </w:rPr>
        <w:t xml:space="preserve"> Post meeting note: </w:t>
      </w:r>
      <w:r w:rsidR="00194C51" w:rsidRPr="00194C51">
        <w:rPr>
          <w:rFonts w:cs="Hubballi"/>
          <w:sz w:val="22"/>
          <w:szCs w:val="22"/>
        </w:rPr>
        <w:t xml:space="preserve">results from the </w:t>
      </w:r>
      <w:proofErr w:type="spellStart"/>
      <w:r w:rsidR="00194C51" w:rsidRPr="00194C51">
        <w:rPr>
          <w:rFonts w:cs="Hubballi"/>
          <w:sz w:val="22"/>
          <w:szCs w:val="22"/>
        </w:rPr>
        <w:t>GoGoVax</w:t>
      </w:r>
      <w:proofErr w:type="spellEnd"/>
      <w:r w:rsidR="00194C51" w:rsidRPr="00194C51">
        <w:rPr>
          <w:rFonts w:cs="Hubballi"/>
          <w:sz w:val="22"/>
          <w:szCs w:val="22"/>
        </w:rPr>
        <w:t xml:space="preserve"> trial (Australia) were published, demonstrating that the meningococcal B vaccine (4CMenB, Bexsero®) did not confer protection against </w:t>
      </w:r>
      <w:r w:rsidR="00194C51" w:rsidRPr="00194C51">
        <w:rPr>
          <w:rFonts w:cs="Hubballi"/>
          <w:i/>
          <w:iCs/>
          <w:sz w:val="22"/>
          <w:szCs w:val="22"/>
        </w:rPr>
        <w:t>Neisseria gonorrhoeae</w:t>
      </w:r>
      <w:r w:rsidR="00194C51" w:rsidRPr="00194C51">
        <w:rPr>
          <w:rFonts w:cs="Hubballi"/>
          <w:sz w:val="22"/>
          <w:szCs w:val="22"/>
        </w:rPr>
        <w:t xml:space="preserve"> infection in the studied population.</w:t>
      </w:r>
      <w:r w:rsidR="00732869">
        <w:rPr>
          <w:rFonts w:cs="Hubballi"/>
          <w:sz w:val="22"/>
          <w:szCs w:val="22"/>
        </w:rPr>
        <w:t xml:space="preserve"> Similar results have been found in other studies.</w:t>
      </w:r>
      <w:r w:rsidR="00DE286B">
        <w:rPr>
          <w:rStyle w:val="EndnoteReference"/>
          <w:rFonts w:cs="Hubballi"/>
          <w:sz w:val="22"/>
          <w:szCs w:val="22"/>
        </w:rPr>
        <w:endnoteReference w:id="50"/>
      </w:r>
      <w:r w:rsidR="00732869">
        <w:rPr>
          <w:rFonts w:cs="Hubballi"/>
          <w:sz w:val="22"/>
          <w:szCs w:val="22"/>
        </w:rPr>
        <w:t xml:space="preserve"> </w:t>
      </w:r>
      <w:r w:rsidR="004C44D0">
        <w:rPr>
          <w:rStyle w:val="EndnoteReference"/>
          <w:rFonts w:cs="Hubballi"/>
          <w:sz w:val="22"/>
          <w:szCs w:val="22"/>
        </w:rPr>
        <w:endnoteReference w:id="51"/>
      </w:r>
    </w:p>
    <w:p w14:paraId="154E99DC" w14:textId="77777777" w:rsidR="0077601F" w:rsidRPr="00416400" w:rsidRDefault="0077601F" w:rsidP="0077601F">
      <w:pPr>
        <w:pStyle w:val="ListParagraph"/>
        <w:spacing w:line="288" w:lineRule="auto"/>
        <w:jc w:val="both"/>
        <w:rPr>
          <w:rFonts w:cs="Hubballi"/>
          <w:sz w:val="22"/>
          <w:szCs w:val="22"/>
        </w:rPr>
      </w:pPr>
    </w:p>
    <w:p w14:paraId="32C93D09" w14:textId="77777777" w:rsidR="009D6CCB" w:rsidRDefault="0077601F" w:rsidP="007B194E">
      <w:pPr>
        <w:pStyle w:val="Heading2"/>
        <w:rPr>
          <w:rFonts w:asciiTheme="minorHAnsi" w:eastAsiaTheme="minorHAnsi" w:hAnsiTheme="minorHAnsi" w:cs="Hubballi"/>
          <w:color w:val="auto"/>
          <w:sz w:val="22"/>
          <w:szCs w:val="22"/>
        </w:rPr>
      </w:pPr>
      <w:r w:rsidRPr="0077601F">
        <w:rPr>
          <w:rFonts w:asciiTheme="minorHAnsi" w:eastAsiaTheme="minorHAnsi" w:hAnsiTheme="minorHAnsi" w:cs="Hubballi"/>
          <w:color w:val="auto"/>
          <w:sz w:val="22"/>
          <w:szCs w:val="22"/>
        </w:rPr>
        <w:t>More detailed sessions were held on vaccine development for the following priority pathogens</w:t>
      </w:r>
      <w:r w:rsidR="009D6CCB">
        <w:rPr>
          <w:rFonts w:asciiTheme="minorHAnsi" w:eastAsiaTheme="minorHAnsi" w:hAnsiTheme="minorHAnsi" w:cs="Hubballi"/>
          <w:color w:val="auto"/>
          <w:sz w:val="22"/>
          <w:szCs w:val="22"/>
        </w:rPr>
        <w:t xml:space="preserve"> to allow strategic discussion from PDVAC</w:t>
      </w:r>
    </w:p>
    <w:p w14:paraId="0C0413D5" w14:textId="77777777" w:rsidR="00323172" w:rsidRPr="007A746F" w:rsidRDefault="00323172" w:rsidP="00323172">
      <w:pPr>
        <w:pStyle w:val="Heading2"/>
        <w:rPr>
          <w:sz w:val="26"/>
          <w:szCs w:val="26"/>
          <w:lang w:val="en-GB"/>
        </w:rPr>
      </w:pPr>
      <w:r w:rsidRPr="007A746F">
        <w:rPr>
          <w:sz w:val="26"/>
          <w:szCs w:val="26"/>
          <w:lang w:val="en-GB"/>
        </w:rPr>
        <w:t>Advances in Tuberculosis vaccines for adolescents and adults</w:t>
      </w:r>
    </w:p>
    <w:p w14:paraId="137990DF" w14:textId="00F09D0B" w:rsidR="00323172" w:rsidRPr="00BC33C0" w:rsidRDefault="00323172" w:rsidP="00323172">
      <w:pPr>
        <w:jc w:val="both"/>
        <w:rPr>
          <w:sz w:val="22"/>
          <w:szCs w:val="22"/>
          <w:lang w:val="en-GB"/>
        </w:rPr>
      </w:pPr>
      <w:r w:rsidRPr="17D943AB">
        <w:rPr>
          <w:sz w:val="22"/>
          <w:szCs w:val="22"/>
          <w:lang w:val="en-GB"/>
        </w:rPr>
        <w:t xml:space="preserve">A quarter of the world’s population has been infected with </w:t>
      </w:r>
      <w:r w:rsidRPr="28429A3C">
        <w:rPr>
          <w:i/>
          <w:iCs/>
          <w:sz w:val="22"/>
          <w:szCs w:val="22"/>
          <w:lang w:val="en-GB"/>
        </w:rPr>
        <w:t xml:space="preserve">Mycobacterium tuberculosis </w:t>
      </w:r>
      <w:r w:rsidRPr="17D943AB">
        <w:rPr>
          <w:sz w:val="22"/>
          <w:szCs w:val="22"/>
          <w:lang w:val="en-GB"/>
        </w:rPr>
        <w:t>bacteria, the causative pathogen of tuberculosis (TB). In 2023, an estimated 10.8 million new TB infections occurred, and over one million people died of TB, with a further 161,000 dying of HIV-associated TB.</w:t>
      </w:r>
      <w:r w:rsidRPr="17D943AB">
        <w:rPr>
          <w:rStyle w:val="EndnoteReference"/>
          <w:sz w:val="22"/>
          <w:szCs w:val="22"/>
          <w:lang w:val="en-GB"/>
        </w:rPr>
        <w:endnoteReference w:id="52"/>
      </w:r>
      <w:r w:rsidRPr="17D943AB">
        <w:rPr>
          <w:sz w:val="22"/>
          <w:szCs w:val="22"/>
          <w:lang w:val="en-GB"/>
        </w:rPr>
        <w:t xml:space="preserve"> The only licensed vaccine, the</w:t>
      </w:r>
      <w:r w:rsidRPr="17D943AB">
        <w:rPr>
          <w:lang w:val="en-GB"/>
        </w:rPr>
        <w:t xml:space="preserve"> </w:t>
      </w:r>
      <w:r w:rsidRPr="17D943AB">
        <w:rPr>
          <w:sz w:val="22"/>
          <w:szCs w:val="22"/>
          <w:lang w:val="en-GB"/>
        </w:rPr>
        <w:t>Bacille Calmette-Guérin (BCG</w:t>
      </w:r>
      <w:r w:rsidR="3CF1FA8B" w:rsidRPr="28429A3C">
        <w:rPr>
          <w:sz w:val="22"/>
          <w:szCs w:val="22"/>
          <w:lang w:val="en-GB"/>
        </w:rPr>
        <w:t xml:space="preserve"> </w:t>
      </w:r>
      <w:r w:rsidRPr="28429A3C">
        <w:rPr>
          <w:sz w:val="22"/>
          <w:szCs w:val="22"/>
          <w:lang w:val="en-GB"/>
        </w:rPr>
        <w:t xml:space="preserve">) vaccine, offers protection against severe childhood TB but fails to prevent adult and adolescent pulmonary disease. TB vaccines are a public health priority and are expected to have the greatest impact on the TB epidemic by reducing disease transmission. Several candidates are in late-stage development, and the most advanced could be licensed by 2028. </w:t>
      </w:r>
    </w:p>
    <w:p w14:paraId="39B78138" w14:textId="77777777" w:rsidR="00323172" w:rsidRDefault="00323172" w:rsidP="00323172">
      <w:pPr>
        <w:jc w:val="both"/>
        <w:rPr>
          <w:sz w:val="22"/>
          <w:szCs w:val="22"/>
          <w:lang w:val="en-GB"/>
        </w:rPr>
      </w:pPr>
      <w:r>
        <w:rPr>
          <w:sz w:val="22"/>
          <w:szCs w:val="22"/>
          <w:lang w:val="en-GB"/>
        </w:rPr>
        <w:t>There are</w:t>
      </w:r>
      <w:r w:rsidRPr="17D943AB">
        <w:rPr>
          <w:sz w:val="22"/>
          <w:szCs w:val="22"/>
          <w:lang w:val="en-GB"/>
        </w:rPr>
        <w:t xml:space="preserve"> major challenges associated with tuberculosis vaccine </w:t>
      </w:r>
      <w:r>
        <w:rPr>
          <w:sz w:val="22"/>
          <w:szCs w:val="22"/>
          <w:lang w:val="en-GB"/>
        </w:rPr>
        <w:t xml:space="preserve">efficacy </w:t>
      </w:r>
      <w:r w:rsidRPr="17D943AB">
        <w:rPr>
          <w:sz w:val="22"/>
          <w:szCs w:val="22"/>
          <w:lang w:val="en-GB"/>
        </w:rPr>
        <w:t>trials. The disease has a slow progression</w:t>
      </w:r>
      <w:r>
        <w:rPr>
          <w:sz w:val="22"/>
          <w:szCs w:val="22"/>
          <w:lang w:val="en-GB"/>
        </w:rPr>
        <w:t xml:space="preserve"> rate</w:t>
      </w:r>
      <w:r w:rsidRPr="17D943AB">
        <w:rPr>
          <w:sz w:val="22"/>
          <w:szCs w:val="22"/>
          <w:lang w:val="en-GB"/>
        </w:rPr>
        <w:t xml:space="preserve">, which requires large sample sizes and long follow-up periods to accumulate cases, causing the Phase III trials to be prohibitively expensive. </w:t>
      </w:r>
      <w:r>
        <w:rPr>
          <w:sz w:val="22"/>
          <w:szCs w:val="22"/>
          <w:lang w:val="en-GB"/>
        </w:rPr>
        <w:t>Alternative trial designs and novel clinical endpoints will be needed for future vaccine candidates and to ensure continued investment in the TB vaccine pipeline.</w:t>
      </w:r>
      <w:r w:rsidRPr="17D943AB">
        <w:rPr>
          <w:sz w:val="22"/>
          <w:szCs w:val="22"/>
          <w:lang w:val="en-GB"/>
        </w:rPr>
        <w:t xml:space="preserve"> </w:t>
      </w:r>
    </w:p>
    <w:p w14:paraId="4FE522C0" w14:textId="77777777" w:rsidR="00323172" w:rsidRPr="00BC33C0" w:rsidRDefault="00323172" w:rsidP="00323172">
      <w:pPr>
        <w:jc w:val="both"/>
        <w:rPr>
          <w:sz w:val="22"/>
          <w:szCs w:val="22"/>
          <w:lang w:val="en-GB"/>
        </w:rPr>
      </w:pPr>
      <w:r>
        <w:rPr>
          <w:sz w:val="22"/>
          <w:szCs w:val="22"/>
          <w:lang w:val="en-GB"/>
        </w:rPr>
        <w:t>R</w:t>
      </w:r>
      <w:r w:rsidRPr="00C27B1C">
        <w:rPr>
          <w:sz w:val="22"/>
          <w:szCs w:val="22"/>
          <w:lang w:val="en-GB"/>
        </w:rPr>
        <w:t xml:space="preserve">ecent evidence has indicated that half of all people who have </w:t>
      </w:r>
      <w:r>
        <w:rPr>
          <w:sz w:val="22"/>
          <w:szCs w:val="22"/>
          <w:lang w:val="en-GB"/>
        </w:rPr>
        <w:t xml:space="preserve">bacteriologically confirmed </w:t>
      </w:r>
      <w:r w:rsidRPr="00C27B1C">
        <w:rPr>
          <w:sz w:val="22"/>
          <w:szCs w:val="22"/>
          <w:lang w:val="en-GB"/>
        </w:rPr>
        <w:t xml:space="preserve">active pulmonary TB are unaware of their status – because they have no symptoms. This condition, known as asymptomatic TB, </w:t>
      </w:r>
      <w:r>
        <w:rPr>
          <w:sz w:val="22"/>
          <w:szCs w:val="22"/>
          <w:lang w:val="en-GB"/>
        </w:rPr>
        <w:t>may also contribute to transmission of TB</w:t>
      </w:r>
      <w:r w:rsidRPr="00C27B1C">
        <w:rPr>
          <w:sz w:val="22"/>
          <w:szCs w:val="22"/>
          <w:lang w:val="en-GB"/>
        </w:rPr>
        <w:t xml:space="preserve">. </w:t>
      </w:r>
      <w:r>
        <w:rPr>
          <w:sz w:val="22"/>
          <w:szCs w:val="22"/>
          <w:lang w:val="en-GB"/>
        </w:rPr>
        <w:t>Modelling of the inclusion of a</w:t>
      </w:r>
      <w:r w:rsidRPr="17D943AB">
        <w:rPr>
          <w:sz w:val="22"/>
          <w:szCs w:val="22"/>
          <w:lang w:val="en-GB"/>
        </w:rPr>
        <w:t>symptomatic TB (</w:t>
      </w:r>
      <w:proofErr w:type="spellStart"/>
      <w:r w:rsidRPr="17D943AB">
        <w:rPr>
          <w:sz w:val="22"/>
          <w:szCs w:val="22"/>
          <w:lang w:val="en-GB"/>
        </w:rPr>
        <w:t>aTB</w:t>
      </w:r>
      <w:proofErr w:type="spellEnd"/>
      <w:r w:rsidRPr="17D943AB">
        <w:rPr>
          <w:sz w:val="22"/>
          <w:szCs w:val="22"/>
          <w:lang w:val="en-GB"/>
        </w:rPr>
        <w:t xml:space="preserve">) in TB vaccine trial endpoints </w:t>
      </w:r>
      <w:r>
        <w:rPr>
          <w:sz w:val="22"/>
          <w:szCs w:val="22"/>
          <w:lang w:val="en-GB"/>
        </w:rPr>
        <w:t>suggests</w:t>
      </w:r>
      <w:r w:rsidRPr="17D943AB">
        <w:rPr>
          <w:sz w:val="22"/>
          <w:szCs w:val="22"/>
          <w:lang w:val="en-GB"/>
        </w:rPr>
        <w:t xml:space="preserve"> accelerate</w:t>
      </w:r>
      <w:r>
        <w:rPr>
          <w:sz w:val="22"/>
          <w:szCs w:val="22"/>
          <w:lang w:val="en-GB"/>
        </w:rPr>
        <w:t>d</w:t>
      </w:r>
      <w:r w:rsidRPr="17D943AB">
        <w:rPr>
          <w:sz w:val="22"/>
          <w:szCs w:val="22"/>
          <w:lang w:val="en-GB"/>
        </w:rPr>
        <w:t xml:space="preserve"> case accumulation and could significantly shorten the trial period and reduce costs. However, if there is a differential vaccine efficacy</w:t>
      </w:r>
      <w:r>
        <w:rPr>
          <w:sz w:val="22"/>
          <w:szCs w:val="22"/>
          <w:lang w:val="en-GB"/>
        </w:rPr>
        <w:t xml:space="preserve"> between asymptomatic and symptomatic TB</w:t>
      </w:r>
      <w:r w:rsidRPr="17D943AB">
        <w:rPr>
          <w:sz w:val="22"/>
          <w:szCs w:val="22"/>
          <w:lang w:val="en-GB"/>
        </w:rPr>
        <w:t xml:space="preserve">, with lower protection against asymptomatic TB, then including </w:t>
      </w:r>
      <w:proofErr w:type="spellStart"/>
      <w:r>
        <w:rPr>
          <w:sz w:val="22"/>
          <w:szCs w:val="22"/>
          <w:lang w:val="en-GB"/>
        </w:rPr>
        <w:t>aTB</w:t>
      </w:r>
      <w:proofErr w:type="spellEnd"/>
      <w:r w:rsidRPr="17D943AB">
        <w:rPr>
          <w:sz w:val="22"/>
          <w:szCs w:val="22"/>
          <w:lang w:val="en-GB"/>
        </w:rPr>
        <w:t xml:space="preserve"> in an endpoint might lead to lower observed efficacy</w:t>
      </w:r>
      <w:r>
        <w:rPr>
          <w:sz w:val="22"/>
          <w:szCs w:val="22"/>
          <w:lang w:val="en-GB"/>
        </w:rPr>
        <w:t xml:space="preserve"> and risk trial failure.</w:t>
      </w:r>
      <w:r w:rsidRPr="17D943AB">
        <w:rPr>
          <w:sz w:val="22"/>
          <w:szCs w:val="22"/>
          <w:lang w:val="en-GB"/>
        </w:rPr>
        <w:t xml:space="preserve"> Ongoing and planned trials of M72/AS01e and MTBVAC are collecting samples for all participants at the end of follow-up, or during follow-up with analysis </w:t>
      </w:r>
      <w:r>
        <w:rPr>
          <w:sz w:val="22"/>
          <w:szCs w:val="22"/>
          <w:lang w:val="en-GB"/>
        </w:rPr>
        <w:t>planned</w:t>
      </w:r>
      <w:r w:rsidRPr="17D943AB">
        <w:rPr>
          <w:sz w:val="22"/>
          <w:szCs w:val="22"/>
          <w:lang w:val="en-GB"/>
        </w:rPr>
        <w:t xml:space="preserve"> at the end of follow up, to further explore </w:t>
      </w:r>
      <w:proofErr w:type="spellStart"/>
      <w:r w:rsidRPr="17D943AB">
        <w:rPr>
          <w:sz w:val="22"/>
          <w:szCs w:val="22"/>
          <w:lang w:val="en-GB"/>
        </w:rPr>
        <w:t>aTB</w:t>
      </w:r>
      <w:proofErr w:type="spellEnd"/>
      <w:r w:rsidRPr="17D943AB">
        <w:rPr>
          <w:sz w:val="22"/>
          <w:szCs w:val="22"/>
          <w:lang w:val="en-GB"/>
        </w:rPr>
        <w:t xml:space="preserve"> as a</w:t>
      </w:r>
      <w:r>
        <w:rPr>
          <w:sz w:val="22"/>
          <w:szCs w:val="22"/>
          <w:lang w:val="en-GB"/>
        </w:rPr>
        <w:t xml:space="preserve"> potential</w:t>
      </w:r>
      <w:r w:rsidRPr="17D943AB">
        <w:rPr>
          <w:sz w:val="22"/>
          <w:szCs w:val="22"/>
          <w:lang w:val="en-GB"/>
        </w:rPr>
        <w:t xml:space="preserve"> endpoint. </w:t>
      </w:r>
    </w:p>
    <w:p w14:paraId="2472FEB0" w14:textId="77777777" w:rsidR="00323172" w:rsidRPr="00BC33C0" w:rsidRDefault="48DEAFBE" w:rsidP="3B7FEC15">
      <w:pPr>
        <w:jc w:val="both"/>
        <w:rPr>
          <w:sz w:val="22"/>
          <w:szCs w:val="22"/>
          <w:lang w:val="en-GB"/>
        </w:rPr>
      </w:pPr>
      <w:r w:rsidRPr="3B7FEC15">
        <w:rPr>
          <w:sz w:val="22"/>
          <w:szCs w:val="22"/>
          <w:lang w:val="en-GB"/>
        </w:rPr>
        <w:t xml:space="preserve">PDVAC supports the initiative taken by developers to collect and store sputum samples of all trial participants throughout the trial to analyse at the trial’s end for </w:t>
      </w:r>
      <w:proofErr w:type="spellStart"/>
      <w:r w:rsidRPr="3B7FEC15">
        <w:rPr>
          <w:sz w:val="22"/>
          <w:szCs w:val="22"/>
          <w:lang w:val="en-GB"/>
        </w:rPr>
        <w:t>aTB</w:t>
      </w:r>
      <w:proofErr w:type="spellEnd"/>
      <w:r w:rsidRPr="3B7FEC15">
        <w:rPr>
          <w:sz w:val="22"/>
          <w:szCs w:val="22"/>
          <w:lang w:val="en-GB"/>
        </w:rPr>
        <w:t xml:space="preserve">. Avoiding testing for </w:t>
      </w:r>
      <w:proofErr w:type="spellStart"/>
      <w:r w:rsidRPr="3B7FEC15">
        <w:rPr>
          <w:sz w:val="22"/>
          <w:szCs w:val="22"/>
          <w:lang w:val="en-GB"/>
        </w:rPr>
        <w:t>aTB</w:t>
      </w:r>
      <w:proofErr w:type="spellEnd"/>
      <w:r w:rsidRPr="3B7FEC15">
        <w:rPr>
          <w:sz w:val="22"/>
          <w:szCs w:val="22"/>
          <w:lang w:val="en-GB"/>
        </w:rPr>
        <w:t xml:space="preserve"> during the trial preserves the ability to assess outcomes that would otherwise require treatment.  </w:t>
      </w:r>
    </w:p>
    <w:p w14:paraId="6AA15EBB" w14:textId="77AE4C63" w:rsidR="00323172" w:rsidRPr="00BC33C0" w:rsidRDefault="42EA305B" w:rsidP="00323172">
      <w:pPr>
        <w:jc w:val="both"/>
        <w:rPr>
          <w:sz w:val="22"/>
          <w:szCs w:val="22"/>
          <w:lang w:val="en-GB"/>
        </w:rPr>
      </w:pPr>
      <w:r w:rsidRPr="28429A3C">
        <w:rPr>
          <w:sz w:val="22"/>
          <w:szCs w:val="22"/>
          <w:lang w:val="en-GB"/>
        </w:rPr>
        <w:t>Finally, the ongoing and planned Phase 3 efficacy trials are powered to show efficacy in those with prior tuberculosis infection (</w:t>
      </w:r>
      <w:r w:rsidR="16431AEA" w:rsidRPr="28429A3C">
        <w:rPr>
          <w:sz w:val="22"/>
          <w:szCs w:val="22"/>
          <w:lang w:val="en-GB"/>
        </w:rPr>
        <w:t>Interferon</w:t>
      </w:r>
      <w:r w:rsidR="456AFDA9" w:rsidRPr="28429A3C">
        <w:rPr>
          <w:sz w:val="22"/>
          <w:szCs w:val="22"/>
          <w:lang w:val="en-GB"/>
        </w:rPr>
        <w:t xml:space="preserve"> </w:t>
      </w:r>
      <w:r w:rsidR="16431AEA" w:rsidRPr="28429A3C">
        <w:rPr>
          <w:sz w:val="22"/>
          <w:szCs w:val="22"/>
          <w:lang w:val="en-GB"/>
        </w:rPr>
        <w:t>Gam</w:t>
      </w:r>
      <w:r w:rsidR="419AB235" w:rsidRPr="28429A3C">
        <w:rPr>
          <w:sz w:val="22"/>
          <w:szCs w:val="22"/>
          <w:lang w:val="en-GB"/>
        </w:rPr>
        <w:t>ma Release Assay (</w:t>
      </w:r>
      <w:r w:rsidRPr="28429A3C">
        <w:rPr>
          <w:sz w:val="22"/>
          <w:szCs w:val="22"/>
          <w:lang w:val="en-GB"/>
        </w:rPr>
        <w:t>GRA</w:t>
      </w:r>
      <w:r w:rsidR="61E823D2" w:rsidRPr="28429A3C">
        <w:rPr>
          <w:sz w:val="22"/>
          <w:szCs w:val="22"/>
          <w:lang w:val="en-GB"/>
        </w:rPr>
        <w:t>)</w:t>
      </w:r>
      <w:r w:rsidRPr="28429A3C">
        <w:rPr>
          <w:sz w:val="22"/>
          <w:szCs w:val="22"/>
          <w:lang w:val="en-GB"/>
        </w:rPr>
        <w:t xml:space="preserve"> positives), with an additional smaller cohort of IGRA-negatives enrolled for immunogenicity and safety. It is assumed that if the vaccine is efficacious in the IGRA-positive population and there are no safety signals (including in the smaller cohort of IGRA-negatives), a broad policy recommendation (inclusive of IGRA-negatives) should be possible; this is in line with the WHO Evidence Considerations for Vaccine Policy Development for Tuberculosis Vaccines Intended for Adults and Adolescents.</w:t>
      </w:r>
      <w:r w:rsidR="00E604B7">
        <w:rPr>
          <w:rStyle w:val="EndnoteReference"/>
          <w:sz w:val="22"/>
          <w:szCs w:val="22"/>
          <w:lang w:val="en-GB"/>
        </w:rPr>
        <w:endnoteReference w:id="53"/>
      </w:r>
      <w:r w:rsidRPr="28429A3C">
        <w:rPr>
          <w:sz w:val="22"/>
          <w:szCs w:val="22"/>
          <w:lang w:val="en-GB"/>
        </w:rPr>
        <w:t xml:space="preserve"> </w:t>
      </w:r>
      <w:r w:rsidR="59ECCE4F" w:rsidRPr="28429A3C">
        <w:rPr>
          <w:sz w:val="22"/>
          <w:szCs w:val="22"/>
          <w:lang w:val="en-GB"/>
        </w:rPr>
        <w:t xml:space="preserve">Determination of </w:t>
      </w:r>
      <w:r w:rsidRPr="28429A3C">
        <w:rPr>
          <w:sz w:val="22"/>
          <w:szCs w:val="22"/>
          <w:lang w:val="en-GB"/>
        </w:rPr>
        <w:t xml:space="preserve">IGRA status prior to vaccine rollout is widely considered to be programmatically unfeasible. However, the limited safety data and lack of efficacy data in this population may be an issue for policymakers, especially if there is a safety signal or efficacy is lower than expected, which may potentially delay the rollout of the vaccine. </w:t>
      </w:r>
    </w:p>
    <w:p w14:paraId="4BBC1FFF" w14:textId="77777777" w:rsidR="00323172" w:rsidRDefault="00323172" w:rsidP="00323172">
      <w:pPr>
        <w:jc w:val="both"/>
        <w:rPr>
          <w:sz w:val="22"/>
          <w:szCs w:val="22"/>
          <w:lang w:val="en-GB"/>
        </w:rPr>
      </w:pPr>
      <w:r>
        <w:rPr>
          <w:sz w:val="22"/>
          <w:szCs w:val="22"/>
          <w:lang w:val="en-GB"/>
        </w:rPr>
        <w:t xml:space="preserve">With respect to the efficacy trial design, PDVAC </w:t>
      </w:r>
      <w:r w:rsidRPr="17D943AB">
        <w:rPr>
          <w:sz w:val="22"/>
          <w:szCs w:val="22"/>
          <w:lang w:val="en-GB"/>
        </w:rPr>
        <w:t xml:space="preserve">acknowledged that a safe and effective vaccine for IGRA positive people could provide indirect benefits to IGRA negative people in high burden settings through broad rollout. PDVAC therefore supported the 2026 workplan of the Technical Advisory Group on Evidence for Clinical and Policy Considerations for new TB Vaccines. The group aims to conduct scenario analyses on possible trial outcomes that inform SAGE deliberations about the risk/benefit balance of broad vaccination rollout, with the aim to suggest additional data collection or modelling to mitigate any potential risks to obtaining a broad global policy recommendation. </w:t>
      </w:r>
    </w:p>
    <w:p w14:paraId="1B180F4D" w14:textId="77777777" w:rsidR="00244AAA" w:rsidRPr="00BC33C0" w:rsidRDefault="00244AAA" w:rsidP="00323172">
      <w:pPr>
        <w:jc w:val="both"/>
        <w:rPr>
          <w:sz w:val="22"/>
          <w:szCs w:val="22"/>
          <w:lang w:val="en-GB"/>
        </w:rPr>
      </w:pPr>
    </w:p>
    <w:p w14:paraId="2190D62F" w14:textId="3E9FF64D" w:rsidR="00244AAA" w:rsidRPr="00244AAA" w:rsidRDefault="00244AAA" w:rsidP="00244AAA">
      <w:pPr>
        <w:jc w:val="both"/>
        <w:rPr>
          <w:rFonts w:asciiTheme="majorHAnsi" w:eastAsiaTheme="majorEastAsia" w:hAnsiTheme="majorHAnsi" w:cstheme="majorBidi"/>
          <w:color w:val="0F4761" w:themeColor="accent1" w:themeShade="BF"/>
          <w:sz w:val="28"/>
          <w:szCs w:val="28"/>
          <w:lang w:val="en-GB"/>
        </w:rPr>
      </w:pPr>
      <w:r>
        <w:rPr>
          <w:rFonts w:asciiTheme="majorHAnsi" w:eastAsiaTheme="majorEastAsia" w:hAnsiTheme="majorHAnsi" w:cstheme="majorBidi"/>
          <w:color w:val="0F4761" w:themeColor="accent1" w:themeShade="BF"/>
          <w:sz w:val="28"/>
          <w:szCs w:val="28"/>
          <w:lang w:val="en-GB"/>
        </w:rPr>
        <w:t>Pathogen u</w:t>
      </w:r>
      <w:r w:rsidRPr="007A64BB">
        <w:rPr>
          <w:rFonts w:asciiTheme="majorHAnsi" w:eastAsiaTheme="majorEastAsia" w:hAnsiTheme="majorHAnsi" w:cstheme="majorBidi"/>
          <w:color w:val="0F4761" w:themeColor="accent1" w:themeShade="BF"/>
          <w:sz w:val="28"/>
          <w:szCs w:val="28"/>
          <w:lang w:val="en-GB"/>
        </w:rPr>
        <w:t xml:space="preserve">pdates for </w:t>
      </w:r>
      <w:r>
        <w:rPr>
          <w:rFonts w:asciiTheme="majorHAnsi" w:eastAsiaTheme="majorEastAsia" w:hAnsiTheme="majorHAnsi" w:cstheme="majorBidi"/>
          <w:color w:val="0F4761" w:themeColor="accent1" w:themeShade="BF"/>
          <w:sz w:val="28"/>
          <w:szCs w:val="28"/>
          <w:lang w:val="en-GB"/>
        </w:rPr>
        <w:t>discussion and recommendation</w:t>
      </w:r>
    </w:p>
    <w:p w14:paraId="2455695B" w14:textId="1ADC11A2" w:rsidR="009D6CCB" w:rsidRDefault="00F04046" w:rsidP="006874CC">
      <w:pPr>
        <w:jc w:val="both"/>
        <w:rPr>
          <w:sz w:val="22"/>
          <w:szCs w:val="22"/>
          <w:lang w:val="en-GB"/>
        </w:rPr>
      </w:pPr>
      <w:r w:rsidRPr="00F04046">
        <w:rPr>
          <w:sz w:val="22"/>
          <w:szCs w:val="22"/>
        </w:rPr>
        <w:t>PDVAC discussed the following topics and provided recommendations to guide future WHO work on research priorities</w:t>
      </w:r>
      <w:r w:rsidR="00AF082B">
        <w:rPr>
          <w:sz w:val="22"/>
          <w:szCs w:val="22"/>
        </w:rPr>
        <w:t>, WHO normative guidance tools,</w:t>
      </w:r>
      <w:r w:rsidRPr="00F04046">
        <w:rPr>
          <w:sz w:val="22"/>
          <w:szCs w:val="22"/>
        </w:rPr>
        <w:t xml:space="preserve"> and product development strategies:</w:t>
      </w:r>
    </w:p>
    <w:p w14:paraId="323CDBB9" w14:textId="77777777" w:rsidR="006874CC" w:rsidRPr="006874CC" w:rsidRDefault="006874CC" w:rsidP="006874CC">
      <w:pPr>
        <w:jc w:val="both"/>
        <w:rPr>
          <w:sz w:val="22"/>
          <w:szCs w:val="22"/>
          <w:lang w:val="en-GB"/>
        </w:rPr>
      </w:pPr>
    </w:p>
    <w:p w14:paraId="47E9D577" w14:textId="1F2AC3B5" w:rsidR="002F1C45" w:rsidRPr="000D7766" w:rsidRDefault="002F1C45" w:rsidP="007B194E">
      <w:pPr>
        <w:pStyle w:val="Heading2"/>
        <w:rPr>
          <w:sz w:val="26"/>
          <w:szCs w:val="26"/>
        </w:rPr>
      </w:pPr>
      <w:r w:rsidRPr="000D7766">
        <w:rPr>
          <w:sz w:val="26"/>
          <w:szCs w:val="26"/>
        </w:rPr>
        <w:t xml:space="preserve">Developments in </w:t>
      </w:r>
      <w:r w:rsidR="007052CA" w:rsidRPr="000D7766">
        <w:rPr>
          <w:sz w:val="26"/>
          <w:szCs w:val="26"/>
        </w:rPr>
        <w:t>Group B Streptococcus</w:t>
      </w:r>
      <w:r w:rsidR="00BC1249" w:rsidRPr="000D7766">
        <w:rPr>
          <w:sz w:val="26"/>
          <w:szCs w:val="26"/>
        </w:rPr>
        <w:t xml:space="preserve"> vaccines for maternal immunization</w:t>
      </w:r>
    </w:p>
    <w:p w14:paraId="02468F25" w14:textId="41865CE0" w:rsidR="007052CA" w:rsidRDefault="007052CA" w:rsidP="002C34DE">
      <w:pPr>
        <w:jc w:val="both"/>
        <w:rPr>
          <w:sz w:val="22"/>
          <w:szCs w:val="22"/>
        </w:rPr>
      </w:pPr>
      <w:r w:rsidRPr="00BC33C0">
        <w:rPr>
          <w:sz w:val="22"/>
          <w:szCs w:val="22"/>
        </w:rPr>
        <w:t xml:space="preserve">Group B Streptococcus </w:t>
      </w:r>
      <w:r w:rsidR="00497AC2" w:rsidRPr="00BC33C0">
        <w:rPr>
          <w:sz w:val="22"/>
          <w:szCs w:val="22"/>
        </w:rPr>
        <w:t xml:space="preserve">(GBS) is a major cause of newborn sepsis, pneumonia, and meningitis, leading to stillbirth, significant neonatal mortality, and long-term </w:t>
      </w:r>
      <w:proofErr w:type="spellStart"/>
      <w:r w:rsidR="00497AC2" w:rsidRPr="28429A3C">
        <w:rPr>
          <w:sz w:val="22"/>
          <w:szCs w:val="22"/>
        </w:rPr>
        <w:t>neurodisability</w:t>
      </w:r>
      <w:proofErr w:type="spellEnd"/>
      <w:r w:rsidR="00E439C3" w:rsidRPr="00BC33C0">
        <w:rPr>
          <w:sz w:val="22"/>
          <w:szCs w:val="22"/>
        </w:rPr>
        <w:t xml:space="preserve">, with the disease burden </w:t>
      </w:r>
      <w:r w:rsidR="00E439C3" w:rsidRPr="28429A3C">
        <w:rPr>
          <w:sz w:val="22"/>
          <w:szCs w:val="22"/>
        </w:rPr>
        <w:t>predominantly in sub-Saharan Africa</w:t>
      </w:r>
      <w:r w:rsidR="00497AC2" w:rsidRPr="00BC33C0">
        <w:rPr>
          <w:sz w:val="22"/>
          <w:szCs w:val="22"/>
        </w:rPr>
        <w:t xml:space="preserve">. </w:t>
      </w:r>
      <w:r w:rsidR="00A44217" w:rsidRPr="7DC59A82">
        <w:rPr>
          <w:sz w:val="22"/>
          <w:szCs w:val="22"/>
        </w:rPr>
        <w:t xml:space="preserve">Despite the availability of intrapartum antibiotic prophylaxis (IAP), </w:t>
      </w:r>
      <w:r w:rsidR="00CC75D0" w:rsidRPr="00BC33C0">
        <w:rPr>
          <w:sz w:val="22"/>
          <w:szCs w:val="22"/>
        </w:rPr>
        <w:t xml:space="preserve">20 million pregnant women were colonized with GBS, </w:t>
      </w:r>
      <w:r w:rsidR="005560B8" w:rsidRPr="28429A3C">
        <w:rPr>
          <w:sz w:val="22"/>
          <w:szCs w:val="22"/>
        </w:rPr>
        <w:t>causing over 230,000 cases of early onset GBS (EOGBS) and over 160,000 cases of late-onset GBS (LOGBS)</w:t>
      </w:r>
      <w:r w:rsidR="00DB587C" w:rsidRPr="28429A3C">
        <w:rPr>
          <w:sz w:val="22"/>
          <w:szCs w:val="22"/>
        </w:rPr>
        <w:t xml:space="preserve"> in 2020</w:t>
      </w:r>
      <w:r w:rsidR="005560B8" w:rsidRPr="28429A3C">
        <w:rPr>
          <w:sz w:val="22"/>
          <w:szCs w:val="22"/>
        </w:rPr>
        <w:t xml:space="preserve">. </w:t>
      </w:r>
      <w:r w:rsidR="00DB587C" w:rsidRPr="28429A3C">
        <w:rPr>
          <w:sz w:val="22"/>
          <w:szCs w:val="22"/>
        </w:rPr>
        <w:t>Globally</w:t>
      </w:r>
      <w:r w:rsidR="0050758C" w:rsidRPr="28429A3C">
        <w:rPr>
          <w:sz w:val="22"/>
          <w:szCs w:val="22"/>
        </w:rPr>
        <w:t>, 150,000 infants died of GBS</w:t>
      </w:r>
      <w:r w:rsidR="00DB587C" w:rsidRPr="28429A3C">
        <w:rPr>
          <w:sz w:val="22"/>
          <w:szCs w:val="22"/>
        </w:rPr>
        <w:t>.</w:t>
      </w:r>
      <w:r w:rsidRPr="28429A3C">
        <w:rPr>
          <w:rStyle w:val="EndnoteReference"/>
          <w:sz w:val="22"/>
          <w:szCs w:val="22"/>
        </w:rPr>
        <w:endnoteReference w:id="54"/>
      </w:r>
      <w:r w:rsidR="0050758C" w:rsidRPr="28429A3C">
        <w:rPr>
          <w:sz w:val="22"/>
          <w:szCs w:val="22"/>
        </w:rPr>
        <w:t xml:space="preserve"> </w:t>
      </w:r>
      <w:r w:rsidR="00D44B9B" w:rsidRPr="28429A3C">
        <w:rPr>
          <w:sz w:val="22"/>
          <w:szCs w:val="22"/>
        </w:rPr>
        <w:t xml:space="preserve"> Maternal immuni</w:t>
      </w:r>
      <w:r w:rsidR="007A746F" w:rsidRPr="28429A3C">
        <w:rPr>
          <w:sz w:val="22"/>
          <w:szCs w:val="22"/>
        </w:rPr>
        <w:t>z</w:t>
      </w:r>
      <w:r w:rsidR="00D44B9B" w:rsidRPr="28429A3C">
        <w:rPr>
          <w:sz w:val="22"/>
          <w:szCs w:val="22"/>
        </w:rPr>
        <w:t xml:space="preserve">ation has been identified as the best approach for prevention of neonatal </w:t>
      </w:r>
      <w:r w:rsidR="22262A71" w:rsidRPr="28429A3C">
        <w:rPr>
          <w:sz w:val="22"/>
          <w:szCs w:val="22"/>
        </w:rPr>
        <w:t>sepsis and</w:t>
      </w:r>
      <w:r w:rsidR="00D44B9B" w:rsidRPr="28429A3C">
        <w:rPr>
          <w:sz w:val="22"/>
          <w:szCs w:val="22"/>
        </w:rPr>
        <w:t xml:space="preserve"> may also protect mothers and reduce adverse birth outcomes due to maternal GBS infection.</w:t>
      </w:r>
    </w:p>
    <w:p w14:paraId="43DA0073" w14:textId="7BCBF7CC" w:rsidR="00027A00" w:rsidRDefault="7CCB7E86" w:rsidP="002C34DE">
      <w:pPr>
        <w:jc w:val="both"/>
        <w:rPr>
          <w:sz w:val="22"/>
          <w:szCs w:val="22"/>
        </w:rPr>
      </w:pPr>
      <w:r w:rsidRPr="28429A3C">
        <w:rPr>
          <w:sz w:val="22"/>
          <w:szCs w:val="22"/>
        </w:rPr>
        <w:t xml:space="preserve">There are substantial challenges to achieving regulatory approval and policy recommendations for maternal GBS vaccines, particularly in LMICs. These </w:t>
      </w:r>
      <w:r w:rsidR="54B84925" w:rsidRPr="28429A3C">
        <w:rPr>
          <w:sz w:val="22"/>
          <w:szCs w:val="22"/>
        </w:rPr>
        <w:t xml:space="preserve">are </w:t>
      </w:r>
      <w:r w:rsidR="663CA7A3" w:rsidRPr="28429A3C">
        <w:rPr>
          <w:sz w:val="22"/>
          <w:szCs w:val="22"/>
        </w:rPr>
        <w:t xml:space="preserve">logistical and financial infeasibility of conducting </w:t>
      </w:r>
      <w:r w:rsidR="6CB383C7" w:rsidRPr="28429A3C">
        <w:rPr>
          <w:sz w:val="22"/>
          <w:szCs w:val="22"/>
        </w:rPr>
        <w:t xml:space="preserve">field </w:t>
      </w:r>
      <w:r w:rsidRPr="28429A3C">
        <w:rPr>
          <w:sz w:val="22"/>
          <w:szCs w:val="22"/>
        </w:rPr>
        <w:t>efficacy trials, the need for surrogate endpoints for licensure, and requirements for post-licensure studies to confirm effectiveness</w:t>
      </w:r>
      <w:r w:rsidR="2B498420" w:rsidRPr="28429A3C">
        <w:rPr>
          <w:sz w:val="22"/>
          <w:szCs w:val="22"/>
        </w:rPr>
        <w:t>.</w:t>
      </w:r>
      <w:r w:rsidR="0EB56E6E" w:rsidRPr="28429A3C">
        <w:rPr>
          <w:sz w:val="22"/>
          <w:szCs w:val="22"/>
        </w:rPr>
        <w:t xml:space="preserve">  </w:t>
      </w:r>
      <w:r w:rsidR="0EB56E6E" w:rsidRPr="28429A3C">
        <w:rPr>
          <w:color w:val="000000" w:themeColor="text1"/>
          <w:sz w:val="22"/>
          <w:szCs w:val="22"/>
        </w:rPr>
        <w:t>Initial licensure of GBS vaccines is expected to rely on immunological endpoints, specifically IgG-based serological thresholds of risk reduction (</w:t>
      </w:r>
      <w:proofErr w:type="spellStart"/>
      <w:r w:rsidR="0EB56E6E" w:rsidRPr="28429A3C">
        <w:rPr>
          <w:color w:val="000000" w:themeColor="text1"/>
          <w:sz w:val="22"/>
          <w:szCs w:val="22"/>
        </w:rPr>
        <w:t>SToRRs</w:t>
      </w:r>
      <w:proofErr w:type="spellEnd"/>
      <w:r w:rsidR="0EB56E6E" w:rsidRPr="28429A3C">
        <w:rPr>
          <w:color w:val="000000" w:themeColor="text1"/>
          <w:sz w:val="22"/>
          <w:szCs w:val="22"/>
        </w:rPr>
        <w:t xml:space="preserve">). </w:t>
      </w:r>
      <w:proofErr w:type="spellStart"/>
      <w:r w:rsidR="0EB56E6E" w:rsidRPr="28429A3C">
        <w:rPr>
          <w:color w:val="000000" w:themeColor="text1"/>
          <w:sz w:val="22"/>
          <w:szCs w:val="22"/>
        </w:rPr>
        <w:t>SToRRs</w:t>
      </w:r>
      <w:proofErr w:type="spellEnd"/>
      <w:r w:rsidR="0EB56E6E" w:rsidRPr="28429A3C">
        <w:rPr>
          <w:color w:val="000000" w:themeColor="text1"/>
          <w:sz w:val="22"/>
          <w:szCs w:val="22"/>
        </w:rPr>
        <w:t xml:space="preserve"> are markers of immune function that statistically correlate with protection after vaccination.</w:t>
      </w:r>
    </w:p>
    <w:p w14:paraId="75E31F60" w14:textId="14ACD9EA" w:rsidR="00436F7C" w:rsidRDefault="00413F77" w:rsidP="00413F77">
      <w:pPr>
        <w:jc w:val="both"/>
        <w:rPr>
          <w:sz w:val="22"/>
          <w:szCs w:val="22"/>
        </w:rPr>
      </w:pPr>
      <w:r w:rsidRPr="00F822FC">
        <w:rPr>
          <w:sz w:val="22"/>
          <w:szCs w:val="22"/>
        </w:rPr>
        <w:t xml:space="preserve">The Pfizer GBS6 vaccine is a single-dose polysaccharide conjugate vaccine covering most common GBS serotypes. It generates high anti-capsular neutralizing antibody </w:t>
      </w:r>
      <w:proofErr w:type="spellStart"/>
      <w:r w:rsidRPr="28429A3C">
        <w:rPr>
          <w:sz w:val="22"/>
          <w:szCs w:val="22"/>
        </w:rPr>
        <w:t>titres</w:t>
      </w:r>
      <w:proofErr w:type="spellEnd"/>
      <w:r w:rsidR="00EF79E3" w:rsidRPr="00F822FC">
        <w:rPr>
          <w:sz w:val="22"/>
          <w:szCs w:val="22"/>
        </w:rPr>
        <w:t xml:space="preserve"> </w:t>
      </w:r>
      <w:r w:rsidR="002D7828" w:rsidRPr="00F822FC">
        <w:rPr>
          <w:sz w:val="22"/>
          <w:szCs w:val="22"/>
        </w:rPr>
        <w:t xml:space="preserve">associated with a lower risk of infant disease, </w:t>
      </w:r>
      <w:r w:rsidR="00CB4120" w:rsidRPr="00F822FC">
        <w:rPr>
          <w:sz w:val="22"/>
          <w:szCs w:val="22"/>
        </w:rPr>
        <w:t>and immuno</w:t>
      </w:r>
      <w:r w:rsidR="0003173B" w:rsidRPr="00F822FC">
        <w:rPr>
          <w:sz w:val="22"/>
          <w:szCs w:val="22"/>
        </w:rPr>
        <w:t xml:space="preserve">logical endpoints are </w:t>
      </w:r>
      <w:r w:rsidR="00CB4120" w:rsidRPr="00F822FC">
        <w:rPr>
          <w:sz w:val="22"/>
          <w:szCs w:val="22"/>
        </w:rPr>
        <w:t xml:space="preserve">therefore </w:t>
      </w:r>
      <w:r w:rsidR="0003173B" w:rsidRPr="00F822FC">
        <w:rPr>
          <w:sz w:val="22"/>
          <w:szCs w:val="22"/>
        </w:rPr>
        <w:t>proposed as the basis for regulatory approval.</w:t>
      </w:r>
      <w:r w:rsidR="00C650CE" w:rsidRPr="00F822FC">
        <w:rPr>
          <w:sz w:val="22"/>
          <w:szCs w:val="22"/>
        </w:rPr>
        <w:t xml:space="preserve"> </w:t>
      </w:r>
      <w:r w:rsidR="0003173B" w:rsidRPr="00F822FC">
        <w:rPr>
          <w:sz w:val="22"/>
          <w:szCs w:val="22"/>
        </w:rPr>
        <w:t xml:space="preserve"> </w:t>
      </w:r>
      <w:r w:rsidR="00F822FC" w:rsidRPr="00F822FC">
        <w:rPr>
          <w:sz w:val="22"/>
          <w:szCs w:val="22"/>
          <w:lang w:val="en-GB"/>
        </w:rPr>
        <w:t>Pfizer launched the BEATRIX Phase 3 trial</w:t>
      </w:r>
      <w:r w:rsidR="00F822FC">
        <w:rPr>
          <w:rStyle w:val="EndnoteReference"/>
          <w:sz w:val="22"/>
          <w:szCs w:val="22"/>
          <w:lang w:val="en-GB"/>
        </w:rPr>
        <w:endnoteReference w:id="55"/>
      </w:r>
      <w:r w:rsidR="00F822FC" w:rsidRPr="00F822FC">
        <w:rPr>
          <w:sz w:val="22"/>
          <w:szCs w:val="22"/>
          <w:lang w:val="en-GB"/>
        </w:rPr>
        <w:t xml:space="preserve"> for </w:t>
      </w:r>
      <w:r w:rsidR="008C77E7">
        <w:rPr>
          <w:sz w:val="22"/>
          <w:szCs w:val="22"/>
        </w:rPr>
        <w:t xml:space="preserve">this candidate </w:t>
      </w:r>
      <w:r w:rsidRPr="00413F77">
        <w:rPr>
          <w:sz w:val="22"/>
          <w:szCs w:val="22"/>
        </w:rPr>
        <w:t xml:space="preserve">in </w:t>
      </w:r>
      <w:r w:rsidR="5CD85EBB" w:rsidRPr="28429A3C">
        <w:rPr>
          <w:sz w:val="22"/>
          <w:szCs w:val="22"/>
        </w:rPr>
        <w:t>August 2025 and</w:t>
      </w:r>
      <w:r w:rsidR="0003173B" w:rsidRPr="28429A3C">
        <w:rPr>
          <w:sz w:val="22"/>
          <w:szCs w:val="22"/>
        </w:rPr>
        <w:t xml:space="preserve"> </w:t>
      </w:r>
      <w:r w:rsidRPr="28429A3C">
        <w:rPr>
          <w:sz w:val="22"/>
          <w:szCs w:val="22"/>
        </w:rPr>
        <w:t>will recruit 6000 pregnant women from countries in all regions and from all income categories. Vaccination will take place in defined windows during 24 to 36 weeks of gestation. Safety and tolerability in mothers will be tracked out to 6 months after delivery and infants will be followed up to a year. Potential interference with infant vaccinations will be assessed.</w:t>
      </w:r>
      <w:r w:rsidR="006B26D0" w:rsidRPr="28429A3C">
        <w:rPr>
          <w:sz w:val="22"/>
          <w:szCs w:val="22"/>
        </w:rPr>
        <w:t xml:space="preserve"> </w:t>
      </w:r>
    </w:p>
    <w:p w14:paraId="174D018D" w14:textId="0BECF69F" w:rsidR="002C34DE" w:rsidRPr="00BC33C0" w:rsidRDefault="002C34DE" w:rsidP="00413F77">
      <w:pPr>
        <w:jc w:val="both"/>
        <w:rPr>
          <w:sz w:val="22"/>
          <w:szCs w:val="22"/>
        </w:rPr>
      </w:pPr>
      <w:r w:rsidRPr="51810E21">
        <w:rPr>
          <w:sz w:val="22"/>
          <w:szCs w:val="22"/>
        </w:rPr>
        <w:t>Success</w:t>
      </w:r>
      <w:r w:rsidR="00AB4DD1">
        <w:rPr>
          <w:sz w:val="22"/>
          <w:szCs w:val="22"/>
        </w:rPr>
        <w:t>ful introduction</w:t>
      </w:r>
      <w:r w:rsidRPr="51810E21">
        <w:rPr>
          <w:sz w:val="22"/>
          <w:szCs w:val="22"/>
        </w:rPr>
        <w:t xml:space="preserve"> hinges on unprecedented early alignment </w:t>
      </w:r>
      <w:r w:rsidR="006759C7">
        <w:rPr>
          <w:sz w:val="22"/>
          <w:szCs w:val="22"/>
        </w:rPr>
        <w:t xml:space="preserve">of the </w:t>
      </w:r>
      <w:proofErr w:type="spellStart"/>
      <w:r w:rsidR="006759C7">
        <w:rPr>
          <w:sz w:val="22"/>
          <w:szCs w:val="22"/>
        </w:rPr>
        <w:t>SToRR</w:t>
      </w:r>
      <w:proofErr w:type="spellEnd"/>
      <w:r w:rsidR="006759C7">
        <w:rPr>
          <w:sz w:val="22"/>
          <w:szCs w:val="22"/>
        </w:rPr>
        <w:t xml:space="preserve">-based </w:t>
      </w:r>
      <w:r w:rsidR="00436F7C">
        <w:rPr>
          <w:sz w:val="22"/>
          <w:szCs w:val="22"/>
        </w:rPr>
        <w:t xml:space="preserve">licensure </w:t>
      </w:r>
      <w:r w:rsidR="00956F6E">
        <w:rPr>
          <w:sz w:val="22"/>
          <w:szCs w:val="22"/>
        </w:rPr>
        <w:t xml:space="preserve">strategy </w:t>
      </w:r>
      <w:r w:rsidRPr="51810E21">
        <w:rPr>
          <w:sz w:val="22"/>
          <w:szCs w:val="22"/>
        </w:rPr>
        <w:t xml:space="preserve">between the manufacturer, key regulatory agencies, and </w:t>
      </w:r>
      <w:r w:rsidR="00C033BA">
        <w:rPr>
          <w:sz w:val="22"/>
          <w:szCs w:val="22"/>
        </w:rPr>
        <w:t>national and global</w:t>
      </w:r>
      <w:r w:rsidR="00C033BA" w:rsidRPr="51810E21">
        <w:rPr>
          <w:sz w:val="22"/>
          <w:szCs w:val="22"/>
        </w:rPr>
        <w:t xml:space="preserve"> </w:t>
      </w:r>
      <w:r w:rsidRPr="51810E21">
        <w:rPr>
          <w:sz w:val="22"/>
          <w:szCs w:val="22"/>
        </w:rPr>
        <w:t>policy bodies to avoid</w:t>
      </w:r>
      <w:r w:rsidR="008F205E">
        <w:rPr>
          <w:sz w:val="22"/>
          <w:szCs w:val="22"/>
        </w:rPr>
        <w:t xml:space="preserve"> a </w:t>
      </w:r>
      <w:r w:rsidRPr="51810E21">
        <w:rPr>
          <w:sz w:val="22"/>
          <w:szCs w:val="22"/>
        </w:rPr>
        <w:t>delay</w:t>
      </w:r>
      <w:r w:rsidR="008F205E">
        <w:rPr>
          <w:sz w:val="22"/>
          <w:szCs w:val="22"/>
        </w:rPr>
        <w:t xml:space="preserve"> between vaccine </w:t>
      </w:r>
      <w:r w:rsidR="0041113F">
        <w:rPr>
          <w:sz w:val="22"/>
          <w:szCs w:val="22"/>
        </w:rPr>
        <w:t>approval</w:t>
      </w:r>
      <w:r w:rsidR="008F205E">
        <w:rPr>
          <w:sz w:val="22"/>
          <w:szCs w:val="22"/>
        </w:rPr>
        <w:t xml:space="preserve"> and </w:t>
      </w:r>
      <w:r w:rsidR="0041113F">
        <w:rPr>
          <w:sz w:val="22"/>
          <w:szCs w:val="22"/>
        </w:rPr>
        <w:t>implementation</w:t>
      </w:r>
      <w:r w:rsidRPr="51810E21">
        <w:rPr>
          <w:sz w:val="22"/>
          <w:szCs w:val="22"/>
        </w:rPr>
        <w:t xml:space="preserve">. </w:t>
      </w:r>
    </w:p>
    <w:p w14:paraId="5443442B" w14:textId="670B0CE4" w:rsidR="00FA5F97" w:rsidRDefault="00B97FE4" w:rsidP="007E44B3">
      <w:pPr>
        <w:jc w:val="both"/>
        <w:rPr>
          <w:sz w:val="22"/>
          <w:szCs w:val="22"/>
        </w:rPr>
      </w:pPr>
      <w:r w:rsidRPr="28429A3C">
        <w:rPr>
          <w:sz w:val="22"/>
          <w:szCs w:val="22"/>
        </w:rPr>
        <w:t xml:space="preserve">To facilitate this, </w:t>
      </w:r>
      <w:r w:rsidR="00B55733" w:rsidRPr="28429A3C">
        <w:rPr>
          <w:sz w:val="22"/>
          <w:szCs w:val="22"/>
        </w:rPr>
        <w:t>WHO</w:t>
      </w:r>
      <w:r w:rsidR="009D3BCF" w:rsidRPr="28429A3C">
        <w:rPr>
          <w:sz w:val="22"/>
          <w:szCs w:val="22"/>
        </w:rPr>
        <w:t>’s</w:t>
      </w:r>
      <w:r w:rsidR="00B55733" w:rsidRPr="28429A3C">
        <w:rPr>
          <w:sz w:val="22"/>
          <w:szCs w:val="22"/>
        </w:rPr>
        <w:t xml:space="preserve"> IVB </w:t>
      </w:r>
      <w:r w:rsidR="0008572A" w:rsidRPr="28429A3C">
        <w:rPr>
          <w:sz w:val="22"/>
          <w:szCs w:val="22"/>
        </w:rPr>
        <w:t xml:space="preserve">Department </w:t>
      </w:r>
      <w:r w:rsidR="009D6CCB" w:rsidRPr="28429A3C">
        <w:rPr>
          <w:sz w:val="22"/>
          <w:szCs w:val="22"/>
        </w:rPr>
        <w:t xml:space="preserve">is </w:t>
      </w:r>
      <w:r w:rsidR="00FD53FC" w:rsidRPr="28429A3C">
        <w:rPr>
          <w:sz w:val="22"/>
          <w:szCs w:val="22"/>
        </w:rPr>
        <w:t>developing</w:t>
      </w:r>
      <w:r w:rsidR="00B55733" w:rsidRPr="28429A3C">
        <w:rPr>
          <w:sz w:val="22"/>
          <w:szCs w:val="22"/>
        </w:rPr>
        <w:t xml:space="preserve"> </w:t>
      </w:r>
      <w:r w:rsidR="00844D9C" w:rsidRPr="28429A3C">
        <w:rPr>
          <w:sz w:val="22"/>
          <w:szCs w:val="22"/>
        </w:rPr>
        <w:t xml:space="preserve">guidance </w:t>
      </w:r>
      <w:r w:rsidR="1B233DB0" w:rsidRPr="28429A3C">
        <w:rPr>
          <w:sz w:val="22"/>
          <w:szCs w:val="22"/>
        </w:rPr>
        <w:t>on Evidence</w:t>
      </w:r>
      <w:r w:rsidR="00B55733" w:rsidRPr="28429A3C">
        <w:rPr>
          <w:sz w:val="22"/>
          <w:szCs w:val="22"/>
        </w:rPr>
        <w:t xml:space="preserve"> Considerations for Vaccine Policy (ECVP) for GBS vaccines to </w:t>
      </w:r>
      <w:r w:rsidR="00181A9C" w:rsidRPr="28429A3C">
        <w:rPr>
          <w:sz w:val="22"/>
          <w:szCs w:val="22"/>
        </w:rPr>
        <w:t>create</w:t>
      </w:r>
      <w:r w:rsidR="00B55733" w:rsidRPr="28429A3C">
        <w:rPr>
          <w:sz w:val="22"/>
          <w:szCs w:val="22"/>
        </w:rPr>
        <w:t xml:space="preserve"> alignment across stakeholders involved in GBS vaccine development and those responsible for regulatory, policy and programmatic use, funding and introduction decisions. </w:t>
      </w:r>
      <w:r w:rsidR="007679D2" w:rsidRPr="28429A3C">
        <w:rPr>
          <w:sz w:val="22"/>
          <w:szCs w:val="22"/>
        </w:rPr>
        <w:t xml:space="preserve"> The draft has undergone public consultation and was presented to </w:t>
      </w:r>
      <w:r w:rsidR="00B55733" w:rsidRPr="28429A3C">
        <w:rPr>
          <w:sz w:val="22"/>
          <w:szCs w:val="22"/>
        </w:rPr>
        <w:t xml:space="preserve">PDVAC </w:t>
      </w:r>
      <w:r w:rsidR="00A3234D" w:rsidRPr="28429A3C">
        <w:rPr>
          <w:sz w:val="22"/>
          <w:szCs w:val="22"/>
        </w:rPr>
        <w:t>for</w:t>
      </w:r>
      <w:r w:rsidR="00432F55" w:rsidRPr="28429A3C">
        <w:rPr>
          <w:sz w:val="22"/>
          <w:szCs w:val="22"/>
        </w:rPr>
        <w:t xml:space="preserve"> review and</w:t>
      </w:r>
      <w:r w:rsidR="00A3234D" w:rsidRPr="28429A3C">
        <w:rPr>
          <w:sz w:val="22"/>
          <w:szCs w:val="22"/>
        </w:rPr>
        <w:t xml:space="preserve"> endorsement. </w:t>
      </w:r>
      <w:r w:rsidR="00FA5F97" w:rsidRPr="28429A3C">
        <w:rPr>
          <w:sz w:val="22"/>
          <w:szCs w:val="22"/>
        </w:rPr>
        <w:t>Following incorporation of PDVAC comments, the final ECVP guidance is expected to be published by WHO in 2026.</w:t>
      </w:r>
    </w:p>
    <w:p w14:paraId="318828F3" w14:textId="78380A3D" w:rsidR="00DC7B17" w:rsidRDefault="00AC6441" w:rsidP="007E44B3">
      <w:pPr>
        <w:jc w:val="both"/>
        <w:rPr>
          <w:sz w:val="22"/>
          <w:szCs w:val="22"/>
          <w:lang w:val="en-GB"/>
        </w:rPr>
      </w:pPr>
      <w:r>
        <w:rPr>
          <w:sz w:val="22"/>
          <w:szCs w:val="22"/>
          <w:lang w:val="en-GB"/>
        </w:rPr>
        <w:t xml:space="preserve">Further, </w:t>
      </w:r>
      <w:r w:rsidR="009F0078" w:rsidRPr="00BC33C0">
        <w:rPr>
          <w:sz w:val="22"/>
          <w:szCs w:val="22"/>
          <w:lang w:val="en-GB"/>
        </w:rPr>
        <w:t xml:space="preserve">PDVAC endorsed the </w:t>
      </w:r>
      <w:r>
        <w:rPr>
          <w:sz w:val="22"/>
          <w:szCs w:val="22"/>
          <w:lang w:val="en-GB"/>
        </w:rPr>
        <w:t xml:space="preserve">proposal for early </w:t>
      </w:r>
      <w:r w:rsidR="009F0078" w:rsidRPr="00BC33C0">
        <w:rPr>
          <w:sz w:val="22"/>
          <w:szCs w:val="22"/>
          <w:lang w:val="en-GB"/>
        </w:rPr>
        <w:t xml:space="preserve"> </w:t>
      </w:r>
      <w:r>
        <w:rPr>
          <w:sz w:val="22"/>
          <w:szCs w:val="22"/>
          <w:lang w:val="en-GB"/>
        </w:rPr>
        <w:t xml:space="preserve">engagement with </w:t>
      </w:r>
      <w:r w:rsidR="009F0078" w:rsidRPr="00BC33C0">
        <w:rPr>
          <w:sz w:val="22"/>
          <w:szCs w:val="22"/>
          <w:lang w:val="en-GB"/>
        </w:rPr>
        <w:t xml:space="preserve">SAGE, </w:t>
      </w:r>
      <w:r w:rsidR="00884545" w:rsidRPr="00BC33C0">
        <w:rPr>
          <w:sz w:val="22"/>
          <w:szCs w:val="22"/>
          <w:lang w:val="en-GB"/>
        </w:rPr>
        <w:t xml:space="preserve">encouraging early, coordinated dialogue between </w:t>
      </w:r>
      <w:r w:rsidR="00AB58AC">
        <w:rPr>
          <w:sz w:val="22"/>
          <w:szCs w:val="22"/>
          <w:lang w:val="en-GB"/>
        </w:rPr>
        <w:t xml:space="preserve">developers, </w:t>
      </w:r>
      <w:r w:rsidR="00884545" w:rsidRPr="00BC33C0">
        <w:rPr>
          <w:sz w:val="22"/>
          <w:szCs w:val="22"/>
          <w:lang w:val="en-GB"/>
        </w:rPr>
        <w:t>regulators and policy makers</w:t>
      </w:r>
      <w:r w:rsidR="00FA6099">
        <w:rPr>
          <w:sz w:val="22"/>
          <w:szCs w:val="22"/>
          <w:lang w:val="en-GB"/>
        </w:rPr>
        <w:t xml:space="preserve"> to enable early WHO prequalification</w:t>
      </w:r>
      <w:r w:rsidR="00083034">
        <w:rPr>
          <w:sz w:val="22"/>
          <w:szCs w:val="22"/>
          <w:lang w:val="en-GB"/>
        </w:rPr>
        <w:t>.</w:t>
      </w:r>
      <w:r w:rsidR="00FA6099">
        <w:rPr>
          <w:sz w:val="22"/>
          <w:szCs w:val="22"/>
          <w:lang w:val="en-GB"/>
        </w:rPr>
        <w:t xml:space="preserve"> </w:t>
      </w:r>
    </w:p>
    <w:p w14:paraId="59B16B26" w14:textId="77777777" w:rsidR="00EE6FAC" w:rsidRPr="00BC33C0" w:rsidRDefault="00EE6FAC" w:rsidP="007E44B3">
      <w:pPr>
        <w:jc w:val="both"/>
        <w:rPr>
          <w:sz w:val="22"/>
          <w:szCs w:val="22"/>
          <w:lang w:val="en-GB"/>
        </w:rPr>
      </w:pPr>
    </w:p>
    <w:p w14:paraId="217725B7" w14:textId="59048A66" w:rsidR="00E72061" w:rsidRPr="000D7766" w:rsidRDefault="00517699" w:rsidP="00EE6FAC">
      <w:pPr>
        <w:pStyle w:val="Heading2"/>
        <w:rPr>
          <w:sz w:val="26"/>
          <w:szCs w:val="26"/>
          <w:lang w:val="en-GB"/>
        </w:rPr>
      </w:pPr>
      <w:r w:rsidRPr="28429A3C">
        <w:rPr>
          <w:i/>
          <w:iCs/>
          <w:sz w:val="26"/>
          <w:szCs w:val="26"/>
          <w:lang w:val="en-GB"/>
        </w:rPr>
        <w:t>Shigella</w:t>
      </w:r>
      <w:r w:rsidR="00C43811" w:rsidRPr="28429A3C">
        <w:rPr>
          <w:sz w:val="26"/>
          <w:szCs w:val="26"/>
          <w:lang w:val="en-GB"/>
        </w:rPr>
        <w:t xml:space="preserve"> Vaccine Development Considerations</w:t>
      </w:r>
    </w:p>
    <w:p w14:paraId="72EEA99B" w14:textId="67D8E933" w:rsidR="00E72061" w:rsidRPr="00EE6FAC" w:rsidRDefault="00E72061" w:rsidP="00EE6FAC">
      <w:pPr>
        <w:rPr>
          <w:sz w:val="22"/>
          <w:szCs w:val="22"/>
        </w:rPr>
      </w:pPr>
      <w:r w:rsidRPr="28429A3C">
        <w:rPr>
          <w:i/>
          <w:iCs/>
          <w:sz w:val="22"/>
          <w:szCs w:val="22"/>
        </w:rPr>
        <w:t>Shigella</w:t>
      </w:r>
      <w:r w:rsidRPr="28429A3C">
        <w:rPr>
          <w:sz w:val="22"/>
          <w:szCs w:val="22"/>
        </w:rPr>
        <w:t xml:space="preserve"> remains a leading etiologic agent of diarrheal disease in LMICs, contributing substantially to pediatric morbidity and mortality, particularly among children under five years of age. Recent estimates from the Institute for Health Metrics and Evaluation Global Burden of Disease (GBD) study indicate that diarrheal diseases account for over 1 million deaths annually, </w:t>
      </w:r>
      <w:r w:rsidRPr="00EE6FAC">
        <w:rPr>
          <w:sz w:val="22"/>
          <w:szCs w:val="22"/>
        </w:rPr>
        <w:t xml:space="preserve">with </w:t>
      </w:r>
      <w:r w:rsidRPr="28429A3C">
        <w:rPr>
          <w:i/>
          <w:iCs/>
          <w:sz w:val="22"/>
          <w:szCs w:val="22"/>
        </w:rPr>
        <w:t>Shigella</w:t>
      </w:r>
      <w:r w:rsidRPr="28429A3C">
        <w:rPr>
          <w:sz w:val="22"/>
          <w:szCs w:val="22"/>
        </w:rPr>
        <w:t xml:space="preserve"> representing a major pathogen-specific contributor to moderate-to-severe diarrhea and dysentery in endemic settings.</w:t>
      </w:r>
      <w:r w:rsidR="00CC652A" w:rsidRPr="00EE6FAC">
        <w:rPr>
          <w:rStyle w:val="EndnoteReference"/>
          <w:sz w:val="22"/>
          <w:szCs w:val="22"/>
        </w:rPr>
        <w:endnoteReference w:id="56"/>
      </w:r>
      <w:r w:rsidRPr="00EE6FAC">
        <w:rPr>
          <w:sz w:val="22"/>
          <w:szCs w:val="22"/>
        </w:rPr>
        <w:t xml:space="preserve"> In addition to acute disease, </w:t>
      </w:r>
      <w:r w:rsidRPr="28429A3C">
        <w:rPr>
          <w:i/>
          <w:iCs/>
          <w:sz w:val="22"/>
          <w:szCs w:val="22"/>
        </w:rPr>
        <w:t>Shigella</w:t>
      </w:r>
      <w:r w:rsidRPr="28429A3C">
        <w:rPr>
          <w:sz w:val="22"/>
          <w:szCs w:val="22"/>
        </w:rPr>
        <w:t xml:space="preserve"> infection is increasingly recognized as a significant driver of long-term sequelae with modeling analyses suggesting that, in the absence of vaccination,</w:t>
      </w:r>
      <w:r w:rsidRPr="28429A3C">
        <w:rPr>
          <w:i/>
          <w:iCs/>
          <w:sz w:val="22"/>
          <w:szCs w:val="22"/>
        </w:rPr>
        <w:t xml:space="preserve"> Shigella</w:t>
      </w:r>
      <w:r w:rsidRPr="28429A3C">
        <w:rPr>
          <w:sz w:val="22"/>
          <w:szCs w:val="22"/>
        </w:rPr>
        <w:t xml:space="preserve"> may be associated with substantial cases of childhood stunting and attributable deaths over a 20-year horizon in LMICs</w:t>
      </w:r>
      <w:r w:rsidR="00CC652A" w:rsidRPr="00EE6FAC">
        <w:rPr>
          <w:sz w:val="22"/>
          <w:szCs w:val="22"/>
        </w:rPr>
        <w:t>.</w:t>
      </w:r>
      <w:r w:rsidR="00CC652A" w:rsidRPr="00EE6FAC">
        <w:rPr>
          <w:rStyle w:val="EndnoteReference"/>
          <w:sz w:val="22"/>
          <w:szCs w:val="22"/>
        </w:rPr>
        <w:endnoteReference w:id="57"/>
      </w:r>
      <w:r w:rsidRPr="00EE6FAC">
        <w:rPr>
          <w:sz w:val="22"/>
          <w:szCs w:val="22"/>
        </w:rPr>
        <w:t xml:space="preserve"> Beyond physical growth impairment, both symptomatic and asymptomatic </w:t>
      </w:r>
      <w:r w:rsidRPr="28429A3C">
        <w:rPr>
          <w:i/>
          <w:iCs/>
          <w:sz w:val="22"/>
          <w:szCs w:val="22"/>
        </w:rPr>
        <w:t>Shigella</w:t>
      </w:r>
      <w:r w:rsidRPr="28429A3C">
        <w:rPr>
          <w:sz w:val="22"/>
          <w:szCs w:val="22"/>
        </w:rPr>
        <w:t xml:space="preserve"> infections contribute to chronic intestinal inflammation and environmental enteric dysfunction, which are strongly linked to impaired cognitive development, reduced educational attainment, and diminished lifetime economic productivity</w:t>
      </w:r>
      <w:r w:rsidR="00502D63" w:rsidRPr="00EE6FAC">
        <w:rPr>
          <w:sz w:val="22"/>
          <w:szCs w:val="22"/>
        </w:rPr>
        <w:t>.</w:t>
      </w:r>
      <w:r w:rsidR="00502D63" w:rsidRPr="00EE6FAC">
        <w:rPr>
          <w:rStyle w:val="EndnoteReference"/>
          <w:sz w:val="22"/>
          <w:szCs w:val="22"/>
        </w:rPr>
        <w:endnoteReference w:id="58"/>
      </w:r>
      <w:r w:rsidRPr="00EE6FAC">
        <w:rPr>
          <w:sz w:val="22"/>
          <w:szCs w:val="22"/>
        </w:rPr>
        <w:t xml:space="preserve"> </w:t>
      </w:r>
    </w:p>
    <w:p w14:paraId="041C513E" w14:textId="3D911E10" w:rsidR="00DC16DC" w:rsidRPr="00DC16DC" w:rsidRDefault="00CC652A" w:rsidP="00DC16DC">
      <w:pPr>
        <w:jc w:val="both"/>
        <w:rPr>
          <w:sz w:val="22"/>
          <w:szCs w:val="22"/>
        </w:rPr>
      </w:pPr>
      <w:r w:rsidRPr="28429A3C">
        <w:rPr>
          <w:sz w:val="22"/>
          <w:szCs w:val="22"/>
          <w:lang w:val="en-GB"/>
        </w:rPr>
        <w:t>M</w:t>
      </w:r>
      <w:r w:rsidR="008E77F5" w:rsidRPr="28429A3C">
        <w:rPr>
          <w:sz w:val="22"/>
          <w:szCs w:val="22"/>
          <w:lang w:val="en-GB"/>
        </w:rPr>
        <w:t xml:space="preserve">ultiple vaccine candidates are in the clinical pipeline, including </w:t>
      </w:r>
      <w:r w:rsidR="000377DB" w:rsidRPr="28429A3C">
        <w:rPr>
          <w:sz w:val="22"/>
          <w:szCs w:val="22"/>
          <w:lang w:val="en-GB"/>
        </w:rPr>
        <w:t>q</w:t>
      </w:r>
      <w:r w:rsidR="00847B06" w:rsidRPr="28429A3C">
        <w:rPr>
          <w:sz w:val="22"/>
          <w:szCs w:val="22"/>
          <w:lang w:val="en-GB"/>
        </w:rPr>
        <w:t>uadrivalent (</w:t>
      </w:r>
      <w:r w:rsidR="00847B06" w:rsidRPr="28429A3C">
        <w:rPr>
          <w:i/>
          <w:iCs/>
          <w:sz w:val="22"/>
          <w:szCs w:val="22"/>
          <w:lang w:val="en-GB"/>
        </w:rPr>
        <w:t>S</w:t>
      </w:r>
      <w:r w:rsidR="00726A81" w:rsidRPr="28429A3C">
        <w:rPr>
          <w:i/>
          <w:iCs/>
          <w:sz w:val="22"/>
          <w:szCs w:val="22"/>
          <w:lang w:val="en-GB"/>
        </w:rPr>
        <w:t>.</w:t>
      </w:r>
      <w:r w:rsidR="00847B06" w:rsidRPr="28429A3C">
        <w:rPr>
          <w:i/>
          <w:iCs/>
          <w:sz w:val="22"/>
          <w:szCs w:val="22"/>
          <w:lang w:val="en-GB"/>
        </w:rPr>
        <w:t xml:space="preserve"> flexneri</w:t>
      </w:r>
      <w:r w:rsidR="00847B06" w:rsidRPr="28429A3C">
        <w:rPr>
          <w:sz w:val="22"/>
          <w:szCs w:val="22"/>
          <w:lang w:val="en-GB"/>
        </w:rPr>
        <w:t xml:space="preserve"> 2a, 3a 6</w:t>
      </w:r>
      <w:r w:rsidR="002D5971" w:rsidRPr="28429A3C">
        <w:rPr>
          <w:sz w:val="22"/>
          <w:szCs w:val="22"/>
          <w:lang w:val="en-GB"/>
        </w:rPr>
        <w:t xml:space="preserve">a </w:t>
      </w:r>
      <w:r w:rsidR="000479ED" w:rsidRPr="28429A3C">
        <w:rPr>
          <w:sz w:val="22"/>
          <w:szCs w:val="22"/>
          <w:lang w:val="en-GB"/>
        </w:rPr>
        <w:t xml:space="preserve">or </w:t>
      </w:r>
      <w:r w:rsidR="009946DD" w:rsidRPr="28429A3C">
        <w:rPr>
          <w:sz w:val="22"/>
          <w:szCs w:val="22"/>
          <w:lang w:val="en-GB"/>
        </w:rPr>
        <w:t xml:space="preserve">1b </w:t>
      </w:r>
      <w:r w:rsidR="00726A81" w:rsidRPr="28429A3C">
        <w:rPr>
          <w:sz w:val="22"/>
          <w:szCs w:val="22"/>
          <w:lang w:val="en-GB"/>
        </w:rPr>
        <w:t xml:space="preserve">and </w:t>
      </w:r>
      <w:r w:rsidR="00726A81" w:rsidRPr="28429A3C">
        <w:rPr>
          <w:i/>
          <w:iCs/>
          <w:sz w:val="22"/>
          <w:szCs w:val="22"/>
          <w:lang w:val="en-GB"/>
        </w:rPr>
        <w:t>S. sonnei</w:t>
      </w:r>
      <w:r w:rsidR="000B5989" w:rsidRPr="28429A3C">
        <w:rPr>
          <w:sz w:val="22"/>
          <w:szCs w:val="22"/>
          <w:lang w:val="en-GB"/>
        </w:rPr>
        <w:t xml:space="preserve">) </w:t>
      </w:r>
      <w:r w:rsidR="00322978" w:rsidRPr="28429A3C">
        <w:rPr>
          <w:sz w:val="22"/>
          <w:szCs w:val="22"/>
          <w:lang w:val="en-GB"/>
        </w:rPr>
        <w:t>vaccines</w:t>
      </w:r>
      <w:r w:rsidR="00C21AD3" w:rsidRPr="28429A3C">
        <w:rPr>
          <w:sz w:val="22"/>
          <w:szCs w:val="22"/>
          <w:lang w:val="en-GB"/>
        </w:rPr>
        <w:t xml:space="preserve"> completing phase II studies </w:t>
      </w:r>
      <w:r w:rsidR="008659D0" w:rsidRPr="28429A3C">
        <w:rPr>
          <w:sz w:val="22"/>
          <w:szCs w:val="22"/>
          <w:lang w:val="en-GB"/>
        </w:rPr>
        <w:t xml:space="preserve">in less than </w:t>
      </w:r>
      <w:proofErr w:type="gramStart"/>
      <w:r w:rsidR="008659D0" w:rsidRPr="28429A3C">
        <w:rPr>
          <w:sz w:val="22"/>
          <w:szCs w:val="22"/>
          <w:lang w:val="en-GB"/>
        </w:rPr>
        <w:t>1 year</w:t>
      </w:r>
      <w:proofErr w:type="gramEnd"/>
      <w:r w:rsidR="008659D0" w:rsidRPr="28429A3C">
        <w:rPr>
          <w:sz w:val="22"/>
          <w:szCs w:val="22"/>
          <w:lang w:val="en-GB"/>
        </w:rPr>
        <w:t xml:space="preserve"> olds and a </w:t>
      </w:r>
      <w:r w:rsidR="002D5971" w:rsidRPr="28429A3C">
        <w:rPr>
          <w:i/>
          <w:iCs/>
          <w:sz w:val="22"/>
          <w:szCs w:val="22"/>
          <w:lang w:val="en-GB"/>
        </w:rPr>
        <w:t>S. flexneri</w:t>
      </w:r>
      <w:r w:rsidR="002D5971" w:rsidRPr="28429A3C">
        <w:rPr>
          <w:sz w:val="22"/>
          <w:szCs w:val="22"/>
          <w:lang w:val="en-GB"/>
        </w:rPr>
        <w:t xml:space="preserve"> 2a</w:t>
      </w:r>
      <w:r w:rsidR="00791A9D" w:rsidRPr="28429A3C">
        <w:rPr>
          <w:sz w:val="22"/>
          <w:szCs w:val="22"/>
          <w:lang w:val="en-GB"/>
        </w:rPr>
        <w:t>/</w:t>
      </w:r>
      <w:r w:rsidR="00791A9D" w:rsidRPr="28429A3C">
        <w:rPr>
          <w:i/>
          <w:iCs/>
          <w:sz w:val="22"/>
          <w:szCs w:val="22"/>
          <w:lang w:val="en-GB"/>
        </w:rPr>
        <w:t>S. sonnei</w:t>
      </w:r>
      <w:r w:rsidR="00791A9D" w:rsidRPr="28429A3C">
        <w:rPr>
          <w:sz w:val="22"/>
          <w:szCs w:val="22"/>
          <w:lang w:val="en-GB"/>
        </w:rPr>
        <w:t xml:space="preserve"> biv</w:t>
      </w:r>
      <w:r w:rsidR="00506E0A" w:rsidRPr="28429A3C">
        <w:rPr>
          <w:sz w:val="22"/>
          <w:szCs w:val="22"/>
          <w:lang w:val="en-GB"/>
        </w:rPr>
        <w:t>alent vaccine</w:t>
      </w:r>
      <w:r w:rsidR="002D5971" w:rsidRPr="28429A3C">
        <w:rPr>
          <w:sz w:val="22"/>
          <w:szCs w:val="22"/>
          <w:lang w:val="en-GB"/>
        </w:rPr>
        <w:t xml:space="preserve"> </w:t>
      </w:r>
      <w:r w:rsidR="008E77F5" w:rsidRPr="28429A3C">
        <w:rPr>
          <w:sz w:val="22"/>
          <w:szCs w:val="22"/>
          <w:lang w:val="en-GB"/>
        </w:rPr>
        <w:t xml:space="preserve">in phase III. </w:t>
      </w:r>
      <w:r w:rsidR="00312963" w:rsidRPr="28429A3C">
        <w:rPr>
          <w:sz w:val="22"/>
          <w:szCs w:val="22"/>
          <w:lang w:val="en-GB"/>
        </w:rPr>
        <w:t>WHO has established a</w:t>
      </w:r>
      <w:r w:rsidR="008E77F5" w:rsidRPr="28429A3C">
        <w:rPr>
          <w:sz w:val="22"/>
          <w:szCs w:val="22"/>
          <w:lang w:val="en-GB"/>
        </w:rPr>
        <w:t xml:space="preserve"> technical advisory group (TAG) to </w:t>
      </w:r>
      <w:r w:rsidR="000C7431" w:rsidRPr="28429A3C">
        <w:rPr>
          <w:sz w:val="22"/>
          <w:szCs w:val="22"/>
          <w:lang w:val="en-GB"/>
        </w:rPr>
        <w:t xml:space="preserve">revise the WHO </w:t>
      </w:r>
      <w:r w:rsidR="008E77F5" w:rsidRPr="28429A3C">
        <w:rPr>
          <w:i/>
          <w:iCs/>
          <w:sz w:val="22"/>
          <w:szCs w:val="22"/>
          <w:lang w:val="en-GB"/>
        </w:rPr>
        <w:t>Shigella</w:t>
      </w:r>
      <w:r w:rsidR="008E77F5" w:rsidRPr="28429A3C">
        <w:rPr>
          <w:sz w:val="22"/>
          <w:szCs w:val="22"/>
          <w:lang w:val="en-GB"/>
        </w:rPr>
        <w:t xml:space="preserve"> PPC</w:t>
      </w:r>
      <w:r w:rsidR="0005679E" w:rsidRPr="28429A3C">
        <w:rPr>
          <w:sz w:val="22"/>
          <w:szCs w:val="22"/>
          <w:lang w:val="en-GB"/>
        </w:rPr>
        <w:t>,</w:t>
      </w:r>
      <w:r w:rsidR="000C7431" w:rsidRPr="28429A3C">
        <w:rPr>
          <w:sz w:val="22"/>
          <w:szCs w:val="22"/>
          <w:lang w:val="en-GB"/>
        </w:rPr>
        <w:t xml:space="preserve"> </w:t>
      </w:r>
      <w:r w:rsidR="00DC16DC" w:rsidRPr="28429A3C">
        <w:rPr>
          <w:sz w:val="22"/>
          <w:szCs w:val="22"/>
        </w:rPr>
        <w:t xml:space="preserve">originally published in 2021, in response to several important scientific and technical advancements. These include newly available data from the </w:t>
      </w:r>
      <w:proofErr w:type="spellStart"/>
      <w:r w:rsidR="00DC16DC" w:rsidRPr="28429A3C">
        <w:rPr>
          <w:sz w:val="22"/>
          <w:szCs w:val="22"/>
        </w:rPr>
        <w:t>Enterics</w:t>
      </w:r>
      <w:proofErr w:type="spellEnd"/>
      <w:r w:rsidR="00DC16DC" w:rsidRPr="28429A3C">
        <w:rPr>
          <w:sz w:val="22"/>
          <w:szCs w:val="22"/>
        </w:rPr>
        <w:t xml:space="preserve"> for Global Health (EFGH) study, significant improvements in PCR-based serotyping methodologies, and comprehensive evaluations of multiple clinical case definitions informed by EFGH findings. In addition, there is growing recognition of the potential impact of enteric co-infections on the interpretation of protective efficacy in later-phase clinical trials. Collectively, these developments underscore the need to refine the PPC to better align with the evolving evidence base and to support more robust and interpretable vaccine development strategies</w:t>
      </w:r>
      <w:r w:rsidR="116374A6" w:rsidRPr="28429A3C">
        <w:rPr>
          <w:sz w:val="22"/>
          <w:szCs w:val="22"/>
        </w:rPr>
        <w:t>.</w:t>
      </w:r>
    </w:p>
    <w:p w14:paraId="490810EC" w14:textId="3FBA4EE8" w:rsidR="00EC1975" w:rsidRDefault="00EC1975" w:rsidP="00DD3724">
      <w:pPr>
        <w:jc w:val="both"/>
        <w:rPr>
          <w:sz w:val="22"/>
          <w:szCs w:val="22"/>
          <w:lang w:val="en-GB"/>
        </w:rPr>
      </w:pPr>
      <w:r w:rsidRPr="00185A18">
        <w:rPr>
          <w:b/>
          <w:bCs/>
          <w:sz w:val="22"/>
          <w:szCs w:val="22"/>
          <w:lang w:val="en-GB"/>
        </w:rPr>
        <w:t>Age of vaccination</w:t>
      </w:r>
      <w:r w:rsidR="00CE0E10">
        <w:rPr>
          <w:sz w:val="22"/>
          <w:szCs w:val="22"/>
          <w:lang w:val="en-GB"/>
        </w:rPr>
        <w:t xml:space="preserve">: </w:t>
      </w:r>
      <w:r w:rsidR="002104D2" w:rsidRPr="002104D2">
        <w:rPr>
          <w:sz w:val="22"/>
          <w:szCs w:val="22"/>
          <w:lang w:val="en-GB"/>
        </w:rPr>
        <w:t>Using traditional culture methods, severe cases of shigellosis peak at about 12 months onwards. The PPC therefore specifies full protection</w:t>
      </w:r>
      <w:r w:rsidR="00605E0F">
        <w:rPr>
          <w:sz w:val="22"/>
          <w:szCs w:val="22"/>
          <w:lang w:val="en-GB"/>
        </w:rPr>
        <w:t xml:space="preserve"> (i.e., the full course of vaccination)</w:t>
      </w:r>
      <w:r w:rsidR="002104D2" w:rsidRPr="002104D2">
        <w:rPr>
          <w:sz w:val="22"/>
          <w:szCs w:val="22"/>
          <w:lang w:val="en-GB"/>
        </w:rPr>
        <w:t xml:space="preserve"> by the age of 12 months.</w:t>
      </w:r>
      <w:r w:rsidR="003311AA">
        <w:rPr>
          <w:rStyle w:val="EndnoteReference"/>
          <w:sz w:val="22"/>
          <w:szCs w:val="22"/>
          <w:lang w:val="en-GB"/>
        </w:rPr>
        <w:endnoteReference w:id="59"/>
      </w:r>
      <w:r w:rsidR="002104D2" w:rsidRPr="002104D2">
        <w:rPr>
          <w:sz w:val="22"/>
          <w:szCs w:val="22"/>
          <w:lang w:val="en-GB"/>
        </w:rPr>
        <w:t xml:space="preserve"> However, the use of more sensitive molecular diagnostics</w:t>
      </w:r>
      <w:r w:rsidR="003D2EE6">
        <w:rPr>
          <w:sz w:val="22"/>
          <w:szCs w:val="22"/>
          <w:lang w:val="en-GB"/>
        </w:rPr>
        <w:t xml:space="preserve"> </w:t>
      </w:r>
      <w:r w:rsidR="002104D2" w:rsidRPr="002104D2">
        <w:rPr>
          <w:sz w:val="22"/>
          <w:szCs w:val="22"/>
          <w:lang w:val="en-GB"/>
        </w:rPr>
        <w:t>suggest</w:t>
      </w:r>
      <w:r w:rsidR="00E6571E">
        <w:rPr>
          <w:sz w:val="22"/>
          <w:szCs w:val="22"/>
          <w:lang w:val="en-GB"/>
        </w:rPr>
        <w:t>s</w:t>
      </w:r>
      <w:r w:rsidR="002104D2" w:rsidRPr="002104D2">
        <w:rPr>
          <w:sz w:val="22"/>
          <w:szCs w:val="22"/>
          <w:lang w:val="en-GB"/>
        </w:rPr>
        <w:t xml:space="preserve"> that </w:t>
      </w:r>
      <w:r w:rsidR="00607782" w:rsidRPr="7DC59A82">
        <w:rPr>
          <w:sz w:val="22"/>
          <w:szCs w:val="22"/>
          <w:lang w:val="en-GB"/>
        </w:rPr>
        <w:t>a signific</w:t>
      </w:r>
      <w:r w:rsidR="00AC616E" w:rsidRPr="7DC59A82">
        <w:rPr>
          <w:sz w:val="22"/>
          <w:szCs w:val="22"/>
          <w:lang w:val="en-GB"/>
        </w:rPr>
        <w:t>ant</w:t>
      </w:r>
      <w:r w:rsidR="003769FE" w:rsidRPr="7DC59A82">
        <w:rPr>
          <w:sz w:val="22"/>
          <w:szCs w:val="22"/>
          <w:lang w:val="en-GB"/>
        </w:rPr>
        <w:t xml:space="preserve"> amount</w:t>
      </w:r>
      <w:r w:rsidR="00E6571E">
        <w:rPr>
          <w:sz w:val="22"/>
          <w:szCs w:val="22"/>
          <w:lang w:val="en-GB"/>
        </w:rPr>
        <w:t xml:space="preserve"> of the </w:t>
      </w:r>
      <w:r w:rsidR="00CE40E2" w:rsidRPr="28429A3C">
        <w:rPr>
          <w:i/>
          <w:iCs/>
          <w:sz w:val="22"/>
          <w:szCs w:val="22"/>
          <w:lang w:val="en-GB"/>
        </w:rPr>
        <w:t>Shigella</w:t>
      </w:r>
      <w:r w:rsidR="00CE40E2" w:rsidRPr="28429A3C">
        <w:rPr>
          <w:sz w:val="22"/>
          <w:szCs w:val="22"/>
          <w:lang w:val="en-GB"/>
        </w:rPr>
        <w:t xml:space="preserve"> burden occur</w:t>
      </w:r>
      <w:r w:rsidR="00730983" w:rsidRPr="7DC59A82">
        <w:rPr>
          <w:sz w:val="22"/>
          <w:szCs w:val="22"/>
          <w:lang w:val="en-GB"/>
        </w:rPr>
        <w:t>s</w:t>
      </w:r>
      <w:r w:rsidR="00CE40E2">
        <w:rPr>
          <w:sz w:val="22"/>
          <w:szCs w:val="22"/>
          <w:lang w:val="en-GB"/>
        </w:rPr>
        <w:t xml:space="preserve"> </w:t>
      </w:r>
      <w:r w:rsidR="00517C9C">
        <w:rPr>
          <w:sz w:val="22"/>
          <w:szCs w:val="22"/>
          <w:lang w:val="en-GB"/>
        </w:rPr>
        <w:t xml:space="preserve">earlier </w:t>
      </w:r>
      <w:r w:rsidR="00CE40E2">
        <w:rPr>
          <w:sz w:val="22"/>
          <w:szCs w:val="22"/>
          <w:lang w:val="en-GB"/>
        </w:rPr>
        <w:t xml:space="preserve">in the first </w:t>
      </w:r>
      <w:r w:rsidR="00D74F65">
        <w:rPr>
          <w:sz w:val="22"/>
          <w:szCs w:val="22"/>
          <w:lang w:val="en-GB"/>
        </w:rPr>
        <w:t xml:space="preserve">year </w:t>
      </w:r>
      <w:r w:rsidR="00480A44">
        <w:rPr>
          <w:sz w:val="22"/>
          <w:szCs w:val="22"/>
          <w:lang w:val="en-GB"/>
        </w:rPr>
        <w:t xml:space="preserve">of </w:t>
      </w:r>
      <w:r w:rsidR="002104D2" w:rsidRPr="002104D2">
        <w:rPr>
          <w:sz w:val="22"/>
          <w:szCs w:val="22"/>
          <w:lang w:val="en-GB"/>
        </w:rPr>
        <w:t xml:space="preserve">life. </w:t>
      </w:r>
      <w:r w:rsidR="00A458CF">
        <w:rPr>
          <w:sz w:val="22"/>
          <w:szCs w:val="22"/>
          <w:lang w:val="en-GB"/>
        </w:rPr>
        <w:t xml:space="preserve">This is especially true for more severe disease, </w:t>
      </w:r>
      <w:r w:rsidR="007C7D9F">
        <w:rPr>
          <w:sz w:val="22"/>
          <w:szCs w:val="22"/>
          <w:lang w:val="en-GB"/>
        </w:rPr>
        <w:t>causing</w:t>
      </w:r>
      <w:r w:rsidR="00A458CF">
        <w:rPr>
          <w:sz w:val="22"/>
          <w:szCs w:val="22"/>
          <w:lang w:val="en-GB"/>
        </w:rPr>
        <w:t xml:space="preserve"> hospitalization and mortality. </w:t>
      </w:r>
      <w:r w:rsidR="002104D2" w:rsidRPr="28429A3C">
        <w:rPr>
          <w:i/>
          <w:iCs/>
          <w:sz w:val="22"/>
          <w:szCs w:val="22"/>
          <w:lang w:val="en-GB"/>
        </w:rPr>
        <w:t>Shigella</w:t>
      </w:r>
      <w:r w:rsidR="002104D2" w:rsidRPr="28429A3C">
        <w:rPr>
          <w:sz w:val="22"/>
          <w:szCs w:val="22"/>
          <w:lang w:val="en-GB"/>
        </w:rPr>
        <w:t xml:space="preserve"> infections are a leading cause of growth faltering, to which these early infections appear to make a significant contribution. These analyses </w:t>
      </w:r>
      <w:r w:rsidR="003F4000">
        <w:rPr>
          <w:sz w:val="22"/>
          <w:szCs w:val="22"/>
          <w:lang w:val="en-GB"/>
        </w:rPr>
        <w:t xml:space="preserve">imply that </w:t>
      </w:r>
      <w:r w:rsidR="002104D2" w:rsidRPr="002104D2">
        <w:rPr>
          <w:sz w:val="22"/>
          <w:szCs w:val="22"/>
          <w:lang w:val="en-GB"/>
        </w:rPr>
        <w:t xml:space="preserve">earlier vaccination than initially </w:t>
      </w:r>
      <w:r w:rsidR="002104D2" w:rsidRPr="28429A3C">
        <w:rPr>
          <w:sz w:val="22"/>
          <w:szCs w:val="22"/>
          <w:lang w:val="en-GB"/>
        </w:rPr>
        <w:t>anticipated may be required to achieve optimal protection.</w:t>
      </w:r>
    </w:p>
    <w:p w14:paraId="0911A990" w14:textId="07516AAA" w:rsidR="00D75E07" w:rsidRPr="00D75E07" w:rsidRDefault="00EC1975" w:rsidP="00D75E07">
      <w:pPr>
        <w:spacing w:line="288" w:lineRule="auto"/>
        <w:jc w:val="both"/>
        <w:rPr>
          <w:sz w:val="22"/>
          <w:szCs w:val="22"/>
        </w:rPr>
      </w:pPr>
      <w:r w:rsidRPr="28429A3C">
        <w:rPr>
          <w:b/>
          <w:bCs/>
          <w:sz w:val="22"/>
          <w:szCs w:val="22"/>
          <w:lang w:val="en-GB"/>
        </w:rPr>
        <w:t>Case definition</w:t>
      </w:r>
      <w:r w:rsidR="002104D2" w:rsidRPr="28429A3C">
        <w:rPr>
          <w:sz w:val="22"/>
          <w:szCs w:val="22"/>
          <w:lang w:val="en-GB"/>
        </w:rPr>
        <w:t xml:space="preserve">: </w:t>
      </w:r>
      <w:r w:rsidR="00D16BE3" w:rsidRPr="28429A3C">
        <w:rPr>
          <w:sz w:val="22"/>
          <w:szCs w:val="22"/>
        </w:rPr>
        <w:t xml:space="preserve">The choice of endpoint definition has critical implications for trial sensitivity, specificity, and statistical power, as well as for comparability across studies.  </w:t>
      </w:r>
      <w:r w:rsidR="00DD3724" w:rsidRPr="28429A3C">
        <w:rPr>
          <w:sz w:val="22"/>
          <w:szCs w:val="22"/>
          <w:lang w:val="en-GB"/>
        </w:rPr>
        <w:t xml:space="preserve">The </w:t>
      </w:r>
      <w:r w:rsidR="00DD3724" w:rsidRPr="28429A3C">
        <w:rPr>
          <w:i/>
          <w:iCs/>
          <w:sz w:val="22"/>
          <w:szCs w:val="22"/>
          <w:lang w:val="en-GB"/>
        </w:rPr>
        <w:t>Shigella</w:t>
      </w:r>
      <w:r w:rsidR="00DD3724" w:rsidRPr="28429A3C">
        <w:rPr>
          <w:sz w:val="22"/>
          <w:szCs w:val="22"/>
          <w:lang w:val="en-GB"/>
        </w:rPr>
        <w:t xml:space="preserve"> PPC </w:t>
      </w:r>
      <w:r w:rsidR="00BF2157" w:rsidRPr="28429A3C">
        <w:rPr>
          <w:sz w:val="22"/>
          <w:szCs w:val="22"/>
          <w:lang w:val="en-GB"/>
        </w:rPr>
        <w:t xml:space="preserve">relies on </w:t>
      </w:r>
      <w:r w:rsidR="00DD3724" w:rsidRPr="28429A3C">
        <w:rPr>
          <w:sz w:val="22"/>
          <w:szCs w:val="22"/>
          <w:lang w:val="en-GB"/>
        </w:rPr>
        <w:t>the Global Enteric Multicentre Study (GEMS) case definition of shigellosis</w:t>
      </w:r>
      <w:r w:rsidR="00BF2157" w:rsidRPr="28429A3C">
        <w:rPr>
          <w:sz w:val="22"/>
          <w:szCs w:val="22"/>
          <w:lang w:val="en-GB"/>
        </w:rPr>
        <w:t xml:space="preserve">, which produces </w:t>
      </w:r>
      <w:r w:rsidR="00DD3724" w:rsidRPr="28429A3C">
        <w:rPr>
          <w:sz w:val="22"/>
          <w:szCs w:val="22"/>
          <w:lang w:val="en-GB"/>
        </w:rPr>
        <w:t>a simple ‘yes/no’ descriptor</w:t>
      </w:r>
      <w:r w:rsidR="00BF2157" w:rsidRPr="28429A3C">
        <w:rPr>
          <w:sz w:val="22"/>
          <w:szCs w:val="22"/>
          <w:lang w:val="en-GB"/>
        </w:rPr>
        <w:t xml:space="preserve"> of disease. </w:t>
      </w:r>
      <w:r w:rsidR="00F77451" w:rsidRPr="28429A3C">
        <w:rPr>
          <w:sz w:val="22"/>
          <w:szCs w:val="22"/>
        </w:rPr>
        <w:t>However, reliance on subjective clinical indicators (e.g., sunken eyes, thirst) introduces potential misclassification, prompting consideration of alternative scoring systems</w:t>
      </w:r>
      <w:r w:rsidR="009933A5" w:rsidRPr="28429A3C">
        <w:rPr>
          <w:sz w:val="22"/>
          <w:szCs w:val="22"/>
        </w:rPr>
        <w:t xml:space="preserve">.  </w:t>
      </w:r>
      <w:r w:rsidR="00BF2157" w:rsidRPr="28429A3C">
        <w:rPr>
          <w:sz w:val="22"/>
          <w:szCs w:val="22"/>
          <w:lang w:val="en-GB"/>
        </w:rPr>
        <w:t>O</w:t>
      </w:r>
      <w:r w:rsidR="00DD3724" w:rsidRPr="28429A3C">
        <w:rPr>
          <w:sz w:val="22"/>
          <w:szCs w:val="22"/>
          <w:lang w:val="en-GB"/>
        </w:rPr>
        <w:t>ther approaches</w:t>
      </w:r>
      <w:r w:rsidR="0046314F" w:rsidRPr="28429A3C">
        <w:rPr>
          <w:sz w:val="22"/>
          <w:szCs w:val="22"/>
          <w:lang w:val="en-GB"/>
        </w:rPr>
        <w:t>,</w:t>
      </w:r>
      <w:r w:rsidR="00DD3724" w:rsidRPr="28429A3C">
        <w:rPr>
          <w:sz w:val="22"/>
          <w:szCs w:val="22"/>
          <w:lang w:val="en-GB"/>
        </w:rPr>
        <w:t xml:space="preserve"> </w:t>
      </w:r>
      <w:r w:rsidR="00B40165" w:rsidRPr="28429A3C">
        <w:rPr>
          <w:sz w:val="22"/>
          <w:szCs w:val="22"/>
          <w:lang w:val="en-GB"/>
        </w:rPr>
        <w:t>such as t</w:t>
      </w:r>
      <w:r w:rsidR="00DD3724" w:rsidRPr="28429A3C">
        <w:rPr>
          <w:sz w:val="22"/>
          <w:szCs w:val="22"/>
          <w:lang w:val="en-GB"/>
        </w:rPr>
        <w:t xml:space="preserve">he modified </w:t>
      </w:r>
      <w:proofErr w:type="spellStart"/>
      <w:r w:rsidR="00DD3724" w:rsidRPr="28429A3C">
        <w:rPr>
          <w:sz w:val="22"/>
          <w:szCs w:val="22"/>
          <w:lang w:val="en-GB"/>
        </w:rPr>
        <w:t>Vesikari</w:t>
      </w:r>
      <w:proofErr w:type="spellEnd"/>
      <w:r w:rsidR="00DD3724" w:rsidRPr="28429A3C">
        <w:rPr>
          <w:sz w:val="22"/>
          <w:szCs w:val="22"/>
          <w:lang w:val="en-GB"/>
        </w:rPr>
        <w:t xml:space="preserve"> score (</w:t>
      </w:r>
      <w:proofErr w:type="spellStart"/>
      <w:r w:rsidR="00DD3724" w:rsidRPr="28429A3C">
        <w:rPr>
          <w:sz w:val="22"/>
          <w:szCs w:val="22"/>
          <w:lang w:val="en-GB"/>
        </w:rPr>
        <w:t>mVS</w:t>
      </w:r>
      <w:proofErr w:type="spellEnd"/>
      <w:r w:rsidR="00DD3724" w:rsidRPr="28429A3C">
        <w:rPr>
          <w:sz w:val="22"/>
          <w:szCs w:val="22"/>
          <w:lang w:val="en-GB"/>
        </w:rPr>
        <w:t xml:space="preserve">), generate a score </w:t>
      </w:r>
      <w:r w:rsidR="00141212" w:rsidRPr="28429A3C">
        <w:rPr>
          <w:sz w:val="22"/>
          <w:szCs w:val="22"/>
          <w:lang w:val="en-GB"/>
        </w:rPr>
        <w:t xml:space="preserve">which </w:t>
      </w:r>
      <w:r w:rsidR="0046314F" w:rsidRPr="28429A3C">
        <w:rPr>
          <w:sz w:val="22"/>
          <w:szCs w:val="22"/>
          <w:lang w:val="en-GB"/>
        </w:rPr>
        <w:t xml:space="preserve">relates to </w:t>
      </w:r>
      <w:r w:rsidR="00DD3724" w:rsidRPr="28429A3C">
        <w:rPr>
          <w:sz w:val="22"/>
          <w:szCs w:val="22"/>
          <w:lang w:val="en-GB"/>
        </w:rPr>
        <w:t>a classification of mild, moderate or severe</w:t>
      </w:r>
      <w:r w:rsidR="0046314F" w:rsidRPr="28429A3C">
        <w:rPr>
          <w:sz w:val="22"/>
          <w:szCs w:val="22"/>
          <w:lang w:val="en-GB"/>
        </w:rPr>
        <w:t xml:space="preserve"> disease</w:t>
      </w:r>
      <w:r w:rsidR="00DD3724" w:rsidRPr="28429A3C">
        <w:rPr>
          <w:sz w:val="22"/>
          <w:szCs w:val="22"/>
          <w:lang w:val="en-GB"/>
        </w:rPr>
        <w:t xml:space="preserve">. GEMS and </w:t>
      </w:r>
      <w:proofErr w:type="spellStart"/>
      <w:r w:rsidR="00DD3724" w:rsidRPr="28429A3C">
        <w:rPr>
          <w:sz w:val="22"/>
          <w:szCs w:val="22"/>
          <w:lang w:val="en-GB"/>
        </w:rPr>
        <w:t>mVS</w:t>
      </w:r>
      <w:proofErr w:type="spellEnd"/>
      <w:r w:rsidR="00DD3724" w:rsidRPr="28429A3C">
        <w:rPr>
          <w:sz w:val="22"/>
          <w:szCs w:val="22"/>
          <w:lang w:val="en-GB"/>
        </w:rPr>
        <w:t xml:space="preserve"> approaches perform similarly well, </w:t>
      </w:r>
      <w:r w:rsidR="00D75E07" w:rsidRPr="28429A3C">
        <w:rPr>
          <w:sz w:val="22"/>
          <w:szCs w:val="22"/>
        </w:rPr>
        <w:t xml:space="preserve">GEMS-derived definitions are particularly valuable for assessing vaccine-preventable disease burden and etiologic endpoints in efficacy trials, </w:t>
      </w:r>
      <w:r w:rsidR="00A27FD7" w:rsidRPr="28429A3C">
        <w:rPr>
          <w:sz w:val="22"/>
          <w:szCs w:val="22"/>
        </w:rPr>
        <w:t xml:space="preserve">whereas </w:t>
      </w:r>
      <w:r w:rsidR="00D75E07" w:rsidRPr="28429A3C">
        <w:rPr>
          <w:sz w:val="22"/>
          <w:szCs w:val="22"/>
        </w:rPr>
        <w:t xml:space="preserve">the modified </w:t>
      </w:r>
      <w:proofErr w:type="spellStart"/>
      <w:r w:rsidR="00D75E07" w:rsidRPr="28429A3C">
        <w:rPr>
          <w:sz w:val="22"/>
          <w:szCs w:val="22"/>
        </w:rPr>
        <w:t>Vesikari</w:t>
      </w:r>
      <w:proofErr w:type="spellEnd"/>
      <w:r w:rsidR="00D75E07" w:rsidRPr="28429A3C">
        <w:rPr>
          <w:sz w:val="22"/>
          <w:szCs w:val="22"/>
        </w:rPr>
        <w:t xml:space="preserve"> score provides a sensitive and reproducible measure of clinical severity that is useful for comparing outcomes across study populations.</w:t>
      </w:r>
      <w:r w:rsidR="00DF5AE2" w:rsidRPr="28429A3C">
        <w:rPr>
          <w:sz w:val="22"/>
          <w:szCs w:val="22"/>
        </w:rPr>
        <w:t xml:space="preserve"> Overall, optimized, standardized, and context-appropriate clinical endpoints that align with both regulatory expectations and the biological spectrum of </w:t>
      </w:r>
      <w:r w:rsidR="00DF5AE2" w:rsidRPr="28429A3C">
        <w:rPr>
          <w:i/>
          <w:iCs/>
          <w:sz w:val="22"/>
          <w:szCs w:val="22"/>
        </w:rPr>
        <w:t>Shigella</w:t>
      </w:r>
      <w:r w:rsidR="00DF5AE2" w:rsidRPr="28429A3C">
        <w:rPr>
          <w:sz w:val="22"/>
          <w:szCs w:val="22"/>
        </w:rPr>
        <w:t>-associated disease</w:t>
      </w:r>
      <w:r w:rsidR="00095324" w:rsidRPr="28429A3C">
        <w:rPr>
          <w:sz w:val="22"/>
          <w:szCs w:val="22"/>
        </w:rPr>
        <w:t xml:space="preserve"> are needed.</w:t>
      </w:r>
    </w:p>
    <w:p w14:paraId="2ED94BAD" w14:textId="697A628C" w:rsidR="00E16686" w:rsidRPr="00E16686" w:rsidRDefault="00EC1975" w:rsidP="00E16686">
      <w:pPr>
        <w:spacing w:line="288" w:lineRule="auto"/>
        <w:jc w:val="both"/>
        <w:rPr>
          <w:sz w:val="22"/>
          <w:szCs w:val="22"/>
          <w:lang w:val="en-GB"/>
        </w:rPr>
      </w:pPr>
      <w:r w:rsidRPr="00185A18">
        <w:rPr>
          <w:b/>
          <w:bCs/>
          <w:sz w:val="22"/>
          <w:szCs w:val="22"/>
          <w:lang w:val="en-GB"/>
        </w:rPr>
        <w:t>Detection</w:t>
      </w:r>
      <w:r w:rsidR="00E16686">
        <w:rPr>
          <w:sz w:val="22"/>
          <w:szCs w:val="22"/>
          <w:lang w:val="en-GB"/>
        </w:rPr>
        <w:t>: Q</w:t>
      </w:r>
      <w:r w:rsidR="00E16686" w:rsidRPr="00E16686">
        <w:rPr>
          <w:sz w:val="22"/>
          <w:szCs w:val="22"/>
          <w:lang w:val="en-GB"/>
        </w:rPr>
        <w:t>uantitative PCR (qPCR) is being used as a</w:t>
      </w:r>
      <w:r w:rsidR="00911C12">
        <w:rPr>
          <w:sz w:val="22"/>
          <w:szCs w:val="22"/>
          <w:lang w:val="en-GB"/>
        </w:rPr>
        <w:t xml:space="preserve">n </w:t>
      </w:r>
      <w:r w:rsidR="00E16686" w:rsidRPr="00E16686">
        <w:rPr>
          <w:sz w:val="22"/>
          <w:szCs w:val="22"/>
          <w:lang w:val="en-GB"/>
        </w:rPr>
        <w:t xml:space="preserve">alternative approach to </w:t>
      </w:r>
      <w:r w:rsidR="00911C12">
        <w:rPr>
          <w:sz w:val="22"/>
          <w:szCs w:val="22"/>
          <w:lang w:val="en-GB"/>
        </w:rPr>
        <w:t xml:space="preserve">bacterial </w:t>
      </w:r>
      <w:r w:rsidR="00E16686">
        <w:rPr>
          <w:sz w:val="22"/>
          <w:szCs w:val="22"/>
          <w:lang w:val="en-GB"/>
        </w:rPr>
        <w:t xml:space="preserve">culture to </w:t>
      </w:r>
      <w:r w:rsidR="00E16686" w:rsidRPr="00E16686">
        <w:rPr>
          <w:sz w:val="22"/>
          <w:szCs w:val="22"/>
          <w:lang w:val="en-GB"/>
        </w:rPr>
        <w:t>quantify microbial load</w:t>
      </w:r>
      <w:r w:rsidR="00D30BE7" w:rsidRPr="00D30BE7">
        <w:t xml:space="preserve"> </w:t>
      </w:r>
      <w:r w:rsidR="00D30BE7" w:rsidRPr="00D30BE7">
        <w:rPr>
          <w:sz w:val="22"/>
          <w:szCs w:val="22"/>
        </w:rPr>
        <w:t>based on the markedly superior sensitivity compared to conventional culture-based methods</w:t>
      </w:r>
      <w:r w:rsidR="00E16686" w:rsidRPr="00E16686">
        <w:rPr>
          <w:sz w:val="22"/>
          <w:szCs w:val="22"/>
          <w:lang w:val="en-GB"/>
        </w:rPr>
        <w:t xml:space="preserve">. </w:t>
      </w:r>
      <w:r w:rsidR="005A17D8" w:rsidRPr="005A17D8">
        <w:rPr>
          <w:sz w:val="22"/>
          <w:szCs w:val="22"/>
        </w:rPr>
        <w:t xml:space="preserve">Large multicenter studies (e.g., EFGH, GEMS, MAL-ED, VIDA) demonstrate that culture-negative but qPCR-attributable </w:t>
      </w:r>
      <w:r w:rsidR="005A17D8" w:rsidRPr="005A17D8">
        <w:rPr>
          <w:i/>
          <w:iCs/>
          <w:sz w:val="22"/>
          <w:szCs w:val="22"/>
        </w:rPr>
        <w:t>Shigella</w:t>
      </w:r>
      <w:r w:rsidR="005A17D8" w:rsidRPr="005A17D8">
        <w:rPr>
          <w:sz w:val="22"/>
          <w:szCs w:val="22"/>
        </w:rPr>
        <w:t xml:space="preserve"> infections comprise the majority of clinically relevant disease burden, underscoring the limitations of culture for endpoint ascertainment.</w:t>
      </w:r>
      <w:r w:rsidR="005A17D8">
        <w:rPr>
          <w:sz w:val="22"/>
          <w:szCs w:val="22"/>
        </w:rPr>
        <w:t xml:space="preserve">  </w:t>
      </w:r>
      <w:r w:rsidR="00911C12">
        <w:rPr>
          <w:sz w:val="22"/>
          <w:szCs w:val="22"/>
          <w:lang w:val="en-GB"/>
        </w:rPr>
        <w:t xml:space="preserve">However, due to its greater sensitivity, not all </w:t>
      </w:r>
      <w:r w:rsidR="00E16686" w:rsidRPr="00E16686">
        <w:rPr>
          <w:sz w:val="22"/>
          <w:szCs w:val="22"/>
          <w:lang w:val="en-GB"/>
        </w:rPr>
        <w:t>PCR</w:t>
      </w:r>
      <w:r w:rsidR="00911C12">
        <w:rPr>
          <w:sz w:val="22"/>
          <w:szCs w:val="22"/>
          <w:lang w:val="en-GB"/>
        </w:rPr>
        <w:t>-confirmed</w:t>
      </w:r>
      <w:r w:rsidR="00E16686" w:rsidRPr="00E16686">
        <w:rPr>
          <w:sz w:val="22"/>
          <w:szCs w:val="22"/>
          <w:lang w:val="en-GB"/>
        </w:rPr>
        <w:t xml:space="preserve"> </w:t>
      </w:r>
      <w:r w:rsidR="00911C12">
        <w:rPr>
          <w:sz w:val="22"/>
          <w:szCs w:val="22"/>
          <w:lang w:val="en-GB"/>
        </w:rPr>
        <w:t xml:space="preserve">Shigella infections </w:t>
      </w:r>
      <w:r w:rsidR="00E16686" w:rsidRPr="00E16686">
        <w:rPr>
          <w:sz w:val="22"/>
          <w:szCs w:val="22"/>
          <w:lang w:val="en-GB"/>
        </w:rPr>
        <w:t>are clinically significant</w:t>
      </w:r>
      <w:r w:rsidR="00033428" w:rsidRPr="00033428">
        <w:t xml:space="preserve"> </w:t>
      </w:r>
      <w:r w:rsidR="00033428" w:rsidRPr="00033428">
        <w:rPr>
          <w:sz w:val="22"/>
          <w:szCs w:val="22"/>
        </w:rPr>
        <w:t>necessitating the application of quantitative thresholds and attributable fraction modeling to improve etiologic specificity.</w:t>
      </w:r>
      <w:r w:rsidR="00E16686" w:rsidRPr="00E16686">
        <w:rPr>
          <w:sz w:val="22"/>
          <w:szCs w:val="22"/>
          <w:lang w:val="en-GB"/>
        </w:rPr>
        <w:t xml:space="preserve"> </w:t>
      </w:r>
      <w:r w:rsidR="004F1784">
        <w:rPr>
          <w:sz w:val="22"/>
          <w:szCs w:val="22"/>
          <w:lang w:val="en-GB"/>
        </w:rPr>
        <w:t xml:space="preserve"> </w:t>
      </w:r>
      <w:r w:rsidR="004B7326">
        <w:rPr>
          <w:sz w:val="22"/>
          <w:szCs w:val="22"/>
          <w:lang w:val="en-GB"/>
        </w:rPr>
        <w:t xml:space="preserve">Furthermore, the greater </w:t>
      </w:r>
      <w:r w:rsidR="00E16686" w:rsidRPr="00E16686">
        <w:rPr>
          <w:sz w:val="22"/>
          <w:szCs w:val="22"/>
          <w:lang w:val="en-GB"/>
        </w:rPr>
        <w:t>sensitiv</w:t>
      </w:r>
      <w:r w:rsidR="004B7326">
        <w:rPr>
          <w:sz w:val="22"/>
          <w:szCs w:val="22"/>
          <w:lang w:val="en-GB"/>
        </w:rPr>
        <w:t>ity of qPCR</w:t>
      </w:r>
      <w:r w:rsidR="00E16686" w:rsidRPr="00E16686">
        <w:rPr>
          <w:sz w:val="22"/>
          <w:szCs w:val="22"/>
          <w:lang w:val="en-GB"/>
        </w:rPr>
        <w:t xml:space="preserve"> detection </w:t>
      </w:r>
      <w:r w:rsidR="00035EB4" w:rsidRPr="00035EB4">
        <w:rPr>
          <w:sz w:val="22"/>
          <w:szCs w:val="22"/>
        </w:rPr>
        <w:t>can substantially reduce required sample sizes due to increased case detection efficiency, thereby improving clinical trial feasibility.</w:t>
      </w:r>
      <w:r w:rsidR="00247FC7">
        <w:rPr>
          <w:sz w:val="22"/>
          <w:szCs w:val="22"/>
        </w:rPr>
        <w:t xml:space="preserve">  </w:t>
      </w:r>
      <w:r w:rsidR="00E16686" w:rsidRPr="00E16686">
        <w:rPr>
          <w:sz w:val="22"/>
          <w:szCs w:val="22"/>
          <w:lang w:val="en-GB"/>
        </w:rPr>
        <w:t xml:space="preserve">However, </w:t>
      </w:r>
      <w:r w:rsidR="00656361">
        <w:rPr>
          <w:sz w:val="22"/>
          <w:szCs w:val="22"/>
          <w:lang w:val="en-GB"/>
        </w:rPr>
        <w:t xml:space="preserve">as </w:t>
      </w:r>
      <w:r w:rsidR="00E16686" w:rsidRPr="00E16686">
        <w:rPr>
          <w:sz w:val="22"/>
          <w:szCs w:val="22"/>
          <w:lang w:val="en-GB"/>
        </w:rPr>
        <w:t xml:space="preserve">PCR detection is </w:t>
      </w:r>
      <w:r w:rsidR="00656361">
        <w:rPr>
          <w:sz w:val="22"/>
          <w:szCs w:val="22"/>
          <w:lang w:val="en-GB"/>
        </w:rPr>
        <w:t xml:space="preserve">often </w:t>
      </w:r>
      <w:r w:rsidR="00E16686" w:rsidRPr="00E16686">
        <w:rPr>
          <w:sz w:val="22"/>
          <w:szCs w:val="22"/>
          <w:lang w:val="en-GB"/>
        </w:rPr>
        <w:t xml:space="preserve">based on the </w:t>
      </w:r>
      <w:proofErr w:type="spellStart"/>
      <w:r w:rsidR="00E16686" w:rsidRPr="007C7979">
        <w:rPr>
          <w:i/>
          <w:iCs/>
          <w:sz w:val="22"/>
          <w:szCs w:val="22"/>
          <w:lang w:val="en-GB"/>
        </w:rPr>
        <w:t>ipaH</w:t>
      </w:r>
      <w:proofErr w:type="spellEnd"/>
      <w:r w:rsidR="00E16686" w:rsidRPr="00E16686">
        <w:rPr>
          <w:sz w:val="22"/>
          <w:szCs w:val="22"/>
          <w:lang w:val="en-GB"/>
        </w:rPr>
        <w:t xml:space="preserve"> gene</w:t>
      </w:r>
      <w:r w:rsidR="00656361">
        <w:rPr>
          <w:sz w:val="22"/>
          <w:szCs w:val="22"/>
          <w:lang w:val="en-GB"/>
        </w:rPr>
        <w:t xml:space="preserve"> </w:t>
      </w:r>
      <w:r w:rsidR="00E16686" w:rsidRPr="00E16686">
        <w:rPr>
          <w:sz w:val="22"/>
          <w:szCs w:val="22"/>
          <w:lang w:val="en-GB"/>
        </w:rPr>
        <w:t xml:space="preserve">also found in </w:t>
      </w:r>
      <w:proofErr w:type="spellStart"/>
      <w:r w:rsidR="00E16686" w:rsidRPr="00E16686">
        <w:rPr>
          <w:sz w:val="22"/>
          <w:szCs w:val="22"/>
          <w:lang w:val="en-GB"/>
        </w:rPr>
        <w:t>enteroinvasive</w:t>
      </w:r>
      <w:proofErr w:type="spellEnd"/>
      <w:r w:rsidR="00E16686" w:rsidRPr="00E16686">
        <w:rPr>
          <w:sz w:val="22"/>
          <w:szCs w:val="22"/>
          <w:lang w:val="en-GB"/>
        </w:rPr>
        <w:t xml:space="preserve"> </w:t>
      </w:r>
      <w:r w:rsidR="00E16686" w:rsidRPr="007C7979">
        <w:rPr>
          <w:i/>
          <w:iCs/>
          <w:sz w:val="22"/>
          <w:szCs w:val="22"/>
          <w:lang w:val="en-GB"/>
        </w:rPr>
        <w:t>E. coli</w:t>
      </w:r>
      <w:r w:rsidR="00EB3C30">
        <w:rPr>
          <w:i/>
          <w:iCs/>
          <w:sz w:val="22"/>
          <w:szCs w:val="22"/>
          <w:lang w:val="en-GB"/>
        </w:rPr>
        <w:t xml:space="preserve"> </w:t>
      </w:r>
      <w:r w:rsidR="00EB3C30" w:rsidRPr="00AA7A09">
        <w:rPr>
          <w:sz w:val="22"/>
          <w:szCs w:val="22"/>
          <w:lang w:val="en-GB"/>
        </w:rPr>
        <w:t>(EIEC</w:t>
      </w:r>
      <w:r w:rsidR="00656361" w:rsidRPr="00EB3C30">
        <w:rPr>
          <w:sz w:val="22"/>
          <w:szCs w:val="22"/>
          <w:lang w:val="en-GB"/>
        </w:rPr>
        <w:t>),</w:t>
      </w:r>
      <w:r w:rsidR="00656361">
        <w:rPr>
          <w:sz w:val="22"/>
          <w:szCs w:val="22"/>
          <w:lang w:val="en-GB"/>
        </w:rPr>
        <w:t xml:space="preserve"> </w:t>
      </w:r>
      <w:r w:rsidR="00AE2A91" w:rsidRPr="00AE2A91">
        <w:rPr>
          <w:sz w:val="22"/>
          <w:szCs w:val="22"/>
        </w:rPr>
        <w:t xml:space="preserve">although EIEC prevalence is comparatively low in LMIC pediatric populations, minimizing its confounding impact. </w:t>
      </w:r>
      <w:r w:rsidR="005A06DC" w:rsidRPr="00E16686">
        <w:rPr>
          <w:sz w:val="22"/>
          <w:szCs w:val="22"/>
          <w:lang w:val="en-GB"/>
        </w:rPr>
        <w:t xml:space="preserve">PCR </w:t>
      </w:r>
      <w:r w:rsidR="005A06DC">
        <w:rPr>
          <w:sz w:val="22"/>
          <w:szCs w:val="22"/>
          <w:lang w:val="en-GB"/>
        </w:rPr>
        <w:t xml:space="preserve">assays </w:t>
      </w:r>
      <w:r w:rsidR="00394363">
        <w:rPr>
          <w:sz w:val="22"/>
          <w:szCs w:val="22"/>
          <w:lang w:val="en-GB"/>
        </w:rPr>
        <w:t xml:space="preserve">must </w:t>
      </w:r>
      <w:r w:rsidR="005A06DC">
        <w:rPr>
          <w:sz w:val="22"/>
          <w:szCs w:val="22"/>
          <w:lang w:val="en-GB"/>
        </w:rPr>
        <w:t xml:space="preserve">identify </w:t>
      </w:r>
      <w:r w:rsidR="005A06DC" w:rsidRPr="00E16686">
        <w:rPr>
          <w:sz w:val="22"/>
          <w:szCs w:val="22"/>
          <w:lang w:val="en-GB"/>
        </w:rPr>
        <w:t>serotype isolates</w:t>
      </w:r>
      <w:r w:rsidR="005A06DC">
        <w:rPr>
          <w:sz w:val="22"/>
          <w:szCs w:val="22"/>
          <w:lang w:val="en-GB"/>
        </w:rPr>
        <w:t xml:space="preserve"> (e.g., </w:t>
      </w:r>
      <w:r w:rsidR="005A06DC" w:rsidRPr="005A06DC">
        <w:rPr>
          <w:i/>
          <w:iCs/>
          <w:sz w:val="22"/>
          <w:szCs w:val="22"/>
          <w:lang w:val="en-GB"/>
        </w:rPr>
        <w:t>Shigella sonnei</w:t>
      </w:r>
      <w:r w:rsidR="005A06DC">
        <w:rPr>
          <w:sz w:val="22"/>
          <w:szCs w:val="22"/>
          <w:lang w:val="en-GB"/>
        </w:rPr>
        <w:t xml:space="preserve"> vs </w:t>
      </w:r>
      <w:r w:rsidR="005A06DC" w:rsidRPr="005A06DC">
        <w:rPr>
          <w:i/>
          <w:iCs/>
          <w:sz w:val="22"/>
          <w:szCs w:val="22"/>
          <w:lang w:val="en-GB"/>
        </w:rPr>
        <w:t>Shigella flexneri</w:t>
      </w:r>
      <w:r w:rsidR="005A06DC">
        <w:rPr>
          <w:sz w:val="22"/>
          <w:szCs w:val="22"/>
          <w:lang w:val="en-GB"/>
        </w:rPr>
        <w:t>)</w:t>
      </w:r>
      <w:r w:rsidR="00AE7120">
        <w:rPr>
          <w:sz w:val="22"/>
          <w:szCs w:val="22"/>
          <w:lang w:val="en-GB"/>
        </w:rPr>
        <w:t xml:space="preserve"> </w:t>
      </w:r>
      <w:r w:rsidR="001A0C05">
        <w:rPr>
          <w:sz w:val="22"/>
          <w:szCs w:val="22"/>
          <w:lang w:val="en-GB"/>
        </w:rPr>
        <w:t xml:space="preserve">to </w:t>
      </w:r>
      <w:r w:rsidR="00AE7120">
        <w:rPr>
          <w:sz w:val="22"/>
          <w:szCs w:val="22"/>
          <w:lang w:val="en-GB"/>
        </w:rPr>
        <w:t xml:space="preserve">exclude </w:t>
      </w:r>
      <w:r w:rsidR="00AE7120" w:rsidRPr="007C7979">
        <w:rPr>
          <w:i/>
          <w:iCs/>
          <w:sz w:val="22"/>
          <w:szCs w:val="22"/>
          <w:lang w:val="en-GB"/>
        </w:rPr>
        <w:t>E. coli</w:t>
      </w:r>
      <w:r w:rsidR="00394363">
        <w:rPr>
          <w:i/>
          <w:iCs/>
          <w:sz w:val="22"/>
          <w:szCs w:val="22"/>
          <w:lang w:val="en-GB"/>
        </w:rPr>
        <w:t xml:space="preserve"> </w:t>
      </w:r>
      <w:r w:rsidR="00394363">
        <w:rPr>
          <w:sz w:val="22"/>
          <w:szCs w:val="22"/>
          <w:lang w:val="en-GB"/>
        </w:rPr>
        <w:t>infection</w:t>
      </w:r>
      <w:r w:rsidR="00AE7120">
        <w:rPr>
          <w:i/>
          <w:iCs/>
          <w:sz w:val="22"/>
          <w:szCs w:val="22"/>
          <w:lang w:val="en-GB"/>
        </w:rPr>
        <w:t xml:space="preserve">. </w:t>
      </w:r>
      <w:r w:rsidR="00AE7120">
        <w:rPr>
          <w:sz w:val="22"/>
          <w:szCs w:val="22"/>
          <w:lang w:val="en-GB"/>
        </w:rPr>
        <w:t>T</w:t>
      </w:r>
      <w:r w:rsidR="005A06DC" w:rsidRPr="00E16686">
        <w:rPr>
          <w:sz w:val="22"/>
          <w:szCs w:val="22"/>
          <w:lang w:val="en-GB"/>
        </w:rPr>
        <w:t xml:space="preserve">he </w:t>
      </w:r>
      <w:r w:rsidR="005A06DC" w:rsidRPr="001A0C05">
        <w:rPr>
          <w:i/>
          <w:iCs/>
          <w:sz w:val="22"/>
          <w:szCs w:val="22"/>
          <w:lang w:val="en-GB"/>
        </w:rPr>
        <w:t>Shigella</w:t>
      </w:r>
      <w:r w:rsidR="005A06DC" w:rsidRPr="00E16686">
        <w:rPr>
          <w:sz w:val="22"/>
          <w:szCs w:val="22"/>
          <w:lang w:val="en-GB"/>
        </w:rPr>
        <w:t xml:space="preserve"> </w:t>
      </w:r>
      <w:r w:rsidR="00BF02F4">
        <w:rPr>
          <w:sz w:val="22"/>
          <w:szCs w:val="22"/>
          <w:lang w:val="en-GB"/>
        </w:rPr>
        <w:t xml:space="preserve">qPCR assay </w:t>
      </w:r>
      <w:r w:rsidR="00BF02F4" w:rsidRPr="00BF02F4">
        <w:rPr>
          <w:sz w:val="22"/>
          <w:szCs w:val="22"/>
        </w:rPr>
        <w:t xml:space="preserve">allow for high-throughput, multiplex detection with strong reproducibility and reduced contamination risk, while also enabling serotype-specific identification (e.g., </w:t>
      </w:r>
      <w:r w:rsidR="00BF02F4" w:rsidRPr="00BF02F4">
        <w:rPr>
          <w:i/>
          <w:iCs/>
          <w:sz w:val="22"/>
          <w:szCs w:val="22"/>
        </w:rPr>
        <w:t>S. sonnei</w:t>
      </w:r>
      <w:r w:rsidR="00BF02F4" w:rsidRPr="00BF02F4">
        <w:rPr>
          <w:sz w:val="22"/>
          <w:szCs w:val="22"/>
        </w:rPr>
        <w:t xml:space="preserve">, </w:t>
      </w:r>
      <w:r w:rsidR="00BF02F4" w:rsidRPr="00BF02F4">
        <w:rPr>
          <w:i/>
          <w:iCs/>
          <w:sz w:val="22"/>
          <w:szCs w:val="22"/>
        </w:rPr>
        <w:t>S. flexneri</w:t>
      </w:r>
      <w:r w:rsidR="00BF02F4" w:rsidRPr="00BF02F4">
        <w:rPr>
          <w:sz w:val="22"/>
          <w:szCs w:val="22"/>
        </w:rPr>
        <w:t>) with high concordance to traditional agglutination methods.</w:t>
      </w:r>
      <w:r w:rsidR="002139F3" w:rsidRPr="002139F3">
        <w:t xml:space="preserve"> </w:t>
      </w:r>
      <w:r w:rsidR="002139F3" w:rsidRPr="002139F3">
        <w:rPr>
          <w:sz w:val="22"/>
          <w:szCs w:val="22"/>
        </w:rPr>
        <w:t xml:space="preserve">Ongoing efforts to standardize and qualify these molecular assays, including evaluation of specificity, reproducibility, and sample stability, aim to support regulatory acceptance and broader implementation in vaccine trials. </w:t>
      </w:r>
    </w:p>
    <w:p w14:paraId="56C01CD3" w14:textId="7ADFCA47" w:rsidR="003E57D0" w:rsidRDefault="3AD73BFA" w:rsidP="7E110498">
      <w:pPr>
        <w:jc w:val="both"/>
        <w:rPr>
          <w:sz w:val="22"/>
          <w:szCs w:val="22"/>
        </w:rPr>
      </w:pPr>
      <w:r w:rsidRPr="28429A3C">
        <w:rPr>
          <w:b/>
          <w:bCs/>
          <w:sz w:val="22"/>
          <w:szCs w:val="22"/>
        </w:rPr>
        <w:t>Coinfections</w:t>
      </w:r>
      <w:r w:rsidR="6A039744" w:rsidRPr="28429A3C">
        <w:rPr>
          <w:sz w:val="22"/>
          <w:szCs w:val="22"/>
        </w:rPr>
        <w:t xml:space="preserve">: </w:t>
      </w:r>
      <w:r w:rsidR="00B653DD" w:rsidRPr="28429A3C">
        <w:rPr>
          <w:sz w:val="22"/>
          <w:szCs w:val="22"/>
        </w:rPr>
        <w:t xml:space="preserve">Another critical methodological challenge in defining phase III efficacy endpoints for </w:t>
      </w:r>
      <w:r w:rsidR="00B653DD" w:rsidRPr="28429A3C">
        <w:rPr>
          <w:i/>
          <w:iCs/>
          <w:sz w:val="22"/>
          <w:szCs w:val="22"/>
        </w:rPr>
        <w:t>Shigella</w:t>
      </w:r>
      <w:r w:rsidR="00B653DD" w:rsidRPr="28429A3C">
        <w:rPr>
          <w:sz w:val="22"/>
          <w:szCs w:val="22"/>
        </w:rPr>
        <w:t xml:space="preserve"> vaccine trials in LMIC settings is the high prevalence of co-infections observed in studies such as EFGH, MAL-ED, GEMS, and VIDA. qPCR-based diagnostics substantially increase pathogen detection sensitivity relative to </w:t>
      </w:r>
      <w:r w:rsidR="2980C8CF" w:rsidRPr="28429A3C">
        <w:rPr>
          <w:sz w:val="22"/>
          <w:szCs w:val="22"/>
        </w:rPr>
        <w:t>culture but</w:t>
      </w:r>
      <w:r w:rsidR="00B653DD" w:rsidRPr="28429A3C">
        <w:rPr>
          <w:sz w:val="22"/>
          <w:szCs w:val="22"/>
        </w:rPr>
        <w:t xml:space="preserve"> introduce complexity in attributing diarrheal etiology. </w:t>
      </w:r>
      <w:r w:rsidR="6A039744" w:rsidRPr="28429A3C">
        <w:rPr>
          <w:sz w:val="22"/>
          <w:szCs w:val="22"/>
        </w:rPr>
        <w:t xml:space="preserve">In the Malnutrition and Enteric Disease (MAL-ED) study, qPCR most commonly detected three coinfections; across multiple global studies, more than 90% of cases involve coinfections. </w:t>
      </w:r>
      <w:r w:rsidR="5A3BD38A" w:rsidRPr="28429A3C">
        <w:rPr>
          <w:sz w:val="22"/>
          <w:szCs w:val="22"/>
        </w:rPr>
        <w:t xml:space="preserve">Including these cases may attribute some disease to </w:t>
      </w:r>
      <w:r w:rsidR="5A3BD38A" w:rsidRPr="28429A3C">
        <w:rPr>
          <w:i/>
          <w:iCs/>
          <w:sz w:val="22"/>
          <w:szCs w:val="22"/>
        </w:rPr>
        <w:t>Shigella</w:t>
      </w:r>
      <w:r w:rsidR="5A3BD38A" w:rsidRPr="28429A3C">
        <w:rPr>
          <w:sz w:val="22"/>
          <w:szCs w:val="22"/>
        </w:rPr>
        <w:t xml:space="preserve"> which is in fact caused by a different pathogen. </w:t>
      </w:r>
      <w:r w:rsidR="4E31718A" w:rsidRPr="28429A3C">
        <w:rPr>
          <w:sz w:val="22"/>
          <w:szCs w:val="22"/>
        </w:rPr>
        <w:t>However, e</w:t>
      </w:r>
      <w:r w:rsidR="41F23F89" w:rsidRPr="28429A3C">
        <w:rPr>
          <w:sz w:val="22"/>
          <w:szCs w:val="22"/>
        </w:rPr>
        <w:t xml:space="preserve">xcluding such cases </w:t>
      </w:r>
      <w:r w:rsidR="01D9D902" w:rsidRPr="28429A3C">
        <w:rPr>
          <w:sz w:val="22"/>
          <w:szCs w:val="22"/>
        </w:rPr>
        <w:t>has implications</w:t>
      </w:r>
      <w:r w:rsidR="41F23F89" w:rsidRPr="28429A3C">
        <w:rPr>
          <w:sz w:val="22"/>
          <w:szCs w:val="22"/>
        </w:rPr>
        <w:t>:</w:t>
      </w:r>
      <w:r w:rsidR="7961A0E7" w:rsidRPr="28429A3C">
        <w:rPr>
          <w:sz w:val="22"/>
          <w:szCs w:val="22"/>
        </w:rPr>
        <w:t xml:space="preserve"> </w:t>
      </w:r>
      <w:r w:rsidR="41F23F89" w:rsidRPr="28429A3C">
        <w:rPr>
          <w:sz w:val="22"/>
          <w:szCs w:val="22"/>
        </w:rPr>
        <w:t>Firstly, i</w:t>
      </w:r>
      <w:r w:rsidR="01D9D902" w:rsidRPr="28429A3C">
        <w:rPr>
          <w:sz w:val="22"/>
          <w:szCs w:val="22"/>
        </w:rPr>
        <w:t xml:space="preserve">t </w:t>
      </w:r>
      <w:r w:rsidR="7961A0E7" w:rsidRPr="28429A3C">
        <w:rPr>
          <w:sz w:val="22"/>
          <w:szCs w:val="22"/>
        </w:rPr>
        <w:t xml:space="preserve">requires </w:t>
      </w:r>
      <w:r w:rsidR="058FE2FD" w:rsidRPr="28429A3C">
        <w:rPr>
          <w:sz w:val="22"/>
          <w:szCs w:val="22"/>
        </w:rPr>
        <w:t xml:space="preserve">implementation of </w:t>
      </w:r>
      <w:r w:rsidR="7961A0E7" w:rsidRPr="28429A3C">
        <w:rPr>
          <w:sz w:val="22"/>
          <w:szCs w:val="22"/>
        </w:rPr>
        <w:t>diagnostics for other pathogens</w:t>
      </w:r>
      <w:r w:rsidR="41F23F89" w:rsidRPr="28429A3C">
        <w:rPr>
          <w:sz w:val="22"/>
          <w:szCs w:val="22"/>
        </w:rPr>
        <w:t xml:space="preserve">. Secondly, it </w:t>
      </w:r>
      <w:r w:rsidR="7961A0E7" w:rsidRPr="28429A3C">
        <w:rPr>
          <w:sz w:val="22"/>
          <w:szCs w:val="22"/>
        </w:rPr>
        <w:t xml:space="preserve">alters the age distribution </w:t>
      </w:r>
      <w:r w:rsidR="058FE2FD" w:rsidRPr="28429A3C">
        <w:rPr>
          <w:sz w:val="22"/>
          <w:szCs w:val="22"/>
        </w:rPr>
        <w:t xml:space="preserve">and </w:t>
      </w:r>
      <w:proofErr w:type="spellStart"/>
      <w:r w:rsidR="058FE2FD" w:rsidRPr="28429A3C">
        <w:rPr>
          <w:sz w:val="22"/>
          <w:szCs w:val="22"/>
        </w:rPr>
        <w:t>generalisability</w:t>
      </w:r>
      <w:proofErr w:type="spellEnd"/>
      <w:r w:rsidR="058FE2FD" w:rsidRPr="28429A3C">
        <w:rPr>
          <w:sz w:val="22"/>
          <w:szCs w:val="22"/>
        </w:rPr>
        <w:t xml:space="preserve"> </w:t>
      </w:r>
      <w:r w:rsidR="7961A0E7" w:rsidRPr="28429A3C">
        <w:rPr>
          <w:sz w:val="22"/>
          <w:szCs w:val="22"/>
        </w:rPr>
        <w:t xml:space="preserve">of </w:t>
      </w:r>
      <w:r w:rsidR="058FE2FD" w:rsidRPr="28429A3C">
        <w:rPr>
          <w:sz w:val="22"/>
          <w:szCs w:val="22"/>
        </w:rPr>
        <w:t xml:space="preserve">included </w:t>
      </w:r>
      <w:r w:rsidR="7961A0E7" w:rsidRPr="28429A3C">
        <w:rPr>
          <w:sz w:val="22"/>
          <w:szCs w:val="22"/>
        </w:rPr>
        <w:t xml:space="preserve">cases, </w:t>
      </w:r>
      <w:r w:rsidR="058FE2FD" w:rsidRPr="28429A3C">
        <w:rPr>
          <w:sz w:val="22"/>
          <w:szCs w:val="22"/>
        </w:rPr>
        <w:t xml:space="preserve">to the extent that </w:t>
      </w:r>
      <w:r w:rsidR="7961A0E7" w:rsidRPr="28429A3C">
        <w:rPr>
          <w:sz w:val="22"/>
          <w:szCs w:val="22"/>
        </w:rPr>
        <w:t>in</w:t>
      </w:r>
      <w:r w:rsidR="058FE2FD" w:rsidRPr="28429A3C">
        <w:rPr>
          <w:sz w:val="22"/>
          <w:szCs w:val="22"/>
        </w:rPr>
        <w:t xml:space="preserve">cluded </w:t>
      </w:r>
      <w:r w:rsidR="7961A0E7" w:rsidRPr="28429A3C">
        <w:rPr>
          <w:sz w:val="22"/>
          <w:szCs w:val="22"/>
        </w:rPr>
        <w:t xml:space="preserve">cases </w:t>
      </w:r>
      <w:r w:rsidR="058FE2FD" w:rsidRPr="28429A3C">
        <w:rPr>
          <w:sz w:val="22"/>
          <w:szCs w:val="22"/>
        </w:rPr>
        <w:t xml:space="preserve">may </w:t>
      </w:r>
      <w:r w:rsidR="7961A0E7" w:rsidRPr="28429A3C">
        <w:rPr>
          <w:sz w:val="22"/>
          <w:szCs w:val="22"/>
        </w:rPr>
        <w:t xml:space="preserve">not accurately reflect </w:t>
      </w:r>
      <w:r w:rsidR="3851EE4B" w:rsidRPr="28429A3C">
        <w:rPr>
          <w:sz w:val="22"/>
          <w:szCs w:val="22"/>
        </w:rPr>
        <w:t xml:space="preserve">all </w:t>
      </w:r>
      <w:r w:rsidR="3851EE4B" w:rsidRPr="28429A3C">
        <w:rPr>
          <w:i/>
          <w:iCs/>
          <w:sz w:val="22"/>
          <w:szCs w:val="22"/>
        </w:rPr>
        <w:t>Shigella</w:t>
      </w:r>
      <w:r w:rsidR="3851EE4B" w:rsidRPr="28429A3C">
        <w:rPr>
          <w:sz w:val="22"/>
          <w:szCs w:val="22"/>
        </w:rPr>
        <w:t xml:space="preserve"> cases</w:t>
      </w:r>
      <w:r w:rsidR="7961A0E7" w:rsidRPr="28429A3C">
        <w:rPr>
          <w:sz w:val="22"/>
          <w:szCs w:val="22"/>
        </w:rPr>
        <w:t xml:space="preserve">. </w:t>
      </w:r>
      <w:r w:rsidR="1A6ACBE4" w:rsidRPr="28429A3C">
        <w:rPr>
          <w:sz w:val="22"/>
          <w:szCs w:val="22"/>
        </w:rPr>
        <w:t>Third, e</w:t>
      </w:r>
      <w:r w:rsidR="3851EE4B" w:rsidRPr="28429A3C">
        <w:rPr>
          <w:sz w:val="22"/>
          <w:szCs w:val="22"/>
        </w:rPr>
        <w:t>xclusion</w:t>
      </w:r>
      <w:r w:rsidR="6E5B47FF" w:rsidRPr="28429A3C">
        <w:rPr>
          <w:sz w:val="22"/>
          <w:szCs w:val="22"/>
        </w:rPr>
        <w:t>s</w:t>
      </w:r>
      <w:r w:rsidR="3851EE4B" w:rsidRPr="28429A3C">
        <w:rPr>
          <w:sz w:val="22"/>
          <w:szCs w:val="22"/>
        </w:rPr>
        <w:t xml:space="preserve"> would </w:t>
      </w:r>
      <w:r w:rsidR="1A6ACBE4" w:rsidRPr="28429A3C">
        <w:rPr>
          <w:sz w:val="22"/>
          <w:szCs w:val="22"/>
        </w:rPr>
        <w:t xml:space="preserve">force a </w:t>
      </w:r>
      <w:r w:rsidR="3851EE4B" w:rsidRPr="28429A3C">
        <w:rPr>
          <w:sz w:val="22"/>
          <w:szCs w:val="22"/>
        </w:rPr>
        <w:t xml:space="preserve">trade-off between </w:t>
      </w:r>
      <w:r w:rsidR="439DBB92" w:rsidRPr="28429A3C">
        <w:rPr>
          <w:sz w:val="22"/>
          <w:szCs w:val="22"/>
        </w:rPr>
        <w:t>sensitivity and specificity</w:t>
      </w:r>
      <w:r w:rsidR="3851EE4B" w:rsidRPr="28429A3C">
        <w:rPr>
          <w:sz w:val="22"/>
          <w:szCs w:val="22"/>
        </w:rPr>
        <w:t xml:space="preserve">. </w:t>
      </w:r>
      <w:r w:rsidR="439DBB92" w:rsidRPr="28429A3C">
        <w:rPr>
          <w:sz w:val="22"/>
          <w:szCs w:val="22"/>
        </w:rPr>
        <w:t xml:space="preserve"> </w:t>
      </w:r>
      <w:r w:rsidR="1A6ACBE4" w:rsidRPr="28429A3C">
        <w:rPr>
          <w:sz w:val="22"/>
          <w:szCs w:val="22"/>
        </w:rPr>
        <w:t>Finally, e</w:t>
      </w:r>
      <w:r w:rsidR="7C85BEBA" w:rsidRPr="28429A3C">
        <w:rPr>
          <w:sz w:val="22"/>
          <w:szCs w:val="22"/>
        </w:rPr>
        <w:t xml:space="preserve">xclusions would </w:t>
      </w:r>
      <w:r w:rsidR="1A6ACBE4" w:rsidRPr="28429A3C">
        <w:rPr>
          <w:sz w:val="22"/>
          <w:szCs w:val="22"/>
        </w:rPr>
        <w:t xml:space="preserve">reduce </w:t>
      </w:r>
      <w:r w:rsidR="7C85BEBA" w:rsidRPr="28429A3C">
        <w:rPr>
          <w:sz w:val="22"/>
          <w:szCs w:val="22"/>
        </w:rPr>
        <w:t>statistical power i</w:t>
      </w:r>
      <w:r w:rsidR="6A039744" w:rsidRPr="28429A3C">
        <w:rPr>
          <w:sz w:val="22"/>
          <w:szCs w:val="22"/>
        </w:rPr>
        <w:t>n vaccine evaluations, requir</w:t>
      </w:r>
      <w:r w:rsidR="7C85BEBA" w:rsidRPr="28429A3C">
        <w:rPr>
          <w:sz w:val="22"/>
          <w:szCs w:val="22"/>
        </w:rPr>
        <w:t>ing</w:t>
      </w:r>
      <w:r w:rsidR="6A039744" w:rsidRPr="28429A3C">
        <w:rPr>
          <w:sz w:val="22"/>
          <w:szCs w:val="22"/>
        </w:rPr>
        <w:t xml:space="preserve"> </w:t>
      </w:r>
      <w:r w:rsidR="7C85BEBA" w:rsidRPr="28429A3C">
        <w:rPr>
          <w:sz w:val="22"/>
          <w:szCs w:val="22"/>
        </w:rPr>
        <w:t xml:space="preserve">a </w:t>
      </w:r>
      <w:r w:rsidR="6A039744" w:rsidRPr="28429A3C">
        <w:rPr>
          <w:sz w:val="22"/>
          <w:szCs w:val="22"/>
        </w:rPr>
        <w:t xml:space="preserve">much larger sample size. </w:t>
      </w:r>
      <w:r w:rsidR="00A410C4" w:rsidRPr="28429A3C">
        <w:rPr>
          <w:sz w:val="22"/>
          <w:szCs w:val="22"/>
        </w:rPr>
        <w:t>Evidence from other enteric vaccine trials (e.g., ETVAX and norovirus vaccines) demonstrates that differing pathogen inclusion criteria can lead to substantial variability in vaccine efficacy (VE) estimates. Post hoc analyses of rotavirus vaccine trials further suggest that misattribution of etiology in high coinfection settings may partially explain reduced observed efficacy in LMICs.</w:t>
      </w:r>
    </w:p>
    <w:p w14:paraId="3704798B" w14:textId="2269F4EE" w:rsidR="00B744FD" w:rsidRDefault="000E6D96" w:rsidP="00F4346A">
      <w:pPr>
        <w:jc w:val="both"/>
        <w:rPr>
          <w:sz w:val="22"/>
          <w:szCs w:val="22"/>
          <w:lang w:val="en-GB"/>
        </w:rPr>
      </w:pPr>
      <w:r w:rsidRPr="28429A3C">
        <w:rPr>
          <w:sz w:val="22"/>
          <w:szCs w:val="22"/>
          <w:lang w:val="en-GB"/>
        </w:rPr>
        <w:t>In discussion, PDVAC agreed with the</w:t>
      </w:r>
      <w:r w:rsidR="00572290" w:rsidRPr="28429A3C">
        <w:rPr>
          <w:sz w:val="22"/>
          <w:szCs w:val="22"/>
          <w:lang w:val="en-GB"/>
        </w:rPr>
        <w:t>se</w:t>
      </w:r>
      <w:r w:rsidRPr="28429A3C">
        <w:rPr>
          <w:sz w:val="22"/>
          <w:szCs w:val="22"/>
          <w:lang w:val="en-GB"/>
        </w:rPr>
        <w:t xml:space="preserve"> four gaps and endorsed </w:t>
      </w:r>
      <w:r w:rsidR="00535B04" w:rsidRPr="28429A3C">
        <w:rPr>
          <w:sz w:val="22"/>
          <w:szCs w:val="22"/>
          <w:lang w:val="en-GB"/>
        </w:rPr>
        <w:t xml:space="preserve">the process of </w:t>
      </w:r>
      <w:r w:rsidRPr="28429A3C">
        <w:rPr>
          <w:sz w:val="22"/>
          <w:szCs w:val="22"/>
          <w:lang w:val="en-GB"/>
        </w:rPr>
        <w:t xml:space="preserve">engaging the </w:t>
      </w:r>
      <w:r w:rsidRPr="0059724A">
        <w:rPr>
          <w:i/>
          <w:iCs/>
          <w:sz w:val="22"/>
          <w:szCs w:val="22"/>
          <w:lang w:val="en-GB"/>
        </w:rPr>
        <w:t>Shigella</w:t>
      </w:r>
      <w:r w:rsidRPr="28429A3C">
        <w:rPr>
          <w:sz w:val="22"/>
          <w:szCs w:val="22"/>
          <w:lang w:val="en-GB"/>
        </w:rPr>
        <w:t xml:space="preserve"> TAG and convening a WHO Expert Consultation to inform potential refinements to the WHO PPC. </w:t>
      </w:r>
    </w:p>
    <w:p w14:paraId="57FCC1CB" w14:textId="24834C63" w:rsidR="004E0A3C" w:rsidRDefault="00535B04" w:rsidP="009C758B">
      <w:pPr>
        <w:jc w:val="both"/>
        <w:rPr>
          <w:rFonts w:cs="Hubballi"/>
          <w:sz w:val="22"/>
          <w:szCs w:val="22"/>
          <w:lang w:val="en-GB"/>
        </w:rPr>
      </w:pPr>
      <w:r>
        <w:rPr>
          <w:rFonts w:cs="Hubballi"/>
          <w:sz w:val="22"/>
          <w:szCs w:val="22"/>
          <w:lang w:val="en-GB"/>
        </w:rPr>
        <w:t xml:space="preserve">PDVAC </w:t>
      </w:r>
      <w:r w:rsidR="00D43BDB">
        <w:rPr>
          <w:rFonts w:cs="Hubballi"/>
          <w:sz w:val="22"/>
          <w:szCs w:val="22"/>
          <w:lang w:val="en-GB"/>
        </w:rPr>
        <w:t xml:space="preserve">noted that the </w:t>
      </w:r>
      <w:r w:rsidR="004E0A3C">
        <w:rPr>
          <w:rFonts w:cs="Hubballi"/>
          <w:sz w:val="22"/>
          <w:szCs w:val="22"/>
          <w:lang w:val="en-GB"/>
        </w:rPr>
        <w:t xml:space="preserve">optimum solution </w:t>
      </w:r>
      <w:r>
        <w:rPr>
          <w:rFonts w:cs="Hubballi"/>
          <w:sz w:val="22"/>
          <w:szCs w:val="22"/>
          <w:lang w:val="en-GB"/>
        </w:rPr>
        <w:t xml:space="preserve">to </w:t>
      </w:r>
      <w:r w:rsidR="009B57DD">
        <w:rPr>
          <w:rFonts w:cs="Hubballi"/>
          <w:sz w:val="22"/>
          <w:szCs w:val="22"/>
          <w:lang w:val="en-GB"/>
        </w:rPr>
        <w:t xml:space="preserve">clarifying outstanding questions about case definition and coinfections </w:t>
      </w:r>
      <w:r w:rsidR="004E0A3C">
        <w:rPr>
          <w:rFonts w:cs="Hubballi"/>
          <w:sz w:val="22"/>
          <w:szCs w:val="22"/>
          <w:lang w:val="en-GB"/>
        </w:rPr>
        <w:t>would be to conduct a very large trial as the results could be used to calculate VE against different endpoints</w:t>
      </w:r>
      <w:r w:rsidR="003D016C">
        <w:rPr>
          <w:rFonts w:cs="Hubballi"/>
          <w:sz w:val="22"/>
          <w:szCs w:val="22"/>
          <w:lang w:val="en-GB"/>
        </w:rPr>
        <w:t xml:space="preserve">. </w:t>
      </w:r>
      <w:r w:rsidR="002A74D2">
        <w:rPr>
          <w:rFonts w:cs="Hubballi"/>
          <w:sz w:val="22"/>
          <w:szCs w:val="22"/>
          <w:lang w:val="en-GB"/>
        </w:rPr>
        <w:t xml:space="preserve">However, PDVAC </w:t>
      </w:r>
      <w:r w:rsidR="00502DED">
        <w:rPr>
          <w:rFonts w:cs="Hubballi"/>
          <w:sz w:val="22"/>
          <w:szCs w:val="22"/>
          <w:lang w:val="en-GB"/>
        </w:rPr>
        <w:t>recognized</w:t>
      </w:r>
      <w:r w:rsidR="002A74D2">
        <w:rPr>
          <w:rFonts w:cs="Hubballi"/>
          <w:sz w:val="22"/>
          <w:szCs w:val="22"/>
          <w:lang w:val="en-GB"/>
        </w:rPr>
        <w:t xml:space="preserve"> that this may not be financially </w:t>
      </w:r>
      <w:r w:rsidR="006F1EEB">
        <w:rPr>
          <w:rFonts w:cs="Hubballi"/>
          <w:sz w:val="22"/>
          <w:szCs w:val="22"/>
          <w:lang w:val="en-GB"/>
        </w:rPr>
        <w:t>feasible</w:t>
      </w:r>
      <w:r w:rsidR="002A74D2">
        <w:rPr>
          <w:rFonts w:cs="Hubballi"/>
          <w:sz w:val="22"/>
          <w:szCs w:val="22"/>
          <w:lang w:val="en-GB"/>
        </w:rPr>
        <w:t xml:space="preserve">. </w:t>
      </w:r>
      <w:r w:rsidR="004E0A3C">
        <w:rPr>
          <w:rFonts w:cs="Hubballi"/>
          <w:sz w:val="22"/>
          <w:szCs w:val="22"/>
          <w:lang w:val="en-GB"/>
        </w:rPr>
        <w:t xml:space="preserve">The </w:t>
      </w:r>
      <w:r w:rsidR="0017484F">
        <w:rPr>
          <w:rFonts w:cs="Hubballi"/>
          <w:sz w:val="22"/>
          <w:szCs w:val="22"/>
          <w:lang w:val="en-GB"/>
        </w:rPr>
        <w:t xml:space="preserve">committee </w:t>
      </w:r>
      <w:r w:rsidR="00D9644A">
        <w:rPr>
          <w:rFonts w:cs="Hubballi"/>
          <w:sz w:val="22"/>
          <w:szCs w:val="22"/>
          <w:lang w:val="en-GB"/>
        </w:rPr>
        <w:t xml:space="preserve">observed that </w:t>
      </w:r>
      <w:r w:rsidR="00794FF4">
        <w:rPr>
          <w:rFonts w:cs="Hubballi"/>
          <w:sz w:val="22"/>
          <w:szCs w:val="22"/>
          <w:lang w:val="en-GB"/>
        </w:rPr>
        <w:t xml:space="preserve">a more </w:t>
      </w:r>
      <w:r w:rsidR="00AA6A7F">
        <w:rPr>
          <w:rFonts w:cs="Hubballi"/>
          <w:sz w:val="22"/>
          <w:szCs w:val="22"/>
          <w:lang w:val="en-GB"/>
        </w:rPr>
        <w:t xml:space="preserve">stringent </w:t>
      </w:r>
      <w:r w:rsidR="00794FF4">
        <w:rPr>
          <w:rFonts w:cs="Hubballi"/>
          <w:sz w:val="22"/>
          <w:szCs w:val="22"/>
          <w:lang w:val="en-GB"/>
        </w:rPr>
        <w:t xml:space="preserve">case </w:t>
      </w:r>
      <w:r w:rsidR="00AA6A7F">
        <w:rPr>
          <w:rFonts w:cs="Hubballi"/>
          <w:sz w:val="22"/>
          <w:szCs w:val="22"/>
          <w:lang w:val="en-GB"/>
        </w:rPr>
        <w:t xml:space="preserve">definition </w:t>
      </w:r>
      <w:r w:rsidR="00794FF4">
        <w:rPr>
          <w:rFonts w:cs="Hubballi"/>
          <w:sz w:val="22"/>
          <w:szCs w:val="22"/>
          <w:lang w:val="en-GB"/>
        </w:rPr>
        <w:t xml:space="preserve">would </w:t>
      </w:r>
      <w:r w:rsidR="00AA6A7F">
        <w:rPr>
          <w:rFonts w:cs="Hubballi"/>
          <w:sz w:val="22"/>
          <w:szCs w:val="22"/>
          <w:lang w:val="en-GB"/>
        </w:rPr>
        <w:t xml:space="preserve">increase the reported vaccine efficacy, as a looser </w:t>
      </w:r>
      <w:r w:rsidR="00384AD1">
        <w:rPr>
          <w:rFonts w:cs="Hubballi"/>
          <w:sz w:val="22"/>
          <w:szCs w:val="22"/>
          <w:lang w:val="en-GB"/>
        </w:rPr>
        <w:t xml:space="preserve">definition </w:t>
      </w:r>
      <w:r w:rsidR="00AA6A7F">
        <w:rPr>
          <w:rFonts w:cs="Hubballi"/>
          <w:sz w:val="22"/>
          <w:szCs w:val="22"/>
          <w:lang w:val="en-GB"/>
        </w:rPr>
        <w:t xml:space="preserve">of </w:t>
      </w:r>
      <w:r w:rsidR="00AA6A7F" w:rsidRPr="00AA6A7F">
        <w:rPr>
          <w:rFonts w:cs="Hubballi"/>
          <w:i/>
          <w:iCs/>
          <w:sz w:val="22"/>
          <w:szCs w:val="22"/>
          <w:lang w:val="en-GB"/>
        </w:rPr>
        <w:t>Shigella</w:t>
      </w:r>
      <w:r w:rsidR="00AA6A7F">
        <w:rPr>
          <w:rFonts w:cs="Hubballi"/>
          <w:sz w:val="22"/>
          <w:szCs w:val="22"/>
          <w:lang w:val="en-GB"/>
        </w:rPr>
        <w:t xml:space="preserve"> cases might inadvertently </w:t>
      </w:r>
      <w:r w:rsidR="00B971AA">
        <w:rPr>
          <w:rFonts w:cs="Hubballi"/>
          <w:sz w:val="22"/>
          <w:szCs w:val="22"/>
          <w:lang w:val="en-GB"/>
        </w:rPr>
        <w:t xml:space="preserve">include diarrhoeal cases caused by pathogens other than </w:t>
      </w:r>
      <w:r w:rsidR="00B971AA" w:rsidRPr="00B971AA">
        <w:rPr>
          <w:rFonts w:cs="Hubballi"/>
          <w:i/>
          <w:iCs/>
          <w:sz w:val="22"/>
          <w:szCs w:val="22"/>
          <w:lang w:val="en-GB"/>
        </w:rPr>
        <w:t>Shigella</w:t>
      </w:r>
      <w:r w:rsidR="00384AD1">
        <w:rPr>
          <w:rFonts w:cs="Hubballi"/>
          <w:sz w:val="22"/>
          <w:szCs w:val="22"/>
          <w:lang w:val="en-GB"/>
        </w:rPr>
        <w:t xml:space="preserve">. </w:t>
      </w:r>
      <w:r w:rsidR="00C720B0">
        <w:rPr>
          <w:sz w:val="22"/>
          <w:szCs w:val="22"/>
          <w:lang w:val="en-GB"/>
        </w:rPr>
        <w:t xml:space="preserve">PDVAC emphasised the importance of using data to </w:t>
      </w:r>
      <w:r w:rsidR="002B0E71">
        <w:rPr>
          <w:sz w:val="22"/>
          <w:szCs w:val="22"/>
          <w:lang w:val="en-GB"/>
        </w:rPr>
        <w:t xml:space="preserve">distinguish </w:t>
      </w:r>
      <w:r w:rsidR="00C720B0">
        <w:rPr>
          <w:sz w:val="22"/>
          <w:szCs w:val="22"/>
          <w:lang w:val="en-GB"/>
        </w:rPr>
        <w:t>between</w:t>
      </w:r>
      <w:r w:rsidR="00D0798E">
        <w:rPr>
          <w:sz w:val="22"/>
          <w:szCs w:val="22"/>
          <w:lang w:val="en-GB"/>
        </w:rPr>
        <w:t xml:space="preserve"> the</w:t>
      </w:r>
      <w:r w:rsidR="00C720B0">
        <w:rPr>
          <w:sz w:val="22"/>
          <w:szCs w:val="22"/>
          <w:lang w:val="en-GB"/>
        </w:rPr>
        <w:t xml:space="preserve"> </w:t>
      </w:r>
      <w:r w:rsidR="00D0798E">
        <w:rPr>
          <w:sz w:val="22"/>
          <w:szCs w:val="22"/>
          <w:lang w:val="en-GB"/>
        </w:rPr>
        <w:t xml:space="preserve">sub-clinical presence of </w:t>
      </w:r>
      <w:r w:rsidR="00C720B0">
        <w:rPr>
          <w:sz w:val="22"/>
          <w:szCs w:val="22"/>
          <w:lang w:val="en-GB"/>
        </w:rPr>
        <w:t xml:space="preserve">other pathogens and identifying an organism as the </w:t>
      </w:r>
      <w:r w:rsidR="00E964C4">
        <w:rPr>
          <w:sz w:val="22"/>
          <w:szCs w:val="22"/>
          <w:lang w:val="en-GB"/>
        </w:rPr>
        <w:t xml:space="preserve">true </w:t>
      </w:r>
      <w:r w:rsidR="00C720B0">
        <w:rPr>
          <w:sz w:val="22"/>
          <w:szCs w:val="22"/>
          <w:lang w:val="en-GB"/>
        </w:rPr>
        <w:t>cause of a diarrhoea</w:t>
      </w:r>
      <w:r w:rsidR="00E964C4">
        <w:rPr>
          <w:sz w:val="22"/>
          <w:szCs w:val="22"/>
          <w:lang w:val="en-GB"/>
        </w:rPr>
        <w:t>l case</w:t>
      </w:r>
      <w:r w:rsidR="00C720B0">
        <w:rPr>
          <w:sz w:val="22"/>
          <w:szCs w:val="22"/>
          <w:lang w:val="en-GB"/>
        </w:rPr>
        <w:t>.</w:t>
      </w:r>
    </w:p>
    <w:p w14:paraId="36F24CC2" w14:textId="529EF1AE" w:rsidR="008E3BF5" w:rsidRDefault="67B175C0" w:rsidP="00EE5272">
      <w:pPr>
        <w:jc w:val="both"/>
        <w:rPr>
          <w:rFonts w:cs="Hubballi"/>
          <w:sz w:val="22"/>
          <w:szCs w:val="22"/>
          <w:lang w:val="en-GB"/>
        </w:rPr>
      </w:pPr>
      <w:r w:rsidRPr="28429A3C">
        <w:rPr>
          <w:rFonts w:cs="Hubballi"/>
          <w:sz w:val="22"/>
          <w:szCs w:val="22"/>
          <w:lang w:val="en-GB"/>
        </w:rPr>
        <w:t xml:space="preserve">Furthermore, PDVAC </w:t>
      </w:r>
      <w:r w:rsidR="0E026AE2" w:rsidRPr="28429A3C">
        <w:rPr>
          <w:rFonts w:cs="Hubballi"/>
          <w:sz w:val="22"/>
          <w:szCs w:val="22"/>
          <w:lang w:val="en-GB"/>
        </w:rPr>
        <w:t xml:space="preserve">acknowledged that </w:t>
      </w:r>
      <w:r w:rsidR="3EF9E03C" w:rsidRPr="28429A3C">
        <w:rPr>
          <w:rFonts w:cs="Hubballi"/>
          <w:sz w:val="22"/>
          <w:szCs w:val="22"/>
        </w:rPr>
        <w:t xml:space="preserve">the full value of a </w:t>
      </w:r>
      <w:r w:rsidR="3EF9E03C" w:rsidRPr="28429A3C">
        <w:rPr>
          <w:rFonts w:cs="Hubballi"/>
          <w:i/>
          <w:iCs/>
          <w:sz w:val="22"/>
          <w:szCs w:val="22"/>
          <w:lang w:val="en-GB"/>
        </w:rPr>
        <w:t xml:space="preserve">Shigella </w:t>
      </w:r>
      <w:r w:rsidR="3EF9E03C" w:rsidRPr="28429A3C">
        <w:rPr>
          <w:rFonts w:cs="Hubballi"/>
          <w:sz w:val="22"/>
          <w:szCs w:val="22"/>
        </w:rPr>
        <w:t xml:space="preserve">vaccine would depend on its </w:t>
      </w:r>
      <w:r w:rsidR="3EF9E03C" w:rsidRPr="28429A3C">
        <w:rPr>
          <w:rFonts w:cs="Hubballi"/>
          <w:sz w:val="22"/>
          <w:szCs w:val="22"/>
          <w:lang w:val="en-GB"/>
        </w:rPr>
        <w:t xml:space="preserve">impact on reducing </w:t>
      </w:r>
      <w:r w:rsidR="3EF9E03C" w:rsidRPr="28429A3C">
        <w:rPr>
          <w:rFonts w:cs="Hubballi"/>
          <w:sz w:val="22"/>
          <w:szCs w:val="22"/>
        </w:rPr>
        <w:t>growth faltering</w:t>
      </w:r>
      <w:r w:rsidR="3EF9E03C" w:rsidRPr="28429A3C">
        <w:rPr>
          <w:rFonts w:cs="Hubballi"/>
          <w:sz w:val="22"/>
          <w:szCs w:val="22"/>
          <w:lang w:val="en-GB"/>
        </w:rPr>
        <w:t xml:space="preserve"> and associated negative implications on brain development</w:t>
      </w:r>
      <w:r w:rsidR="3EF9E03C" w:rsidRPr="28429A3C">
        <w:rPr>
          <w:rFonts w:cs="Hubballi"/>
          <w:sz w:val="22"/>
          <w:szCs w:val="22"/>
        </w:rPr>
        <w:t xml:space="preserve">. </w:t>
      </w:r>
      <w:r w:rsidR="31F827C2" w:rsidRPr="28429A3C">
        <w:rPr>
          <w:rFonts w:cs="Hubballi"/>
          <w:sz w:val="22"/>
          <w:szCs w:val="22"/>
          <w:lang w:val="en-GB"/>
        </w:rPr>
        <w:t xml:space="preserve">This </w:t>
      </w:r>
      <w:r w:rsidR="3EF9E03C" w:rsidRPr="28429A3C">
        <w:rPr>
          <w:rFonts w:cs="Hubballi"/>
          <w:sz w:val="22"/>
          <w:szCs w:val="22"/>
          <w:lang w:val="en-GB"/>
        </w:rPr>
        <w:t xml:space="preserve">is </w:t>
      </w:r>
      <w:r w:rsidR="3EF9E03C" w:rsidRPr="28429A3C">
        <w:rPr>
          <w:rFonts w:cs="Hubballi"/>
          <w:sz w:val="22"/>
          <w:szCs w:val="22"/>
        </w:rPr>
        <w:t>difficult to assess</w:t>
      </w:r>
      <w:r w:rsidR="3EF9E03C" w:rsidRPr="28429A3C">
        <w:rPr>
          <w:rFonts w:cs="Hubballi"/>
          <w:sz w:val="22"/>
          <w:szCs w:val="22"/>
          <w:lang w:val="en-GB"/>
        </w:rPr>
        <w:t xml:space="preserve"> </w:t>
      </w:r>
      <w:r w:rsidR="3EF9E03C" w:rsidRPr="28429A3C">
        <w:rPr>
          <w:rFonts w:cs="Hubballi"/>
          <w:sz w:val="22"/>
          <w:szCs w:val="22"/>
        </w:rPr>
        <w:t>in a trial, given its long-term nature and the need to treat cases when they are detected.</w:t>
      </w:r>
      <w:r w:rsidR="3EF9E03C" w:rsidRPr="28429A3C">
        <w:rPr>
          <w:rFonts w:cs="Hubballi"/>
          <w:sz w:val="22"/>
          <w:szCs w:val="22"/>
          <w:lang w:val="en-GB"/>
        </w:rPr>
        <w:t xml:space="preserve"> </w:t>
      </w:r>
      <w:r w:rsidR="31F827C2" w:rsidRPr="28429A3C">
        <w:rPr>
          <w:rFonts w:cs="Hubballi"/>
          <w:sz w:val="22"/>
          <w:szCs w:val="22"/>
          <w:lang w:val="en-GB"/>
        </w:rPr>
        <w:t xml:space="preserve">Equally, even if </w:t>
      </w:r>
      <w:r w:rsidR="0E026AE2" w:rsidRPr="28429A3C">
        <w:rPr>
          <w:rFonts w:cs="Hubballi"/>
          <w:sz w:val="22"/>
          <w:szCs w:val="22"/>
          <w:lang w:val="en-GB"/>
        </w:rPr>
        <w:t xml:space="preserve">the goal of a </w:t>
      </w:r>
      <w:r w:rsidR="0E026AE2" w:rsidRPr="28429A3C">
        <w:rPr>
          <w:rFonts w:cs="Hubballi"/>
          <w:i/>
          <w:iCs/>
          <w:sz w:val="22"/>
          <w:szCs w:val="22"/>
          <w:lang w:val="en-GB"/>
        </w:rPr>
        <w:t>Shigella</w:t>
      </w:r>
      <w:r w:rsidR="0E026AE2" w:rsidRPr="28429A3C">
        <w:rPr>
          <w:rFonts w:cs="Hubballi"/>
          <w:sz w:val="22"/>
          <w:szCs w:val="22"/>
          <w:lang w:val="en-GB"/>
        </w:rPr>
        <w:t xml:space="preserve"> vaccine was simply preventing </w:t>
      </w:r>
      <w:r w:rsidR="31F827C2" w:rsidRPr="28429A3C">
        <w:rPr>
          <w:rFonts w:cs="Hubballi"/>
          <w:sz w:val="22"/>
          <w:szCs w:val="22"/>
          <w:lang w:val="en-GB"/>
        </w:rPr>
        <w:t xml:space="preserve">cases of </w:t>
      </w:r>
      <w:r w:rsidR="0E026AE2" w:rsidRPr="28429A3C">
        <w:rPr>
          <w:rFonts w:cs="Hubballi"/>
          <w:sz w:val="22"/>
          <w:szCs w:val="22"/>
          <w:lang w:val="en-GB"/>
        </w:rPr>
        <w:t xml:space="preserve">diarrhoea, </w:t>
      </w:r>
      <w:r w:rsidR="0E026AE2" w:rsidRPr="28429A3C">
        <w:rPr>
          <w:rFonts w:cs="Hubballi"/>
          <w:i/>
          <w:iCs/>
          <w:sz w:val="22"/>
          <w:szCs w:val="22"/>
          <w:lang w:val="en-GB"/>
        </w:rPr>
        <w:t>Shigella</w:t>
      </w:r>
      <w:r w:rsidR="0E026AE2" w:rsidRPr="28429A3C">
        <w:rPr>
          <w:rFonts w:cs="Hubballi"/>
          <w:sz w:val="22"/>
          <w:szCs w:val="22"/>
          <w:lang w:val="en-GB"/>
        </w:rPr>
        <w:t xml:space="preserve"> is only one </w:t>
      </w:r>
      <w:r w:rsidR="1AD78DAB" w:rsidRPr="28429A3C">
        <w:rPr>
          <w:rFonts w:cs="Hubballi"/>
          <w:sz w:val="22"/>
          <w:szCs w:val="22"/>
          <w:lang w:val="en-GB"/>
        </w:rPr>
        <w:t xml:space="preserve">aetiology </w:t>
      </w:r>
      <w:r w:rsidR="0E026AE2" w:rsidRPr="28429A3C">
        <w:rPr>
          <w:rFonts w:cs="Hubballi"/>
          <w:sz w:val="22"/>
          <w:szCs w:val="22"/>
          <w:lang w:val="en-GB"/>
        </w:rPr>
        <w:t xml:space="preserve">of diarrhoea. </w:t>
      </w:r>
      <w:r w:rsidR="1AD78DAB" w:rsidRPr="28429A3C">
        <w:rPr>
          <w:rFonts w:cs="Hubballi"/>
          <w:sz w:val="22"/>
          <w:szCs w:val="22"/>
          <w:lang w:val="en-GB"/>
        </w:rPr>
        <w:t xml:space="preserve">For true progress in this field, many different </w:t>
      </w:r>
      <w:r w:rsidR="0E026AE2" w:rsidRPr="28429A3C">
        <w:rPr>
          <w:rFonts w:cs="Hubballi"/>
          <w:sz w:val="22"/>
          <w:szCs w:val="22"/>
          <w:lang w:val="en-GB"/>
        </w:rPr>
        <w:t xml:space="preserve">interventions </w:t>
      </w:r>
      <w:r w:rsidR="1AD78DAB" w:rsidRPr="28429A3C">
        <w:rPr>
          <w:rFonts w:cs="Hubballi"/>
          <w:sz w:val="22"/>
          <w:szCs w:val="22"/>
          <w:lang w:val="en-GB"/>
        </w:rPr>
        <w:t>must work together</w:t>
      </w:r>
      <w:r w:rsidR="0E026AE2" w:rsidRPr="28429A3C">
        <w:rPr>
          <w:rFonts w:cs="Hubballi"/>
          <w:sz w:val="22"/>
          <w:szCs w:val="22"/>
          <w:lang w:val="en-GB"/>
        </w:rPr>
        <w:t xml:space="preserve">. </w:t>
      </w:r>
      <w:r w:rsidR="301F8F66" w:rsidRPr="28429A3C">
        <w:rPr>
          <w:rFonts w:cs="Hubballi"/>
          <w:sz w:val="22"/>
          <w:szCs w:val="22"/>
          <w:lang w:val="en-GB"/>
        </w:rPr>
        <w:t xml:space="preserve">Relatedly, PDVAC expressed support for </w:t>
      </w:r>
      <w:r w:rsidR="586199A9" w:rsidRPr="28429A3C">
        <w:rPr>
          <w:rFonts w:cs="Hubballi"/>
          <w:i/>
          <w:iCs/>
          <w:sz w:val="22"/>
          <w:szCs w:val="22"/>
          <w:lang w:val="en-GB"/>
        </w:rPr>
        <w:t>Shigella</w:t>
      </w:r>
      <w:r w:rsidR="586199A9" w:rsidRPr="28429A3C">
        <w:rPr>
          <w:rFonts w:cs="Hubballi"/>
          <w:sz w:val="22"/>
          <w:szCs w:val="22"/>
          <w:lang w:val="en-GB"/>
        </w:rPr>
        <w:t xml:space="preserve"> combination vaccines</w:t>
      </w:r>
      <w:r w:rsidR="2F9C888C" w:rsidRPr="28429A3C">
        <w:rPr>
          <w:rFonts w:cs="Hubballi"/>
          <w:sz w:val="22"/>
          <w:szCs w:val="22"/>
          <w:lang w:val="en-GB"/>
        </w:rPr>
        <w:t xml:space="preserve"> and supported its development through the </w:t>
      </w:r>
      <w:r w:rsidR="2F9C888C" w:rsidRPr="28429A3C">
        <w:rPr>
          <w:rFonts w:cs="Hubballi"/>
          <w:i/>
          <w:iCs/>
          <w:sz w:val="22"/>
          <w:szCs w:val="22"/>
          <w:lang w:val="en-GB"/>
        </w:rPr>
        <w:t>Shigella</w:t>
      </w:r>
      <w:r w:rsidR="2F9C888C" w:rsidRPr="28429A3C">
        <w:rPr>
          <w:rFonts w:cs="Hubballi"/>
          <w:sz w:val="22"/>
          <w:szCs w:val="22"/>
          <w:lang w:val="en-GB"/>
        </w:rPr>
        <w:t xml:space="preserve"> TAG and/or the Combination Vaccines TAG</w:t>
      </w:r>
      <w:r w:rsidR="4512EECE" w:rsidRPr="28429A3C">
        <w:rPr>
          <w:rFonts w:cs="Hubballi"/>
          <w:sz w:val="22"/>
          <w:szCs w:val="22"/>
          <w:lang w:val="en-GB"/>
        </w:rPr>
        <w:t>.</w:t>
      </w:r>
    </w:p>
    <w:p w14:paraId="2494174A" w14:textId="77777777" w:rsidR="000D7766" w:rsidRDefault="000D7766" w:rsidP="00EE5272">
      <w:pPr>
        <w:jc w:val="both"/>
        <w:rPr>
          <w:rFonts w:cs="Hubballi"/>
          <w:sz w:val="22"/>
          <w:szCs w:val="22"/>
          <w:lang w:val="en-GB"/>
        </w:rPr>
      </w:pPr>
    </w:p>
    <w:p w14:paraId="15A3659C" w14:textId="1D509345" w:rsidR="00F40A72" w:rsidRPr="000D7766" w:rsidRDefault="00F40A72" w:rsidP="00807A75">
      <w:pPr>
        <w:pStyle w:val="Heading2"/>
        <w:rPr>
          <w:sz w:val="26"/>
          <w:szCs w:val="26"/>
          <w:lang w:val="en-GB"/>
        </w:rPr>
      </w:pPr>
      <w:r w:rsidRPr="000D7766">
        <w:rPr>
          <w:sz w:val="26"/>
          <w:szCs w:val="26"/>
          <w:lang w:val="en-GB"/>
        </w:rPr>
        <w:t>CMV</w:t>
      </w:r>
      <w:r w:rsidR="008A5165" w:rsidRPr="000D7766">
        <w:rPr>
          <w:sz w:val="26"/>
          <w:szCs w:val="26"/>
          <w:lang w:val="en-GB"/>
        </w:rPr>
        <w:t xml:space="preserve"> </w:t>
      </w:r>
      <w:r w:rsidR="00A466FE">
        <w:rPr>
          <w:sz w:val="26"/>
          <w:szCs w:val="26"/>
          <w:lang w:val="en-GB"/>
        </w:rPr>
        <w:t xml:space="preserve"> Burden and </w:t>
      </w:r>
      <w:r w:rsidR="008A5165" w:rsidRPr="000D7766">
        <w:rPr>
          <w:sz w:val="26"/>
          <w:szCs w:val="26"/>
          <w:lang w:val="en-GB"/>
        </w:rPr>
        <w:t>Vaccine Development</w:t>
      </w:r>
    </w:p>
    <w:p w14:paraId="65770331" w14:textId="00A53657" w:rsidR="00727F34" w:rsidRPr="00BC33C0" w:rsidRDefault="009B1F5E" w:rsidP="00283ACB">
      <w:pPr>
        <w:jc w:val="both"/>
        <w:rPr>
          <w:sz w:val="22"/>
          <w:szCs w:val="22"/>
        </w:rPr>
      </w:pPr>
      <w:r w:rsidRPr="009B1F5E">
        <w:rPr>
          <w:sz w:val="22"/>
          <w:szCs w:val="22"/>
        </w:rPr>
        <w:t>Congenital CMV infection is a leading cause of lifelong disability in infants, including hearing loss, neurodevelopmental impairment, and vision problems.</w:t>
      </w:r>
      <w:r w:rsidR="00AA0261" w:rsidRPr="00BC33C0">
        <w:rPr>
          <w:sz w:val="22"/>
          <w:szCs w:val="22"/>
        </w:rPr>
        <w:t xml:space="preserve"> </w:t>
      </w:r>
      <w:r w:rsidR="00727F34" w:rsidRPr="00BC33C0">
        <w:rPr>
          <w:sz w:val="22"/>
          <w:szCs w:val="22"/>
        </w:rPr>
        <w:t xml:space="preserve">Infections in babies may be symptomatic or asymptomatic, with long-term sequelae more common in those with symptomatic infections. Infection rates </w:t>
      </w:r>
      <w:r w:rsidR="006C56DF" w:rsidRPr="00BC33C0">
        <w:rPr>
          <w:sz w:val="22"/>
          <w:szCs w:val="22"/>
        </w:rPr>
        <w:t xml:space="preserve">among newborns </w:t>
      </w:r>
      <w:r w:rsidR="00727F34" w:rsidRPr="00BC33C0">
        <w:rPr>
          <w:sz w:val="22"/>
          <w:szCs w:val="22"/>
        </w:rPr>
        <w:t xml:space="preserve">are generally low (&lt;1%) but can be as high as 6% in some settings. </w:t>
      </w:r>
      <w:r w:rsidR="00672A45" w:rsidRPr="00BC33C0">
        <w:rPr>
          <w:sz w:val="22"/>
          <w:szCs w:val="22"/>
        </w:rPr>
        <w:t xml:space="preserve">However, </w:t>
      </w:r>
      <w:r w:rsidR="00A97A00" w:rsidRPr="00BC33C0">
        <w:rPr>
          <w:sz w:val="22"/>
          <w:szCs w:val="22"/>
        </w:rPr>
        <w:t xml:space="preserve">CMV </w:t>
      </w:r>
      <w:r w:rsidR="00672A45" w:rsidRPr="00BC33C0">
        <w:rPr>
          <w:sz w:val="22"/>
          <w:szCs w:val="22"/>
        </w:rPr>
        <w:t xml:space="preserve">seroprevalence among women of reproductive age varies markedly, exceeding 90% in some LMICs. </w:t>
      </w:r>
      <w:r w:rsidR="00B768B7" w:rsidRPr="00BC33C0">
        <w:rPr>
          <w:sz w:val="22"/>
          <w:szCs w:val="22"/>
        </w:rPr>
        <w:t xml:space="preserve">Infections provide limited natural immunity. </w:t>
      </w:r>
      <w:r w:rsidR="002F07FA">
        <w:rPr>
          <w:sz w:val="22"/>
          <w:szCs w:val="22"/>
        </w:rPr>
        <w:t>I</w:t>
      </w:r>
      <w:r w:rsidR="00B768B7" w:rsidRPr="00BC33C0">
        <w:rPr>
          <w:sz w:val="22"/>
          <w:szCs w:val="22"/>
        </w:rPr>
        <w:t>ncreasing rates of population seropositivity are associated with an increased risk of congenital infection.</w:t>
      </w:r>
    </w:p>
    <w:p w14:paraId="21C249D7" w14:textId="6AF33E90" w:rsidR="00727F34" w:rsidRPr="00BC33C0" w:rsidRDefault="00727F34" w:rsidP="00283ACB">
      <w:pPr>
        <w:jc w:val="both"/>
        <w:rPr>
          <w:sz w:val="22"/>
          <w:szCs w:val="22"/>
        </w:rPr>
      </w:pPr>
      <w:r w:rsidRPr="00BC33C0">
        <w:rPr>
          <w:sz w:val="22"/>
          <w:szCs w:val="22"/>
        </w:rPr>
        <w:t xml:space="preserve">CMV establishes latent infections, so active infections may reflect reactivation of existing infections </w:t>
      </w:r>
      <w:r w:rsidR="000C21EC" w:rsidRPr="00BC33C0">
        <w:rPr>
          <w:sz w:val="22"/>
          <w:szCs w:val="22"/>
        </w:rPr>
        <w:t xml:space="preserve">(reactivation risk) </w:t>
      </w:r>
      <w:r w:rsidRPr="00BC33C0">
        <w:rPr>
          <w:sz w:val="22"/>
          <w:szCs w:val="22"/>
        </w:rPr>
        <w:t xml:space="preserve">or new primary infections. Intrauterine transmission is more likely after primary infection during pregnancy, but as existing infection is so common, most cases are associated with non-primary CMV infections of mothers. </w:t>
      </w:r>
    </w:p>
    <w:p w14:paraId="21E77D51" w14:textId="739D0339" w:rsidR="00BA36CA" w:rsidRPr="00BC33C0" w:rsidRDefault="003C7086" w:rsidP="00283ACB">
      <w:pPr>
        <w:jc w:val="both"/>
        <w:rPr>
          <w:sz w:val="22"/>
          <w:szCs w:val="22"/>
          <w:lang w:val="en-GB"/>
        </w:rPr>
      </w:pPr>
      <w:r w:rsidRPr="00BC33C0">
        <w:rPr>
          <w:sz w:val="22"/>
          <w:szCs w:val="22"/>
        </w:rPr>
        <w:t>There are significant barriers to developing a CMV vaccine</w:t>
      </w:r>
      <w:r w:rsidR="00BE59A3" w:rsidRPr="00BC33C0">
        <w:rPr>
          <w:sz w:val="22"/>
          <w:szCs w:val="22"/>
        </w:rPr>
        <w:t xml:space="preserve">. </w:t>
      </w:r>
      <w:r w:rsidR="00C12C51" w:rsidRPr="00BC33C0">
        <w:rPr>
          <w:sz w:val="22"/>
          <w:szCs w:val="22"/>
        </w:rPr>
        <w:t xml:space="preserve">Firstly, </w:t>
      </w:r>
      <w:r w:rsidR="009B1F5E" w:rsidRPr="009B1F5E">
        <w:rPr>
          <w:sz w:val="22"/>
          <w:szCs w:val="22"/>
        </w:rPr>
        <w:t xml:space="preserve">women </w:t>
      </w:r>
      <w:r w:rsidR="00C12C51" w:rsidRPr="00BC33C0">
        <w:rPr>
          <w:sz w:val="22"/>
          <w:szCs w:val="22"/>
          <w:lang w:val="en-GB"/>
        </w:rPr>
        <w:t xml:space="preserve">would likely need to be vaccinated </w:t>
      </w:r>
      <w:r w:rsidR="009B1F5E" w:rsidRPr="009B1F5E">
        <w:rPr>
          <w:sz w:val="22"/>
          <w:szCs w:val="22"/>
        </w:rPr>
        <w:t xml:space="preserve">before pregnancy to prevent </w:t>
      </w:r>
      <w:r w:rsidR="00AF0921" w:rsidRPr="00BC33C0">
        <w:rPr>
          <w:sz w:val="22"/>
          <w:szCs w:val="22"/>
          <w:lang w:val="en-GB"/>
        </w:rPr>
        <w:t>first</w:t>
      </w:r>
      <w:r w:rsidR="009B1F5E" w:rsidRPr="009B1F5E">
        <w:rPr>
          <w:sz w:val="22"/>
          <w:szCs w:val="22"/>
        </w:rPr>
        <w:t xml:space="preserve"> trimester infection</w:t>
      </w:r>
      <w:r w:rsidR="00BE59A3" w:rsidRPr="00BC33C0">
        <w:rPr>
          <w:sz w:val="22"/>
          <w:szCs w:val="22"/>
          <w:lang w:val="en-GB"/>
        </w:rPr>
        <w:t>,</w:t>
      </w:r>
      <w:r w:rsidR="00502F8E" w:rsidRPr="00BC33C0">
        <w:rPr>
          <w:sz w:val="22"/>
          <w:szCs w:val="22"/>
          <w:lang w:val="en-GB"/>
        </w:rPr>
        <w:t xml:space="preserve"> although duration of protection would be a significant issue</w:t>
      </w:r>
      <w:r w:rsidR="00BA36CA" w:rsidRPr="00BC33C0">
        <w:rPr>
          <w:sz w:val="22"/>
          <w:szCs w:val="22"/>
          <w:lang w:val="en-GB"/>
        </w:rPr>
        <w:t>, and in many settings, vaccination to prevent women of child-bearing age would be too late to prevent primary infection</w:t>
      </w:r>
      <w:r w:rsidR="00502F8E" w:rsidRPr="00BC33C0">
        <w:rPr>
          <w:sz w:val="22"/>
          <w:szCs w:val="22"/>
          <w:lang w:val="en-GB"/>
        </w:rPr>
        <w:t xml:space="preserve">. </w:t>
      </w:r>
    </w:p>
    <w:p w14:paraId="6F01C78A" w14:textId="04BD5C1C" w:rsidR="00321802" w:rsidRPr="00BC33C0" w:rsidRDefault="00BE59A3" w:rsidP="00283ACB">
      <w:pPr>
        <w:jc w:val="both"/>
        <w:rPr>
          <w:sz w:val="22"/>
          <w:szCs w:val="22"/>
          <w:lang w:val="en-GB"/>
        </w:rPr>
      </w:pPr>
      <w:r w:rsidRPr="00BC33C0">
        <w:rPr>
          <w:sz w:val="22"/>
          <w:szCs w:val="22"/>
          <w:lang w:val="en-GB"/>
        </w:rPr>
        <w:t xml:space="preserve">The use case for the vaccine is </w:t>
      </w:r>
      <w:r w:rsidR="00BA36CA" w:rsidRPr="00BC33C0">
        <w:rPr>
          <w:sz w:val="22"/>
          <w:szCs w:val="22"/>
          <w:lang w:val="en-GB"/>
        </w:rPr>
        <w:t xml:space="preserve">subject to debate. </w:t>
      </w:r>
      <w:r w:rsidR="00281717" w:rsidRPr="00BC33C0">
        <w:rPr>
          <w:sz w:val="22"/>
          <w:szCs w:val="22"/>
          <w:lang w:val="en-GB"/>
        </w:rPr>
        <w:t>Whether</w:t>
      </w:r>
      <w:r w:rsidR="002123B5" w:rsidRPr="00BC33C0">
        <w:rPr>
          <w:sz w:val="22"/>
          <w:szCs w:val="22"/>
          <w:lang w:val="en-GB"/>
        </w:rPr>
        <w:t xml:space="preserve"> it is </w:t>
      </w:r>
      <w:r w:rsidR="00321802" w:rsidRPr="00BC33C0">
        <w:rPr>
          <w:sz w:val="22"/>
          <w:szCs w:val="22"/>
          <w:lang w:val="en-GB"/>
        </w:rPr>
        <w:t>designed to prevent primary infection, to prevent reactivation, or to prevent new infections in seropositive women</w:t>
      </w:r>
      <w:r w:rsidR="002123B5" w:rsidRPr="00BC33C0">
        <w:rPr>
          <w:sz w:val="22"/>
          <w:szCs w:val="22"/>
          <w:lang w:val="en-GB"/>
        </w:rPr>
        <w:t xml:space="preserve">, each </w:t>
      </w:r>
      <w:r w:rsidR="00281717" w:rsidRPr="00BC33C0">
        <w:rPr>
          <w:sz w:val="22"/>
          <w:szCs w:val="22"/>
          <w:lang w:val="en-GB"/>
        </w:rPr>
        <w:t xml:space="preserve">use case </w:t>
      </w:r>
      <w:r w:rsidR="002123B5" w:rsidRPr="00BC33C0">
        <w:rPr>
          <w:sz w:val="22"/>
          <w:szCs w:val="22"/>
          <w:lang w:val="en-GB"/>
        </w:rPr>
        <w:t>poses a different set of research questions and clinical development pathways</w:t>
      </w:r>
      <w:r w:rsidR="00321802" w:rsidRPr="00BC33C0">
        <w:rPr>
          <w:sz w:val="22"/>
          <w:szCs w:val="22"/>
          <w:lang w:val="en-GB"/>
        </w:rPr>
        <w:t xml:space="preserve">. </w:t>
      </w:r>
      <w:r w:rsidR="005733D4" w:rsidRPr="00BC33C0">
        <w:rPr>
          <w:sz w:val="22"/>
          <w:szCs w:val="22"/>
          <w:lang w:val="en-GB"/>
        </w:rPr>
        <w:t>For example, i</w:t>
      </w:r>
      <w:r w:rsidR="00321802" w:rsidRPr="00BC33C0">
        <w:rPr>
          <w:sz w:val="22"/>
          <w:szCs w:val="22"/>
          <w:lang w:val="en-GB"/>
        </w:rPr>
        <w:t>f it were designed to prevent primary infection, efficacy could be hard to assess in populations</w:t>
      </w:r>
      <w:r w:rsidR="00016324" w:rsidRPr="00BC33C0">
        <w:rPr>
          <w:sz w:val="22"/>
          <w:szCs w:val="22"/>
          <w:lang w:val="en-GB"/>
        </w:rPr>
        <w:t xml:space="preserve"> with high rates of seropositivity</w:t>
      </w:r>
      <w:r w:rsidR="00321802" w:rsidRPr="00BC33C0">
        <w:rPr>
          <w:sz w:val="22"/>
          <w:szCs w:val="22"/>
          <w:lang w:val="en-GB"/>
        </w:rPr>
        <w:t xml:space="preserve">. </w:t>
      </w:r>
    </w:p>
    <w:p w14:paraId="14C267AE" w14:textId="4F9A8AB6" w:rsidR="00D7176B" w:rsidRPr="00BC33C0" w:rsidRDefault="005733D4" w:rsidP="00283ACB">
      <w:pPr>
        <w:jc w:val="both"/>
        <w:rPr>
          <w:sz w:val="22"/>
          <w:szCs w:val="22"/>
          <w:lang w:val="en-GB"/>
        </w:rPr>
      </w:pPr>
      <w:r w:rsidRPr="00BC33C0">
        <w:rPr>
          <w:sz w:val="22"/>
          <w:szCs w:val="22"/>
        </w:rPr>
        <w:t xml:space="preserve">Beyond the use case, </w:t>
      </w:r>
      <w:r w:rsidR="00F72A67" w:rsidRPr="00BC33C0">
        <w:rPr>
          <w:sz w:val="22"/>
          <w:szCs w:val="22"/>
        </w:rPr>
        <w:t xml:space="preserve">immunological and epidemiological questions remain. </w:t>
      </w:r>
      <w:r w:rsidR="00C12C51" w:rsidRPr="00BC33C0">
        <w:rPr>
          <w:sz w:val="22"/>
          <w:szCs w:val="22"/>
        </w:rPr>
        <w:t xml:space="preserve">There is no </w:t>
      </w:r>
      <w:r w:rsidR="009B1F5E" w:rsidRPr="009B1F5E">
        <w:rPr>
          <w:sz w:val="22"/>
          <w:szCs w:val="22"/>
        </w:rPr>
        <w:t xml:space="preserve">established </w:t>
      </w:r>
      <w:r w:rsidR="00C12C51" w:rsidRPr="00BC33C0">
        <w:rPr>
          <w:sz w:val="22"/>
          <w:szCs w:val="22"/>
          <w:lang w:val="en-GB"/>
        </w:rPr>
        <w:t>correlate of protection</w:t>
      </w:r>
      <w:r w:rsidR="00283ACB" w:rsidRPr="00BC33C0">
        <w:rPr>
          <w:sz w:val="22"/>
          <w:szCs w:val="22"/>
          <w:lang w:val="en-GB"/>
        </w:rPr>
        <w:t xml:space="preserve"> (CoP)</w:t>
      </w:r>
      <w:r w:rsidR="00F72A67" w:rsidRPr="00BC33C0">
        <w:rPr>
          <w:sz w:val="22"/>
          <w:szCs w:val="22"/>
          <w:lang w:val="en-GB"/>
        </w:rPr>
        <w:t>, and m</w:t>
      </w:r>
      <w:r w:rsidRPr="00BC33C0">
        <w:rPr>
          <w:sz w:val="22"/>
          <w:szCs w:val="22"/>
          <w:lang w:val="en-GB"/>
        </w:rPr>
        <w:t xml:space="preserve">ost transmission is </w:t>
      </w:r>
      <w:r w:rsidR="00F72A67" w:rsidRPr="00BC33C0">
        <w:rPr>
          <w:sz w:val="22"/>
          <w:szCs w:val="22"/>
          <w:lang w:val="en-GB"/>
        </w:rPr>
        <w:t>suspected to be</w:t>
      </w:r>
      <w:r w:rsidRPr="00BC33C0">
        <w:rPr>
          <w:sz w:val="22"/>
          <w:szCs w:val="22"/>
          <w:lang w:val="en-GB"/>
        </w:rPr>
        <w:t xml:space="preserve"> due to reinfection, rather than reactivation, but this i</w:t>
      </w:r>
      <w:r w:rsidR="00F72A67" w:rsidRPr="00BC33C0">
        <w:rPr>
          <w:sz w:val="22"/>
          <w:szCs w:val="22"/>
          <w:lang w:val="en-GB"/>
        </w:rPr>
        <w:t>s</w:t>
      </w:r>
      <w:r w:rsidRPr="00BC33C0">
        <w:rPr>
          <w:sz w:val="22"/>
          <w:szCs w:val="22"/>
          <w:lang w:val="en-GB"/>
        </w:rPr>
        <w:t xml:space="preserve"> not known with certainty.</w:t>
      </w:r>
      <w:r w:rsidR="00283ACB" w:rsidRPr="00BC33C0">
        <w:rPr>
          <w:sz w:val="22"/>
          <w:szCs w:val="22"/>
          <w:lang w:val="en-GB"/>
        </w:rPr>
        <w:t xml:space="preserve"> </w:t>
      </w:r>
      <w:r w:rsidR="00D7176B" w:rsidRPr="00BC33C0">
        <w:rPr>
          <w:sz w:val="22"/>
          <w:szCs w:val="22"/>
          <w:lang w:val="en-GB"/>
        </w:rPr>
        <w:t>The committee acknowledged the likelihood of a large, unrecognized global burden of CMV, the data for which is lacking.</w:t>
      </w:r>
    </w:p>
    <w:p w14:paraId="6356C1D5" w14:textId="2A15C5D0" w:rsidR="004C0840" w:rsidRPr="00BC33C0" w:rsidRDefault="00283ACB" w:rsidP="00764939">
      <w:pPr>
        <w:jc w:val="both"/>
        <w:rPr>
          <w:sz w:val="22"/>
          <w:szCs w:val="22"/>
        </w:rPr>
      </w:pPr>
      <w:r w:rsidRPr="00BC33C0">
        <w:rPr>
          <w:sz w:val="22"/>
          <w:szCs w:val="22"/>
          <w:lang w:val="en-GB"/>
        </w:rPr>
        <w:t xml:space="preserve">The committee acknowledged these challenges and outstanding questions, linking </w:t>
      </w:r>
      <w:r w:rsidR="004C0840" w:rsidRPr="00BC33C0">
        <w:rPr>
          <w:sz w:val="22"/>
          <w:szCs w:val="22"/>
          <w:lang w:val="en-GB"/>
        </w:rPr>
        <w:t xml:space="preserve">the relatively empty vaccine pipeline </w:t>
      </w:r>
      <w:r w:rsidRPr="00BC33C0">
        <w:rPr>
          <w:sz w:val="22"/>
          <w:szCs w:val="22"/>
          <w:lang w:val="en-GB"/>
        </w:rPr>
        <w:t xml:space="preserve">with </w:t>
      </w:r>
      <w:r w:rsidR="004C0840" w:rsidRPr="00BC33C0">
        <w:rPr>
          <w:sz w:val="22"/>
          <w:szCs w:val="22"/>
          <w:lang w:val="en-GB"/>
        </w:rPr>
        <w:t xml:space="preserve">the unclear requirements for clinical trial design. </w:t>
      </w:r>
      <w:r w:rsidR="00912DF3" w:rsidRPr="00BC33C0">
        <w:rPr>
          <w:sz w:val="22"/>
          <w:szCs w:val="22"/>
          <w:lang w:val="en-GB"/>
        </w:rPr>
        <w:t>It recommended maintaining CMV’s vaccine development on the</w:t>
      </w:r>
      <w:r w:rsidR="0087267A">
        <w:rPr>
          <w:sz w:val="22"/>
          <w:szCs w:val="22"/>
          <w:lang w:val="en-GB"/>
        </w:rPr>
        <w:t xml:space="preserve"> pathogen</w:t>
      </w:r>
      <w:r w:rsidR="00912DF3" w:rsidRPr="00BC33C0">
        <w:rPr>
          <w:sz w:val="22"/>
          <w:szCs w:val="22"/>
          <w:lang w:val="en-GB"/>
        </w:rPr>
        <w:t xml:space="preserve"> </w:t>
      </w:r>
      <w:r w:rsidR="004C0840" w:rsidRPr="00BC33C0">
        <w:rPr>
          <w:sz w:val="22"/>
          <w:szCs w:val="22"/>
        </w:rPr>
        <w:t>watchlist</w:t>
      </w:r>
      <w:r w:rsidR="00E71263" w:rsidRPr="00BC33C0">
        <w:rPr>
          <w:sz w:val="22"/>
          <w:szCs w:val="22"/>
        </w:rPr>
        <w:t xml:space="preserve"> to monitor emerging data and opportunities.</w:t>
      </w:r>
      <w:r w:rsidR="00912DF3" w:rsidRPr="00BC33C0">
        <w:rPr>
          <w:sz w:val="22"/>
          <w:szCs w:val="22"/>
        </w:rPr>
        <w:t xml:space="preserve"> PDVAC</w:t>
      </w:r>
      <w:r w:rsidR="00764939" w:rsidRPr="00BC33C0">
        <w:rPr>
          <w:sz w:val="22"/>
          <w:szCs w:val="22"/>
        </w:rPr>
        <w:t xml:space="preserve"> will consider </w:t>
      </w:r>
      <w:r w:rsidR="004C0840" w:rsidRPr="00BC33C0">
        <w:rPr>
          <w:sz w:val="22"/>
          <w:szCs w:val="22"/>
        </w:rPr>
        <w:t xml:space="preserve">recommending a trial design which addresses the </w:t>
      </w:r>
      <w:r w:rsidR="00C261B2" w:rsidRPr="00BC33C0">
        <w:rPr>
          <w:sz w:val="22"/>
          <w:szCs w:val="22"/>
        </w:rPr>
        <w:t xml:space="preserve">high, but </w:t>
      </w:r>
      <w:r w:rsidR="004C0840" w:rsidRPr="00BC33C0">
        <w:rPr>
          <w:sz w:val="22"/>
          <w:szCs w:val="22"/>
        </w:rPr>
        <w:t>less severe</w:t>
      </w:r>
      <w:r w:rsidR="00C261B2" w:rsidRPr="00BC33C0">
        <w:rPr>
          <w:sz w:val="22"/>
          <w:szCs w:val="22"/>
        </w:rPr>
        <w:t xml:space="preserve"> </w:t>
      </w:r>
      <w:r w:rsidR="004C0840" w:rsidRPr="00BC33C0">
        <w:rPr>
          <w:sz w:val="22"/>
          <w:szCs w:val="22"/>
        </w:rPr>
        <w:t xml:space="preserve">burden of late-acquisition CMV. This focus may encourage developers to research CMV, thereby diversifying the pipeline. Any subsequent candidates which gained licensure could then be investigated for use earlier in pregnancy. </w:t>
      </w:r>
    </w:p>
    <w:p w14:paraId="1256FB9F" w14:textId="0DFE6BFB" w:rsidR="004C0840" w:rsidRPr="00BC33C0" w:rsidRDefault="004C0840" w:rsidP="004C0840">
      <w:pPr>
        <w:jc w:val="both"/>
        <w:rPr>
          <w:sz w:val="22"/>
          <w:szCs w:val="22"/>
        </w:rPr>
      </w:pPr>
      <w:r w:rsidRPr="28429A3C">
        <w:rPr>
          <w:i/>
          <w:iCs/>
          <w:sz w:val="22"/>
          <w:szCs w:val="22"/>
        </w:rPr>
        <w:t>Post meeting note</w:t>
      </w:r>
      <w:r w:rsidRPr="00BC33C0">
        <w:rPr>
          <w:sz w:val="22"/>
          <w:szCs w:val="22"/>
        </w:rPr>
        <w:t xml:space="preserve">: In the weeks following the PDVAC meeting, Moderna announced that its Phase 3 clinical trial of its investigational CMV vaccine mRNA-1647 will be </w:t>
      </w:r>
      <w:r w:rsidRPr="28429A3C">
        <w:rPr>
          <w:sz w:val="22"/>
          <w:szCs w:val="22"/>
        </w:rPr>
        <w:t>discontinued because it did not meet its primary efficacy endpoint.</w:t>
      </w:r>
      <w:r w:rsidRPr="28429A3C">
        <w:rPr>
          <w:rStyle w:val="EndnoteReference"/>
          <w:sz w:val="22"/>
          <w:szCs w:val="22"/>
        </w:rPr>
        <w:endnoteReference w:id="60"/>
      </w:r>
    </w:p>
    <w:p w14:paraId="601A5CB3" w14:textId="77777777" w:rsidR="00D3753C" w:rsidRPr="00BC33C0" w:rsidRDefault="00D3753C" w:rsidP="00D3753C">
      <w:pPr>
        <w:rPr>
          <w:sz w:val="22"/>
          <w:szCs w:val="22"/>
          <w:lang w:val="en-GB"/>
        </w:rPr>
      </w:pPr>
    </w:p>
    <w:p w14:paraId="416D5A18" w14:textId="39B8DAFC" w:rsidR="00F40A72" w:rsidRPr="00A466FE" w:rsidRDefault="00F40A72" w:rsidP="00807A75">
      <w:pPr>
        <w:pStyle w:val="Heading2"/>
        <w:rPr>
          <w:sz w:val="26"/>
          <w:szCs w:val="26"/>
          <w:lang w:val="en-GB"/>
        </w:rPr>
      </w:pPr>
      <w:r w:rsidRPr="00A466FE">
        <w:rPr>
          <w:sz w:val="26"/>
          <w:szCs w:val="26"/>
          <w:lang w:val="en-GB"/>
        </w:rPr>
        <w:t>Leishmaniasis</w:t>
      </w:r>
      <w:r w:rsidR="006858FA" w:rsidRPr="00A466FE">
        <w:rPr>
          <w:sz w:val="26"/>
          <w:szCs w:val="26"/>
          <w:lang w:val="en-GB"/>
        </w:rPr>
        <w:t xml:space="preserve"> burden and vaccine research</w:t>
      </w:r>
    </w:p>
    <w:p w14:paraId="524C1F98" w14:textId="32251C4D" w:rsidR="00D43BF9" w:rsidRPr="00BC33C0" w:rsidRDefault="00DE685C" w:rsidP="00961A73">
      <w:pPr>
        <w:jc w:val="both"/>
        <w:rPr>
          <w:rFonts w:asciiTheme="majorHAnsi" w:hAnsiTheme="majorHAnsi"/>
          <w:sz w:val="22"/>
          <w:szCs w:val="22"/>
        </w:rPr>
      </w:pPr>
      <w:r w:rsidRPr="00AB6449">
        <w:rPr>
          <w:sz w:val="22"/>
          <w:szCs w:val="22"/>
        </w:rPr>
        <w:t xml:space="preserve">Leishmaniasis </w:t>
      </w:r>
      <w:r w:rsidR="00ED4C18" w:rsidRPr="00AB6449">
        <w:rPr>
          <w:sz w:val="22"/>
          <w:szCs w:val="22"/>
        </w:rPr>
        <w:t xml:space="preserve">has a </w:t>
      </w:r>
      <w:r w:rsidRPr="00AB6449">
        <w:rPr>
          <w:sz w:val="22"/>
          <w:szCs w:val="22"/>
        </w:rPr>
        <w:t xml:space="preserve">significant burden of disease in </w:t>
      </w:r>
      <w:r w:rsidR="00836D6D" w:rsidRPr="00AB6449">
        <w:rPr>
          <w:sz w:val="22"/>
          <w:szCs w:val="22"/>
        </w:rPr>
        <w:t>LMICs</w:t>
      </w:r>
      <w:r w:rsidRPr="00AB6449">
        <w:rPr>
          <w:sz w:val="22"/>
          <w:szCs w:val="22"/>
        </w:rPr>
        <w:t xml:space="preserve">, particularly in the EMRO and AFRO regions. </w:t>
      </w:r>
      <w:r w:rsidR="008B14A4" w:rsidRPr="00AB6449">
        <w:rPr>
          <w:sz w:val="22"/>
          <w:szCs w:val="22"/>
        </w:rPr>
        <w:t>It causes a range of conditions, including visceral leishmaniasis (</w:t>
      </w:r>
      <w:r w:rsidR="00B24677" w:rsidRPr="00AB6449">
        <w:rPr>
          <w:sz w:val="22"/>
          <w:szCs w:val="22"/>
        </w:rPr>
        <w:t xml:space="preserve">VL, </w:t>
      </w:r>
      <w:r w:rsidR="008B14A4" w:rsidRPr="00AB6449">
        <w:rPr>
          <w:sz w:val="22"/>
          <w:szCs w:val="22"/>
        </w:rPr>
        <w:t>the most severe form), cutaneous and mucosal leishmaniasis</w:t>
      </w:r>
      <w:r w:rsidR="00B24677" w:rsidRPr="00AB6449">
        <w:rPr>
          <w:sz w:val="22"/>
          <w:szCs w:val="22"/>
        </w:rPr>
        <w:t xml:space="preserve"> (CL and ML)</w:t>
      </w:r>
      <w:r w:rsidR="008B14A4" w:rsidRPr="00AB6449">
        <w:rPr>
          <w:sz w:val="22"/>
          <w:szCs w:val="22"/>
        </w:rPr>
        <w:t>, and post-kala azar dermal leishmaniasis (PKDL). It typically affects the poorest sectors of society and is associated with social stigma as well as clinical symptoms</w:t>
      </w:r>
      <w:r w:rsidR="008B14A4" w:rsidRPr="00BC33C0">
        <w:rPr>
          <w:rFonts w:asciiTheme="majorHAnsi" w:hAnsiTheme="majorHAnsi"/>
          <w:sz w:val="22"/>
          <w:szCs w:val="22"/>
        </w:rPr>
        <w:t>.</w:t>
      </w:r>
    </w:p>
    <w:p w14:paraId="53A7808F" w14:textId="68D2EA81" w:rsidR="00D43BF9" w:rsidRPr="00AB6449" w:rsidRDefault="0094340F" w:rsidP="00E73A21">
      <w:pPr>
        <w:jc w:val="both"/>
        <w:rPr>
          <w:sz w:val="22"/>
          <w:szCs w:val="22"/>
        </w:rPr>
      </w:pPr>
      <w:r w:rsidRPr="00AB6449">
        <w:rPr>
          <w:sz w:val="22"/>
          <w:szCs w:val="22"/>
        </w:rPr>
        <w:t xml:space="preserve">Leishmaniasis’s role </w:t>
      </w:r>
      <w:r w:rsidR="00B127E2" w:rsidRPr="00AB6449">
        <w:rPr>
          <w:sz w:val="22"/>
          <w:szCs w:val="22"/>
        </w:rPr>
        <w:t xml:space="preserve">in </w:t>
      </w:r>
      <w:r w:rsidR="00481102" w:rsidRPr="00AB6449">
        <w:rPr>
          <w:sz w:val="22"/>
          <w:szCs w:val="22"/>
        </w:rPr>
        <w:t>worsening</w:t>
      </w:r>
      <w:r w:rsidR="00B127E2" w:rsidRPr="00AB6449">
        <w:rPr>
          <w:sz w:val="22"/>
          <w:szCs w:val="22"/>
        </w:rPr>
        <w:t xml:space="preserve"> social inequities</w:t>
      </w:r>
      <w:r w:rsidRPr="00AB6449">
        <w:rPr>
          <w:sz w:val="22"/>
          <w:szCs w:val="22"/>
        </w:rPr>
        <w:t xml:space="preserve"> makes it a particularly </w:t>
      </w:r>
      <w:r w:rsidR="00716E07" w:rsidRPr="00AB6449">
        <w:rPr>
          <w:sz w:val="22"/>
          <w:szCs w:val="22"/>
        </w:rPr>
        <w:t>importa</w:t>
      </w:r>
      <w:r w:rsidRPr="00AB6449">
        <w:rPr>
          <w:sz w:val="22"/>
          <w:szCs w:val="22"/>
        </w:rPr>
        <w:t>nt</w:t>
      </w:r>
      <w:r w:rsidR="00716E07" w:rsidRPr="00AB6449">
        <w:rPr>
          <w:sz w:val="22"/>
          <w:szCs w:val="22"/>
        </w:rPr>
        <w:t xml:space="preserve"> </w:t>
      </w:r>
      <w:r w:rsidRPr="00AB6449">
        <w:rPr>
          <w:sz w:val="22"/>
          <w:szCs w:val="22"/>
        </w:rPr>
        <w:t xml:space="preserve">candidate for </w:t>
      </w:r>
      <w:r w:rsidR="00481102" w:rsidRPr="00AB6449">
        <w:rPr>
          <w:sz w:val="22"/>
          <w:szCs w:val="22"/>
        </w:rPr>
        <w:t>vaccine development</w:t>
      </w:r>
      <w:r w:rsidR="00716E07" w:rsidRPr="00AB6449">
        <w:rPr>
          <w:sz w:val="22"/>
          <w:szCs w:val="22"/>
        </w:rPr>
        <w:t xml:space="preserve">. </w:t>
      </w:r>
      <w:r w:rsidRPr="00AB6449">
        <w:rPr>
          <w:sz w:val="22"/>
          <w:szCs w:val="22"/>
        </w:rPr>
        <w:t>S</w:t>
      </w:r>
      <w:r w:rsidR="003563E3" w:rsidRPr="00AB6449">
        <w:rPr>
          <w:sz w:val="22"/>
          <w:szCs w:val="22"/>
        </w:rPr>
        <w:t xml:space="preserve">ignificant </w:t>
      </w:r>
      <w:r w:rsidR="00D43BF9" w:rsidRPr="00AB6449">
        <w:rPr>
          <w:sz w:val="22"/>
          <w:szCs w:val="22"/>
        </w:rPr>
        <w:t>challenges</w:t>
      </w:r>
      <w:r w:rsidRPr="00AB6449">
        <w:rPr>
          <w:sz w:val="22"/>
          <w:szCs w:val="22"/>
        </w:rPr>
        <w:t xml:space="preserve"> exist</w:t>
      </w:r>
      <w:r w:rsidR="003563E3" w:rsidRPr="00AB6449">
        <w:rPr>
          <w:sz w:val="22"/>
          <w:szCs w:val="22"/>
        </w:rPr>
        <w:t>,</w:t>
      </w:r>
      <w:r w:rsidR="00716E07" w:rsidRPr="00AB6449">
        <w:rPr>
          <w:sz w:val="22"/>
          <w:szCs w:val="22"/>
        </w:rPr>
        <w:t xml:space="preserve"> </w:t>
      </w:r>
      <w:r w:rsidR="00D43BF9" w:rsidRPr="00AB6449">
        <w:rPr>
          <w:sz w:val="22"/>
          <w:szCs w:val="22"/>
        </w:rPr>
        <w:t xml:space="preserve">including: </w:t>
      </w:r>
      <w:r w:rsidR="003563E3" w:rsidRPr="00AB6449">
        <w:rPr>
          <w:sz w:val="22"/>
          <w:szCs w:val="22"/>
        </w:rPr>
        <w:t>an unclear t</w:t>
      </w:r>
      <w:r w:rsidR="00D43BF9" w:rsidRPr="00AB6449">
        <w:rPr>
          <w:sz w:val="22"/>
          <w:szCs w:val="22"/>
        </w:rPr>
        <w:t xml:space="preserve">arget population </w:t>
      </w:r>
      <w:r w:rsidR="00080AE1" w:rsidRPr="00AB6449">
        <w:rPr>
          <w:sz w:val="22"/>
          <w:szCs w:val="22"/>
        </w:rPr>
        <w:t>and use case for the vaccine</w:t>
      </w:r>
      <w:r w:rsidR="00B24677" w:rsidRPr="00AB6449">
        <w:rPr>
          <w:sz w:val="22"/>
          <w:szCs w:val="22"/>
        </w:rPr>
        <w:t xml:space="preserve"> (i.e., p</w:t>
      </w:r>
      <w:r w:rsidR="00D43BF9" w:rsidRPr="00AB6449">
        <w:rPr>
          <w:sz w:val="22"/>
          <w:szCs w:val="22"/>
        </w:rPr>
        <w:t xml:space="preserve">reventing </w:t>
      </w:r>
      <w:r w:rsidR="00B24677" w:rsidRPr="00AB6449">
        <w:rPr>
          <w:sz w:val="22"/>
          <w:szCs w:val="22"/>
        </w:rPr>
        <w:t xml:space="preserve">CL </w:t>
      </w:r>
      <w:r w:rsidR="00D43BF9" w:rsidRPr="00AB6449">
        <w:rPr>
          <w:sz w:val="22"/>
          <w:szCs w:val="22"/>
        </w:rPr>
        <w:t xml:space="preserve">and/or </w:t>
      </w:r>
      <w:r w:rsidR="00B24677" w:rsidRPr="00AB6449">
        <w:rPr>
          <w:sz w:val="22"/>
          <w:szCs w:val="22"/>
        </w:rPr>
        <w:t>V</w:t>
      </w:r>
      <w:r w:rsidR="00D43BF9" w:rsidRPr="00AB6449">
        <w:rPr>
          <w:sz w:val="22"/>
          <w:szCs w:val="22"/>
        </w:rPr>
        <w:t>L)</w:t>
      </w:r>
      <w:r w:rsidR="00E73A21" w:rsidRPr="00AB6449">
        <w:rPr>
          <w:sz w:val="22"/>
          <w:szCs w:val="22"/>
        </w:rPr>
        <w:t>; t</w:t>
      </w:r>
      <w:r w:rsidR="00D43BF9" w:rsidRPr="00AB6449">
        <w:rPr>
          <w:sz w:val="22"/>
          <w:szCs w:val="22"/>
        </w:rPr>
        <w:t>he possibility of a combination vaccine, and whether this could be differential in different regions or populations</w:t>
      </w:r>
      <w:r w:rsidR="00E73A21" w:rsidRPr="00AB6449">
        <w:rPr>
          <w:sz w:val="22"/>
          <w:szCs w:val="22"/>
        </w:rPr>
        <w:t>; s</w:t>
      </w:r>
      <w:r w:rsidR="00D43BF9" w:rsidRPr="00AB6449">
        <w:rPr>
          <w:sz w:val="22"/>
          <w:szCs w:val="22"/>
        </w:rPr>
        <w:t>ubstantial regulatory issues for a multi-component RNA vaccine</w:t>
      </w:r>
      <w:r w:rsidR="00E73A21" w:rsidRPr="00AB6449">
        <w:rPr>
          <w:sz w:val="22"/>
          <w:szCs w:val="22"/>
        </w:rPr>
        <w:t>; t</w:t>
      </w:r>
      <w:r w:rsidR="00D43BF9" w:rsidRPr="00AB6449">
        <w:rPr>
          <w:sz w:val="22"/>
          <w:szCs w:val="22"/>
        </w:rPr>
        <w:t>rial design</w:t>
      </w:r>
      <w:r w:rsidR="00E73A21" w:rsidRPr="00AB6449">
        <w:rPr>
          <w:sz w:val="22"/>
          <w:szCs w:val="22"/>
        </w:rPr>
        <w:t xml:space="preserve">; </w:t>
      </w:r>
      <w:r w:rsidR="00080AE1" w:rsidRPr="00AB6449">
        <w:rPr>
          <w:sz w:val="22"/>
          <w:szCs w:val="22"/>
        </w:rPr>
        <w:t xml:space="preserve">a </w:t>
      </w:r>
      <w:r w:rsidR="00E73A21" w:rsidRPr="00AB6449">
        <w:rPr>
          <w:sz w:val="22"/>
          <w:szCs w:val="22"/>
        </w:rPr>
        <w:t>lack of f</w:t>
      </w:r>
      <w:r w:rsidR="00D43BF9" w:rsidRPr="00AB6449">
        <w:rPr>
          <w:sz w:val="22"/>
          <w:szCs w:val="22"/>
        </w:rPr>
        <w:t xml:space="preserve">unding </w:t>
      </w:r>
      <w:r w:rsidR="00080AE1" w:rsidRPr="00AB6449">
        <w:rPr>
          <w:sz w:val="22"/>
          <w:szCs w:val="22"/>
        </w:rPr>
        <w:t>interest</w:t>
      </w:r>
      <w:r w:rsidR="00E73A21" w:rsidRPr="00AB6449">
        <w:rPr>
          <w:sz w:val="22"/>
          <w:szCs w:val="22"/>
        </w:rPr>
        <w:t>; and a lack of a c</w:t>
      </w:r>
      <w:r w:rsidR="00D43BF9" w:rsidRPr="00AB6449">
        <w:rPr>
          <w:sz w:val="22"/>
          <w:szCs w:val="22"/>
        </w:rPr>
        <w:t>orrelate of protection</w:t>
      </w:r>
      <w:r w:rsidR="00E73A21" w:rsidRPr="00AB6449">
        <w:rPr>
          <w:sz w:val="22"/>
          <w:szCs w:val="22"/>
        </w:rPr>
        <w:t xml:space="preserve">. </w:t>
      </w:r>
    </w:p>
    <w:p w14:paraId="13A2FFE2" w14:textId="4F697974" w:rsidR="00961A73" w:rsidRPr="00AB6449" w:rsidRDefault="00395A58" w:rsidP="00395A58">
      <w:pPr>
        <w:jc w:val="both"/>
        <w:rPr>
          <w:sz w:val="22"/>
          <w:szCs w:val="22"/>
        </w:rPr>
      </w:pPr>
      <w:r w:rsidRPr="00AB6449">
        <w:rPr>
          <w:sz w:val="22"/>
          <w:szCs w:val="22"/>
        </w:rPr>
        <w:t>The committee noted that although m</w:t>
      </w:r>
      <w:r w:rsidR="00961A73" w:rsidRPr="00AB6449">
        <w:rPr>
          <w:sz w:val="22"/>
          <w:szCs w:val="22"/>
        </w:rPr>
        <w:t xml:space="preserve">any of these </w:t>
      </w:r>
      <w:r w:rsidR="00B907CC" w:rsidRPr="00AB6449">
        <w:rPr>
          <w:sz w:val="22"/>
          <w:szCs w:val="22"/>
        </w:rPr>
        <w:t xml:space="preserve">problems </w:t>
      </w:r>
      <w:r w:rsidR="00961A73" w:rsidRPr="00AB6449">
        <w:rPr>
          <w:sz w:val="22"/>
          <w:szCs w:val="22"/>
        </w:rPr>
        <w:t>could be considered in a PPC</w:t>
      </w:r>
      <w:r w:rsidRPr="00AB6449">
        <w:rPr>
          <w:sz w:val="22"/>
          <w:szCs w:val="22"/>
        </w:rPr>
        <w:t xml:space="preserve">, epidemiology in the EMRO region could evolve </w:t>
      </w:r>
      <w:r w:rsidR="00FB191F" w:rsidRPr="00AB6449">
        <w:rPr>
          <w:sz w:val="22"/>
          <w:szCs w:val="22"/>
        </w:rPr>
        <w:t>as colleagues</w:t>
      </w:r>
      <w:r w:rsidR="00080AE1" w:rsidRPr="00AB6449">
        <w:rPr>
          <w:sz w:val="22"/>
          <w:szCs w:val="22"/>
        </w:rPr>
        <w:t xml:space="preserve"> </w:t>
      </w:r>
      <w:r w:rsidR="00F15463" w:rsidRPr="00AB6449">
        <w:rPr>
          <w:sz w:val="22"/>
          <w:szCs w:val="22"/>
        </w:rPr>
        <w:t>prioritize</w:t>
      </w:r>
      <w:r w:rsidRPr="00AB6449">
        <w:rPr>
          <w:sz w:val="22"/>
          <w:szCs w:val="22"/>
        </w:rPr>
        <w:t xml:space="preserve"> Leishmaniasis control</w:t>
      </w:r>
      <w:r w:rsidR="009B1FD4" w:rsidRPr="00AB6449">
        <w:rPr>
          <w:sz w:val="22"/>
          <w:szCs w:val="22"/>
        </w:rPr>
        <w:t xml:space="preserve"> in the region</w:t>
      </w:r>
      <w:r w:rsidR="00961A73" w:rsidRPr="00AB6449">
        <w:rPr>
          <w:sz w:val="22"/>
          <w:szCs w:val="22"/>
        </w:rPr>
        <w:t xml:space="preserve">. If effective, the burden of disease could shift significantly by the time a vaccine was licensed, so vaccine research </w:t>
      </w:r>
      <w:r w:rsidRPr="00AB6449">
        <w:rPr>
          <w:sz w:val="22"/>
          <w:szCs w:val="22"/>
        </w:rPr>
        <w:t xml:space="preserve">should be </w:t>
      </w:r>
      <w:r w:rsidR="0007748D" w:rsidRPr="00AB6449">
        <w:rPr>
          <w:sz w:val="22"/>
          <w:szCs w:val="22"/>
        </w:rPr>
        <w:t>informed by</w:t>
      </w:r>
      <w:r w:rsidR="00961A73" w:rsidRPr="00AB6449">
        <w:rPr>
          <w:sz w:val="22"/>
          <w:szCs w:val="22"/>
        </w:rPr>
        <w:t xml:space="preserve"> </w:t>
      </w:r>
      <w:r w:rsidR="00F15463" w:rsidRPr="00AB6449">
        <w:rPr>
          <w:sz w:val="22"/>
          <w:szCs w:val="22"/>
        </w:rPr>
        <w:t>existing</w:t>
      </w:r>
      <w:r w:rsidR="00961A73" w:rsidRPr="00AB6449">
        <w:rPr>
          <w:sz w:val="22"/>
          <w:szCs w:val="22"/>
        </w:rPr>
        <w:t xml:space="preserve"> control efforts. </w:t>
      </w:r>
    </w:p>
    <w:p w14:paraId="6E9CF229" w14:textId="16437C14" w:rsidR="001A3CEA" w:rsidRPr="00AB6449" w:rsidRDefault="00840AC2" w:rsidP="00531649">
      <w:pPr>
        <w:jc w:val="both"/>
        <w:rPr>
          <w:sz w:val="22"/>
          <w:szCs w:val="22"/>
        </w:rPr>
      </w:pPr>
      <w:r w:rsidRPr="00AB6449">
        <w:rPr>
          <w:sz w:val="22"/>
          <w:szCs w:val="22"/>
        </w:rPr>
        <w:t xml:space="preserve">The committee </w:t>
      </w:r>
      <w:r w:rsidR="00DE685C" w:rsidRPr="00AB6449">
        <w:rPr>
          <w:sz w:val="22"/>
          <w:szCs w:val="22"/>
        </w:rPr>
        <w:t>recommend</w:t>
      </w:r>
      <w:r w:rsidRPr="00AB6449">
        <w:rPr>
          <w:sz w:val="22"/>
          <w:szCs w:val="22"/>
        </w:rPr>
        <w:t>ed that t</w:t>
      </w:r>
      <w:r w:rsidR="00DE685C" w:rsidRPr="00AB6449">
        <w:rPr>
          <w:sz w:val="22"/>
          <w:szCs w:val="22"/>
        </w:rPr>
        <w:t xml:space="preserve">he PDVAC Secretariat consult with </w:t>
      </w:r>
      <w:r w:rsidRPr="00AB6449">
        <w:rPr>
          <w:sz w:val="22"/>
          <w:szCs w:val="22"/>
        </w:rPr>
        <w:t xml:space="preserve">colleagues in </w:t>
      </w:r>
      <w:r w:rsidR="00DE685C" w:rsidRPr="00AB6449">
        <w:rPr>
          <w:sz w:val="22"/>
          <w:szCs w:val="22"/>
        </w:rPr>
        <w:t xml:space="preserve">EMRO </w:t>
      </w:r>
      <w:r w:rsidRPr="00AB6449">
        <w:rPr>
          <w:sz w:val="22"/>
          <w:szCs w:val="22"/>
        </w:rPr>
        <w:t>to further understand the plans for Leishmani</w:t>
      </w:r>
      <w:r w:rsidR="000B5941" w:rsidRPr="00AB6449">
        <w:rPr>
          <w:sz w:val="22"/>
          <w:szCs w:val="22"/>
        </w:rPr>
        <w:t>a</w:t>
      </w:r>
      <w:r w:rsidRPr="00AB6449">
        <w:rPr>
          <w:sz w:val="22"/>
          <w:szCs w:val="22"/>
        </w:rPr>
        <w:t>sis control</w:t>
      </w:r>
      <w:r w:rsidR="000B5941" w:rsidRPr="00AB6449">
        <w:rPr>
          <w:sz w:val="22"/>
          <w:szCs w:val="22"/>
        </w:rPr>
        <w:t xml:space="preserve"> and its implications on</w:t>
      </w:r>
      <w:r w:rsidRPr="00AB6449">
        <w:rPr>
          <w:sz w:val="22"/>
          <w:szCs w:val="22"/>
        </w:rPr>
        <w:t xml:space="preserve"> </w:t>
      </w:r>
      <w:r w:rsidR="00531649" w:rsidRPr="00AB6449">
        <w:rPr>
          <w:sz w:val="22"/>
          <w:szCs w:val="22"/>
        </w:rPr>
        <w:t xml:space="preserve">disease burden, and the vaccine’s use </w:t>
      </w:r>
      <w:r w:rsidR="00DE685C" w:rsidRPr="00AB6449">
        <w:rPr>
          <w:sz w:val="22"/>
          <w:szCs w:val="22"/>
        </w:rPr>
        <w:t xml:space="preserve">case, using the Leishmaniasis </w:t>
      </w:r>
      <w:r w:rsidR="00276064" w:rsidRPr="00AB6449">
        <w:rPr>
          <w:sz w:val="22"/>
          <w:szCs w:val="22"/>
        </w:rPr>
        <w:t>V</w:t>
      </w:r>
      <w:r w:rsidR="00DE685C" w:rsidRPr="00AB6449">
        <w:rPr>
          <w:sz w:val="22"/>
          <w:szCs w:val="22"/>
        </w:rPr>
        <w:t xml:space="preserve">accine </w:t>
      </w:r>
      <w:r w:rsidR="00276064" w:rsidRPr="00AB6449">
        <w:rPr>
          <w:sz w:val="22"/>
          <w:szCs w:val="22"/>
        </w:rPr>
        <w:t>V</w:t>
      </w:r>
      <w:r w:rsidR="00DE685C" w:rsidRPr="00AB6449">
        <w:rPr>
          <w:sz w:val="22"/>
          <w:szCs w:val="22"/>
        </w:rPr>
        <w:t xml:space="preserve">alue </w:t>
      </w:r>
      <w:r w:rsidR="00276064" w:rsidRPr="00AB6449">
        <w:rPr>
          <w:sz w:val="22"/>
          <w:szCs w:val="22"/>
        </w:rPr>
        <w:t>P</w:t>
      </w:r>
      <w:r w:rsidR="00DE685C" w:rsidRPr="00AB6449">
        <w:rPr>
          <w:sz w:val="22"/>
          <w:szCs w:val="22"/>
        </w:rPr>
        <w:t>rofile</w:t>
      </w:r>
      <w:r w:rsidR="00A2505F" w:rsidRPr="00AB6449">
        <w:rPr>
          <w:sz w:val="22"/>
          <w:szCs w:val="22"/>
        </w:rPr>
        <w:endnoteReference w:id="61"/>
      </w:r>
      <w:r w:rsidR="00DE685C" w:rsidRPr="00AB6449">
        <w:rPr>
          <w:sz w:val="22"/>
          <w:szCs w:val="22"/>
        </w:rPr>
        <w:t xml:space="preserve"> as a basis for discussion. </w:t>
      </w:r>
      <w:r w:rsidR="00531649" w:rsidRPr="00AB6449">
        <w:rPr>
          <w:sz w:val="22"/>
          <w:szCs w:val="22"/>
        </w:rPr>
        <w:t xml:space="preserve">If there is clear demand for </w:t>
      </w:r>
      <w:r w:rsidR="00DE685C" w:rsidRPr="00AB6449">
        <w:rPr>
          <w:sz w:val="22"/>
          <w:szCs w:val="22"/>
        </w:rPr>
        <w:t>a Leishmaniasis vaccine</w:t>
      </w:r>
      <w:r w:rsidR="009A0BB9" w:rsidRPr="00AB6449">
        <w:rPr>
          <w:sz w:val="22"/>
          <w:szCs w:val="22"/>
        </w:rPr>
        <w:t>,</w:t>
      </w:r>
      <w:r w:rsidR="00DE685C" w:rsidRPr="00AB6449">
        <w:rPr>
          <w:sz w:val="22"/>
          <w:szCs w:val="22"/>
        </w:rPr>
        <w:t xml:space="preserve"> PDVAC can proceed with developing a PPC</w:t>
      </w:r>
      <w:r w:rsidR="001A3CEA" w:rsidRPr="00AB6449">
        <w:rPr>
          <w:sz w:val="22"/>
          <w:szCs w:val="22"/>
        </w:rPr>
        <w:t xml:space="preserve"> which would help to articulate the use case and target population for a vaccine, and to work through some of the issues outlined above, notably providing a way forward for the visceral or cutaneous leishmaniasis indication.</w:t>
      </w:r>
    </w:p>
    <w:p w14:paraId="42F352A5" w14:textId="1F8BC0D9" w:rsidR="00A74EBE" w:rsidRPr="00AB6449" w:rsidRDefault="00A74EBE" w:rsidP="00A74EBE">
      <w:pPr>
        <w:jc w:val="both"/>
        <w:rPr>
          <w:sz w:val="22"/>
          <w:szCs w:val="22"/>
        </w:rPr>
      </w:pPr>
      <w:r w:rsidRPr="00AB6449">
        <w:rPr>
          <w:sz w:val="22"/>
          <w:szCs w:val="22"/>
        </w:rPr>
        <w:t>PDVAC discussed the</w:t>
      </w:r>
      <w:r w:rsidR="003A7707" w:rsidRPr="00AB6449">
        <w:rPr>
          <w:sz w:val="22"/>
          <w:szCs w:val="22"/>
        </w:rPr>
        <w:t xml:space="preserve"> possibility</w:t>
      </w:r>
      <w:r w:rsidRPr="00AB6449">
        <w:rPr>
          <w:sz w:val="22"/>
          <w:szCs w:val="22"/>
        </w:rPr>
        <w:t xml:space="preserve"> of using a Leishmaniasis vaccine as a proof-of-concept </w:t>
      </w:r>
      <w:r w:rsidR="00A0751D" w:rsidRPr="00AB6449">
        <w:rPr>
          <w:sz w:val="22"/>
          <w:szCs w:val="22"/>
        </w:rPr>
        <w:t xml:space="preserve">product </w:t>
      </w:r>
      <w:r w:rsidRPr="00AB6449">
        <w:rPr>
          <w:sz w:val="22"/>
          <w:szCs w:val="22"/>
        </w:rPr>
        <w:t xml:space="preserve">for WHO’s mRNA regional manufacturing initiative. </w:t>
      </w:r>
      <w:r w:rsidR="004C7C90" w:rsidRPr="00AB6449">
        <w:rPr>
          <w:sz w:val="22"/>
          <w:szCs w:val="22"/>
        </w:rPr>
        <w:t xml:space="preserve">As it has </w:t>
      </w:r>
      <w:r w:rsidRPr="00AB6449">
        <w:rPr>
          <w:sz w:val="22"/>
          <w:szCs w:val="22"/>
        </w:rPr>
        <w:t xml:space="preserve">a very well-described human challenge model, </w:t>
      </w:r>
      <w:r w:rsidR="004C7C90" w:rsidRPr="00AB6449">
        <w:rPr>
          <w:sz w:val="22"/>
          <w:szCs w:val="22"/>
        </w:rPr>
        <w:t xml:space="preserve">and a well-characterized </w:t>
      </w:r>
      <w:r w:rsidRPr="00AB6449">
        <w:rPr>
          <w:sz w:val="22"/>
          <w:szCs w:val="22"/>
        </w:rPr>
        <w:t>immune profile</w:t>
      </w:r>
      <w:r w:rsidR="004C7C90" w:rsidRPr="00AB6449">
        <w:rPr>
          <w:sz w:val="22"/>
          <w:szCs w:val="22"/>
        </w:rPr>
        <w:t xml:space="preserve">, it may be well-suited to this </w:t>
      </w:r>
      <w:r w:rsidR="00250A50" w:rsidRPr="00AB6449">
        <w:rPr>
          <w:sz w:val="22"/>
          <w:szCs w:val="22"/>
        </w:rPr>
        <w:t xml:space="preserve">opportunity. Further still, its evolving </w:t>
      </w:r>
      <w:r w:rsidRPr="00AB6449">
        <w:rPr>
          <w:sz w:val="22"/>
          <w:szCs w:val="22"/>
        </w:rPr>
        <w:t xml:space="preserve">epidemiology </w:t>
      </w:r>
      <w:r w:rsidR="00250A50" w:rsidRPr="00AB6449">
        <w:rPr>
          <w:sz w:val="22"/>
          <w:szCs w:val="22"/>
        </w:rPr>
        <w:t xml:space="preserve">means more </w:t>
      </w:r>
      <w:r w:rsidRPr="00AB6449">
        <w:rPr>
          <w:sz w:val="22"/>
          <w:szCs w:val="22"/>
        </w:rPr>
        <w:t xml:space="preserve">infections </w:t>
      </w:r>
      <w:r w:rsidR="00250A50" w:rsidRPr="00AB6449">
        <w:rPr>
          <w:sz w:val="22"/>
          <w:szCs w:val="22"/>
        </w:rPr>
        <w:t xml:space="preserve">are </w:t>
      </w:r>
      <w:r w:rsidRPr="00AB6449">
        <w:rPr>
          <w:sz w:val="22"/>
          <w:szCs w:val="22"/>
        </w:rPr>
        <w:t>occur</w:t>
      </w:r>
      <w:r w:rsidR="00250A50" w:rsidRPr="00AB6449">
        <w:rPr>
          <w:sz w:val="22"/>
          <w:szCs w:val="22"/>
        </w:rPr>
        <w:t>ring</w:t>
      </w:r>
      <w:r w:rsidRPr="00AB6449">
        <w:rPr>
          <w:sz w:val="22"/>
          <w:szCs w:val="22"/>
        </w:rPr>
        <w:t xml:space="preserve"> in southern Europe, </w:t>
      </w:r>
      <w:r w:rsidR="00250A50" w:rsidRPr="00AB6449">
        <w:rPr>
          <w:sz w:val="22"/>
          <w:szCs w:val="22"/>
        </w:rPr>
        <w:t xml:space="preserve">meaning it </w:t>
      </w:r>
      <w:r w:rsidR="00163507" w:rsidRPr="00AB6449">
        <w:rPr>
          <w:sz w:val="22"/>
          <w:szCs w:val="22"/>
        </w:rPr>
        <w:t xml:space="preserve">may have </w:t>
      </w:r>
      <w:proofErr w:type="gramStart"/>
      <w:r w:rsidR="00163507" w:rsidRPr="00AB6449">
        <w:rPr>
          <w:sz w:val="22"/>
          <w:szCs w:val="22"/>
        </w:rPr>
        <w:t>increasing</w:t>
      </w:r>
      <w:proofErr w:type="gramEnd"/>
      <w:r w:rsidR="00163507" w:rsidRPr="00AB6449">
        <w:rPr>
          <w:sz w:val="22"/>
          <w:szCs w:val="22"/>
        </w:rPr>
        <w:t xml:space="preserve"> funder appetite from high income countries</w:t>
      </w:r>
      <w:r w:rsidRPr="00AB6449">
        <w:rPr>
          <w:sz w:val="22"/>
          <w:szCs w:val="22"/>
        </w:rPr>
        <w:t xml:space="preserve">. </w:t>
      </w:r>
    </w:p>
    <w:p w14:paraId="482214E5" w14:textId="7724569E" w:rsidR="00DE685C" w:rsidRPr="00BC33C0" w:rsidRDefault="00DE685C" w:rsidP="001A3CEA">
      <w:pPr>
        <w:jc w:val="both"/>
        <w:rPr>
          <w:rFonts w:asciiTheme="majorHAnsi" w:hAnsiTheme="majorHAnsi"/>
          <w:b/>
          <w:bCs/>
          <w:sz w:val="22"/>
          <w:szCs w:val="22"/>
        </w:rPr>
      </w:pPr>
      <w:r w:rsidRPr="00BC33C0">
        <w:rPr>
          <w:rFonts w:asciiTheme="majorHAnsi" w:hAnsiTheme="majorHAnsi"/>
          <w:sz w:val="22"/>
          <w:szCs w:val="22"/>
        </w:rPr>
        <w:t xml:space="preserve">PDVAC </w:t>
      </w:r>
      <w:r w:rsidR="001A3CEA" w:rsidRPr="00BC33C0">
        <w:rPr>
          <w:rFonts w:asciiTheme="majorHAnsi" w:hAnsiTheme="majorHAnsi"/>
          <w:sz w:val="22"/>
          <w:szCs w:val="22"/>
        </w:rPr>
        <w:t>strongly support</w:t>
      </w:r>
      <w:r w:rsidR="007F3931">
        <w:rPr>
          <w:rFonts w:asciiTheme="majorHAnsi" w:hAnsiTheme="majorHAnsi"/>
          <w:sz w:val="22"/>
          <w:szCs w:val="22"/>
        </w:rPr>
        <w:t>ed</w:t>
      </w:r>
      <w:r w:rsidR="001A3CEA" w:rsidRPr="00BC33C0">
        <w:rPr>
          <w:rFonts w:asciiTheme="majorHAnsi" w:hAnsiTheme="majorHAnsi"/>
          <w:sz w:val="22"/>
          <w:szCs w:val="22"/>
        </w:rPr>
        <w:t xml:space="preserve"> t</w:t>
      </w:r>
      <w:r w:rsidRPr="00BC33C0">
        <w:rPr>
          <w:rFonts w:asciiTheme="majorHAnsi" w:hAnsiTheme="majorHAnsi"/>
          <w:sz w:val="22"/>
          <w:szCs w:val="22"/>
        </w:rPr>
        <w:t xml:space="preserve">he current </w:t>
      </w:r>
      <w:r w:rsidR="001A3CEA" w:rsidRPr="00BC33C0">
        <w:rPr>
          <w:rFonts w:asciiTheme="majorHAnsi" w:hAnsiTheme="majorHAnsi"/>
          <w:sz w:val="22"/>
          <w:szCs w:val="22"/>
        </w:rPr>
        <w:t>early-stage, proof</w:t>
      </w:r>
      <w:r w:rsidR="00F3438F">
        <w:rPr>
          <w:rFonts w:asciiTheme="majorHAnsi" w:hAnsiTheme="majorHAnsi"/>
          <w:sz w:val="22"/>
          <w:szCs w:val="22"/>
        </w:rPr>
        <w:t>-</w:t>
      </w:r>
      <w:r w:rsidR="001A3CEA" w:rsidRPr="00BC33C0">
        <w:rPr>
          <w:rFonts w:asciiTheme="majorHAnsi" w:hAnsiTheme="majorHAnsi"/>
          <w:sz w:val="22"/>
          <w:szCs w:val="22"/>
        </w:rPr>
        <w:t>of</w:t>
      </w:r>
      <w:r w:rsidR="00F3438F">
        <w:rPr>
          <w:rFonts w:asciiTheme="majorHAnsi" w:hAnsiTheme="majorHAnsi"/>
          <w:sz w:val="22"/>
          <w:szCs w:val="22"/>
        </w:rPr>
        <w:t>-</w:t>
      </w:r>
      <w:r w:rsidR="001A3CEA" w:rsidRPr="00BC33C0">
        <w:rPr>
          <w:rFonts w:asciiTheme="majorHAnsi" w:hAnsiTheme="majorHAnsi"/>
          <w:sz w:val="22"/>
          <w:szCs w:val="22"/>
        </w:rPr>
        <w:t xml:space="preserve">concept </w:t>
      </w:r>
      <w:r w:rsidRPr="00BC33C0">
        <w:rPr>
          <w:rFonts w:asciiTheme="majorHAnsi" w:hAnsiTheme="majorHAnsi"/>
          <w:sz w:val="22"/>
          <w:szCs w:val="22"/>
        </w:rPr>
        <w:t xml:space="preserve">research in the </w:t>
      </w:r>
      <w:r w:rsidR="001A3CEA" w:rsidRPr="00BC33C0">
        <w:rPr>
          <w:rFonts w:asciiTheme="majorHAnsi" w:hAnsiTheme="majorHAnsi"/>
          <w:sz w:val="22"/>
          <w:szCs w:val="22"/>
        </w:rPr>
        <w:t xml:space="preserve">Leishmaniasis </w:t>
      </w:r>
      <w:r w:rsidRPr="00BC33C0">
        <w:rPr>
          <w:rFonts w:asciiTheme="majorHAnsi" w:hAnsiTheme="majorHAnsi"/>
          <w:sz w:val="22"/>
          <w:szCs w:val="22"/>
        </w:rPr>
        <w:t xml:space="preserve">vaccine pipeline and </w:t>
      </w:r>
      <w:r w:rsidR="007F3931">
        <w:rPr>
          <w:rFonts w:asciiTheme="majorHAnsi" w:hAnsiTheme="majorHAnsi"/>
          <w:sz w:val="22"/>
          <w:szCs w:val="22"/>
        </w:rPr>
        <w:t xml:space="preserve">expressed the hope that this research continue </w:t>
      </w:r>
      <w:r w:rsidR="001A3CEA" w:rsidRPr="00BC33C0">
        <w:rPr>
          <w:rFonts w:asciiTheme="majorHAnsi" w:hAnsiTheme="majorHAnsi"/>
          <w:sz w:val="22"/>
          <w:szCs w:val="22"/>
        </w:rPr>
        <w:t xml:space="preserve">as other conversations </w:t>
      </w:r>
      <w:r w:rsidR="007F3931">
        <w:rPr>
          <w:rFonts w:asciiTheme="majorHAnsi" w:hAnsiTheme="majorHAnsi"/>
          <w:sz w:val="22"/>
          <w:szCs w:val="22"/>
        </w:rPr>
        <w:t xml:space="preserve">about Leishmaniasis vaccines </w:t>
      </w:r>
      <w:r w:rsidR="001A3CEA" w:rsidRPr="00BC33C0">
        <w:rPr>
          <w:rFonts w:asciiTheme="majorHAnsi" w:hAnsiTheme="majorHAnsi"/>
          <w:sz w:val="22"/>
          <w:szCs w:val="22"/>
        </w:rPr>
        <w:t>are ongoing.</w:t>
      </w:r>
    </w:p>
    <w:p w14:paraId="56363846" w14:textId="45E1AB86" w:rsidR="00FF66D8" w:rsidRDefault="00FF66D8" w:rsidP="00BC33C0">
      <w:pPr>
        <w:pStyle w:val="Heading2"/>
        <w:rPr>
          <w:lang w:val="en-GB"/>
        </w:rPr>
      </w:pPr>
      <w:r>
        <w:rPr>
          <w:lang w:val="en-GB"/>
        </w:rPr>
        <w:t>Summary of PDVAC recommendations by topic:</w:t>
      </w:r>
    </w:p>
    <w:p w14:paraId="096E06D4" w14:textId="77777777" w:rsidR="000932CA" w:rsidRDefault="000932CA" w:rsidP="00555F54">
      <w:pPr>
        <w:rPr>
          <w:b/>
          <w:bCs/>
          <w:color w:val="156082" w:themeColor="accent1"/>
        </w:rPr>
      </w:pPr>
    </w:p>
    <w:p w14:paraId="505F4315" w14:textId="3BBAD444" w:rsidR="00555F54" w:rsidRPr="00555F54" w:rsidRDefault="00555F54" w:rsidP="00555F54">
      <w:pPr>
        <w:rPr>
          <w:b/>
          <w:bCs/>
          <w:color w:val="156082" w:themeColor="accent1"/>
        </w:rPr>
      </w:pPr>
      <w:r w:rsidRPr="00555F54">
        <w:rPr>
          <w:b/>
          <w:bCs/>
          <w:color w:val="156082" w:themeColor="accent1"/>
        </w:rPr>
        <w:t>Combination Vaccines</w:t>
      </w:r>
    </w:p>
    <w:p w14:paraId="65C1EDC3" w14:textId="77777777" w:rsidR="00555F54" w:rsidRDefault="00555F54" w:rsidP="00555F54">
      <w:pPr>
        <w:pStyle w:val="ListParagraph"/>
        <w:numPr>
          <w:ilvl w:val="0"/>
          <w:numId w:val="29"/>
        </w:numPr>
        <w:rPr>
          <w:sz w:val="22"/>
          <w:szCs w:val="22"/>
        </w:rPr>
      </w:pPr>
      <w:r w:rsidRPr="00555F54">
        <w:rPr>
          <w:sz w:val="22"/>
          <w:szCs w:val="22"/>
        </w:rPr>
        <w:t>Maintain flexibility in the prioritization framework to accommodate future technologies (e.g., mRNA, microarray patches) and age groups beyond children under five.</w:t>
      </w:r>
    </w:p>
    <w:p w14:paraId="45257B5D" w14:textId="77777777" w:rsidR="000932CA" w:rsidRDefault="00555F54" w:rsidP="00555F54">
      <w:pPr>
        <w:pStyle w:val="ListParagraph"/>
        <w:numPr>
          <w:ilvl w:val="0"/>
          <w:numId w:val="29"/>
        </w:numPr>
        <w:rPr>
          <w:sz w:val="22"/>
          <w:szCs w:val="22"/>
        </w:rPr>
      </w:pPr>
      <w:r w:rsidRPr="00555F54">
        <w:rPr>
          <w:sz w:val="22"/>
          <w:szCs w:val="22"/>
        </w:rPr>
        <w:t xml:space="preserve">Highlight vaccine combinations that are important from public health or programmatic perspectives even if they do not currently meet framework criteria (e.g., hookworm-malaria, </w:t>
      </w:r>
      <w:proofErr w:type="spellStart"/>
      <w:r w:rsidRPr="00555F54">
        <w:rPr>
          <w:sz w:val="22"/>
          <w:szCs w:val="22"/>
        </w:rPr>
        <w:t>HepB</w:t>
      </w:r>
      <w:proofErr w:type="spellEnd"/>
      <w:r w:rsidRPr="00555F54">
        <w:rPr>
          <w:sz w:val="22"/>
          <w:szCs w:val="22"/>
        </w:rPr>
        <w:t>-BCG).</w:t>
      </w:r>
    </w:p>
    <w:p w14:paraId="42F55245" w14:textId="77777777" w:rsidR="000932CA" w:rsidRDefault="00555F54" w:rsidP="00555F54">
      <w:pPr>
        <w:pStyle w:val="ListParagraph"/>
        <w:numPr>
          <w:ilvl w:val="0"/>
          <w:numId w:val="29"/>
        </w:numPr>
        <w:rPr>
          <w:sz w:val="22"/>
          <w:szCs w:val="22"/>
        </w:rPr>
      </w:pPr>
      <w:r w:rsidRPr="000932CA">
        <w:rPr>
          <w:sz w:val="22"/>
          <w:szCs w:val="22"/>
        </w:rPr>
        <w:t>Reduce the current shortlist of 27 combinations before broader country consultations.</w:t>
      </w:r>
    </w:p>
    <w:p w14:paraId="086B2A18" w14:textId="77777777" w:rsidR="000932CA" w:rsidRDefault="00555F54" w:rsidP="00555F54">
      <w:pPr>
        <w:pStyle w:val="ListParagraph"/>
        <w:numPr>
          <w:ilvl w:val="0"/>
          <w:numId w:val="29"/>
        </w:numPr>
        <w:rPr>
          <w:sz w:val="22"/>
          <w:szCs w:val="22"/>
        </w:rPr>
      </w:pPr>
      <w:r w:rsidRPr="000932CA">
        <w:rPr>
          <w:sz w:val="22"/>
          <w:szCs w:val="22"/>
        </w:rPr>
        <w:t>Engage NITAGs and RITAGs to understand not only which combinations are preferred but why they are preferred (coverage, delivery efficiency, disease burden, health system benefits).</w:t>
      </w:r>
    </w:p>
    <w:p w14:paraId="7B0E4B02" w14:textId="77777777" w:rsidR="000932CA" w:rsidRDefault="00555F54" w:rsidP="00555F54">
      <w:pPr>
        <w:pStyle w:val="ListParagraph"/>
        <w:numPr>
          <w:ilvl w:val="0"/>
          <w:numId w:val="29"/>
        </w:numPr>
        <w:rPr>
          <w:sz w:val="22"/>
          <w:szCs w:val="22"/>
        </w:rPr>
      </w:pPr>
      <w:r w:rsidRPr="000932CA">
        <w:rPr>
          <w:sz w:val="22"/>
          <w:szCs w:val="22"/>
        </w:rPr>
        <w:t>Prioritize consultation with mature NITAGs that can best reflect country realities.</w:t>
      </w:r>
    </w:p>
    <w:p w14:paraId="4F5328CC" w14:textId="77777777" w:rsidR="000932CA" w:rsidRDefault="00555F54" w:rsidP="00555F54">
      <w:pPr>
        <w:pStyle w:val="ListParagraph"/>
        <w:numPr>
          <w:ilvl w:val="0"/>
          <w:numId w:val="29"/>
        </w:numPr>
        <w:rPr>
          <w:sz w:val="22"/>
          <w:szCs w:val="22"/>
        </w:rPr>
      </w:pPr>
      <w:r w:rsidRPr="000932CA">
        <w:rPr>
          <w:sz w:val="22"/>
          <w:szCs w:val="22"/>
        </w:rPr>
        <w:t>Include indicative cost information during stakeholder consultations.</w:t>
      </w:r>
    </w:p>
    <w:p w14:paraId="3B7968EB" w14:textId="77777777" w:rsidR="000932CA" w:rsidRDefault="00555F54" w:rsidP="00555F54">
      <w:pPr>
        <w:pStyle w:val="ListParagraph"/>
        <w:numPr>
          <w:ilvl w:val="0"/>
          <w:numId w:val="29"/>
        </w:numPr>
        <w:rPr>
          <w:sz w:val="22"/>
          <w:szCs w:val="22"/>
        </w:rPr>
      </w:pPr>
      <w:r w:rsidRPr="28429A3C">
        <w:rPr>
          <w:sz w:val="22"/>
          <w:szCs w:val="22"/>
        </w:rPr>
        <w:t xml:space="preserve">Continue aligning </w:t>
      </w:r>
      <w:r w:rsidRPr="28429A3C">
        <w:rPr>
          <w:i/>
          <w:iCs/>
          <w:sz w:val="22"/>
          <w:szCs w:val="22"/>
        </w:rPr>
        <w:t>Shigella</w:t>
      </w:r>
      <w:r w:rsidRPr="28429A3C">
        <w:rPr>
          <w:sz w:val="22"/>
          <w:szCs w:val="22"/>
        </w:rPr>
        <w:t xml:space="preserve"> combination analyses with the current WHO PPC while remaining open to future changes if evidence evolves.</w:t>
      </w:r>
    </w:p>
    <w:p w14:paraId="30D13501" w14:textId="6408AA48" w:rsidR="00555F54" w:rsidRPr="000932CA" w:rsidRDefault="41638723" w:rsidP="00555F54">
      <w:pPr>
        <w:pStyle w:val="ListParagraph"/>
        <w:numPr>
          <w:ilvl w:val="0"/>
          <w:numId w:val="29"/>
        </w:numPr>
        <w:rPr>
          <w:sz w:val="22"/>
          <w:szCs w:val="22"/>
        </w:rPr>
      </w:pPr>
      <w:r w:rsidRPr="3B7FEC15">
        <w:rPr>
          <w:sz w:val="22"/>
          <w:szCs w:val="22"/>
        </w:rPr>
        <w:t>Proceed with presentations to the Global NITAG Network and pilot consultations with selected RITAGs.</w:t>
      </w:r>
    </w:p>
    <w:p w14:paraId="05BB516A" w14:textId="49AA35A2" w:rsidR="00555F54" w:rsidRPr="000932CA" w:rsidRDefault="00555F54" w:rsidP="00555F54">
      <w:pPr>
        <w:rPr>
          <w:b/>
          <w:bCs/>
          <w:color w:val="156082" w:themeColor="accent1"/>
        </w:rPr>
      </w:pPr>
      <w:r w:rsidRPr="000932CA">
        <w:rPr>
          <w:b/>
          <w:bCs/>
          <w:color w:val="156082" w:themeColor="accent1"/>
        </w:rPr>
        <w:t>Pregnant and Lactating Women and Girls (PLWG)</w:t>
      </w:r>
    </w:p>
    <w:p w14:paraId="21078EB7" w14:textId="77777777" w:rsidR="007B116E" w:rsidRPr="00043485" w:rsidRDefault="41638723" w:rsidP="00555F54">
      <w:pPr>
        <w:pStyle w:val="ListParagraph"/>
        <w:numPr>
          <w:ilvl w:val="0"/>
          <w:numId w:val="30"/>
        </w:numPr>
        <w:rPr>
          <w:sz w:val="22"/>
          <w:szCs w:val="22"/>
        </w:rPr>
      </w:pPr>
      <w:r w:rsidRPr="3B7FEC15">
        <w:rPr>
          <w:sz w:val="22"/>
          <w:szCs w:val="22"/>
        </w:rPr>
        <w:t>Embed inclusion of PLWG throughout the vaccine development pathway.</w:t>
      </w:r>
    </w:p>
    <w:p w14:paraId="3B625AAF" w14:textId="77BCA898" w:rsidR="007B116E" w:rsidRPr="00043485" w:rsidRDefault="00DF0BD7" w:rsidP="00555F54">
      <w:pPr>
        <w:pStyle w:val="ListParagraph"/>
        <w:numPr>
          <w:ilvl w:val="0"/>
          <w:numId w:val="30"/>
        </w:numPr>
        <w:rPr>
          <w:sz w:val="22"/>
          <w:szCs w:val="22"/>
        </w:rPr>
      </w:pPr>
      <w:r>
        <w:rPr>
          <w:sz w:val="22"/>
          <w:szCs w:val="22"/>
        </w:rPr>
        <w:t>Consider the d</w:t>
      </w:r>
      <w:r w:rsidR="00555F54" w:rsidRPr="00043485">
        <w:rPr>
          <w:sz w:val="22"/>
          <w:szCs w:val="22"/>
        </w:rPr>
        <w:t>evelop</w:t>
      </w:r>
      <w:r>
        <w:rPr>
          <w:sz w:val="22"/>
          <w:szCs w:val="22"/>
        </w:rPr>
        <w:t>ment of</w:t>
      </w:r>
      <w:r w:rsidR="00555F54" w:rsidRPr="00043485">
        <w:rPr>
          <w:sz w:val="22"/>
          <w:szCs w:val="22"/>
        </w:rPr>
        <w:t xml:space="preserve"> a standardized WHO data collection tool for incidental pregnancies occurring during vaccine trials.</w:t>
      </w:r>
    </w:p>
    <w:p w14:paraId="61E1213C" w14:textId="77777777" w:rsidR="007B116E" w:rsidRPr="00043485" w:rsidRDefault="00555F54" w:rsidP="00555F54">
      <w:pPr>
        <w:pStyle w:val="ListParagraph"/>
        <w:numPr>
          <w:ilvl w:val="0"/>
          <w:numId w:val="30"/>
        </w:numPr>
        <w:rPr>
          <w:sz w:val="22"/>
          <w:szCs w:val="22"/>
        </w:rPr>
      </w:pPr>
      <w:r w:rsidRPr="00043485">
        <w:rPr>
          <w:sz w:val="22"/>
          <w:szCs w:val="22"/>
        </w:rPr>
        <w:t>Establish a global safety database for pregnancy-related vaccine data.</w:t>
      </w:r>
    </w:p>
    <w:p w14:paraId="494B4342" w14:textId="44C2CF9D" w:rsidR="007B116E" w:rsidRPr="00043485" w:rsidRDefault="00555F54" w:rsidP="00555F54">
      <w:pPr>
        <w:pStyle w:val="ListParagraph"/>
        <w:numPr>
          <w:ilvl w:val="0"/>
          <w:numId w:val="30"/>
        </w:numPr>
        <w:rPr>
          <w:sz w:val="22"/>
          <w:szCs w:val="22"/>
        </w:rPr>
      </w:pPr>
      <w:r w:rsidRPr="00043485">
        <w:rPr>
          <w:sz w:val="22"/>
          <w:szCs w:val="22"/>
        </w:rPr>
        <w:t>Conduct industry consultations with developers of maternal vaccines (e.g., RSV and GBS) to identify lessons learned.</w:t>
      </w:r>
    </w:p>
    <w:p w14:paraId="202A790F" w14:textId="3855A943" w:rsidR="00555F54" w:rsidRPr="00043485" w:rsidRDefault="00555F54" w:rsidP="00555F54">
      <w:pPr>
        <w:pStyle w:val="ListParagraph"/>
        <w:numPr>
          <w:ilvl w:val="0"/>
          <w:numId w:val="30"/>
        </w:numPr>
        <w:rPr>
          <w:sz w:val="22"/>
          <w:szCs w:val="22"/>
        </w:rPr>
      </w:pPr>
      <w:r w:rsidRPr="00043485">
        <w:rPr>
          <w:sz w:val="22"/>
          <w:szCs w:val="22"/>
        </w:rPr>
        <w:t>Establish a Maternal Immunization Technical Advisory Group to support SAGE.</w:t>
      </w:r>
    </w:p>
    <w:p w14:paraId="2A785A68" w14:textId="77777777" w:rsidR="007B116E" w:rsidRDefault="007B116E" w:rsidP="007B116E">
      <w:pPr>
        <w:pStyle w:val="ListParagraph"/>
      </w:pPr>
    </w:p>
    <w:p w14:paraId="187309F2" w14:textId="77777777" w:rsidR="00555F54" w:rsidRPr="007B116E" w:rsidRDefault="00555F54" w:rsidP="00555F54">
      <w:pPr>
        <w:rPr>
          <w:b/>
          <w:bCs/>
          <w:color w:val="156082" w:themeColor="accent1"/>
        </w:rPr>
      </w:pPr>
      <w:r w:rsidRPr="007B116E">
        <w:rPr>
          <w:b/>
          <w:bCs/>
          <w:color w:val="156082" w:themeColor="accent1"/>
        </w:rPr>
        <w:t>Adjuvants</w:t>
      </w:r>
    </w:p>
    <w:p w14:paraId="2EEAFA41" w14:textId="77777777" w:rsidR="007B116E" w:rsidRPr="00B57579" w:rsidRDefault="00555F54" w:rsidP="00555F54">
      <w:pPr>
        <w:pStyle w:val="ListParagraph"/>
        <w:numPr>
          <w:ilvl w:val="0"/>
          <w:numId w:val="31"/>
        </w:numPr>
        <w:rPr>
          <w:sz w:val="22"/>
          <w:szCs w:val="22"/>
        </w:rPr>
      </w:pPr>
      <w:r w:rsidRPr="00B57579">
        <w:rPr>
          <w:sz w:val="22"/>
          <w:szCs w:val="22"/>
        </w:rPr>
        <w:t>Support development and broader access to open-source adjuvants.</w:t>
      </w:r>
    </w:p>
    <w:p w14:paraId="2B3F12AD" w14:textId="4F4F3181" w:rsidR="007B116E" w:rsidRPr="00B57579" w:rsidRDefault="00555F54" w:rsidP="00555F54">
      <w:pPr>
        <w:pStyle w:val="ListParagraph"/>
        <w:numPr>
          <w:ilvl w:val="0"/>
          <w:numId w:val="31"/>
        </w:numPr>
        <w:rPr>
          <w:sz w:val="22"/>
          <w:szCs w:val="22"/>
        </w:rPr>
      </w:pPr>
      <w:r w:rsidRPr="28429A3C">
        <w:rPr>
          <w:sz w:val="22"/>
          <w:szCs w:val="22"/>
        </w:rPr>
        <w:t xml:space="preserve">If adjuvant technology transfer is planned, transfer should </w:t>
      </w:r>
      <w:r w:rsidR="0017403A">
        <w:rPr>
          <w:sz w:val="22"/>
          <w:szCs w:val="22"/>
        </w:rPr>
        <w:t>pre</w:t>
      </w:r>
      <w:r w:rsidR="008636D1">
        <w:rPr>
          <w:sz w:val="22"/>
          <w:szCs w:val="22"/>
        </w:rPr>
        <w:t xml:space="preserve">ferably </w:t>
      </w:r>
      <w:r w:rsidRPr="28429A3C">
        <w:rPr>
          <w:sz w:val="22"/>
          <w:szCs w:val="22"/>
        </w:rPr>
        <w:t>occur before Phase I studies</w:t>
      </w:r>
      <w:r w:rsidR="00BA49A3">
        <w:rPr>
          <w:sz w:val="22"/>
          <w:szCs w:val="22"/>
        </w:rPr>
        <w:t xml:space="preserve">. </w:t>
      </w:r>
      <w:r w:rsidR="00493C8B" w:rsidRPr="00493C8B">
        <w:rPr>
          <w:sz w:val="22"/>
          <w:szCs w:val="22"/>
        </w:rPr>
        <w:t xml:space="preserve">If this is not possible, then at a minimum, the clinical trial material used in the pivotal studies should contain adjuvant manufactured by the stakeholder that will be responsible for adjuvant production </w:t>
      </w:r>
      <w:proofErr w:type="spellStart"/>
      <w:r w:rsidR="00493C8B" w:rsidRPr="00493C8B">
        <w:rPr>
          <w:sz w:val="22"/>
          <w:szCs w:val="22"/>
        </w:rPr>
        <w:t>after market</w:t>
      </w:r>
      <w:proofErr w:type="spellEnd"/>
      <w:r w:rsidR="00493C8B" w:rsidRPr="00493C8B">
        <w:rPr>
          <w:sz w:val="22"/>
          <w:szCs w:val="22"/>
        </w:rPr>
        <w:t xml:space="preserve"> </w:t>
      </w:r>
      <w:proofErr w:type="gramStart"/>
      <w:r w:rsidR="00493C8B" w:rsidRPr="00493C8B">
        <w:rPr>
          <w:sz w:val="22"/>
          <w:szCs w:val="22"/>
        </w:rPr>
        <w:t>authorization.</w:t>
      </w:r>
      <w:r w:rsidRPr="28429A3C">
        <w:rPr>
          <w:sz w:val="22"/>
          <w:szCs w:val="22"/>
        </w:rPr>
        <w:t>.</w:t>
      </w:r>
      <w:proofErr w:type="gramEnd"/>
    </w:p>
    <w:p w14:paraId="37E1F7E8" w14:textId="77777777" w:rsidR="007B116E" w:rsidRPr="00B57579" w:rsidRDefault="00555F54" w:rsidP="00555F54">
      <w:pPr>
        <w:pStyle w:val="ListParagraph"/>
        <w:numPr>
          <w:ilvl w:val="0"/>
          <w:numId w:val="31"/>
        </w:numPr>
        <w:rPr>
          <w:sz w:val="22"/>
          <w:szCs w:val="22"/>
        </w:rPr>
      </w:pPr>
      <w:r w:rsidRPr="00B57579">
        <w:rPr>
          <w:sz w:val="22"/>
          <w:szCs w:val="22"/>
        </w:rPr>
        <w:t>Conduct a demonstration DART study using an adjuvant within a vaccine product rather than studying adjuvant alone.</w:t>
      </w:r>
    </w:p>
    <w:p w14:paraId="0A4B2342" w14:textId="77777777" w:rsidR="00EC333A" w:rsidRPr="006508F2" w:rsidRDefault="00EC333A" w:rsidP="00EC333A">
      <w:pPr>
        <w:rPr>
          <w:b/>
          <w:bCs/>
          <w:color w:val="156082" w:themeColor="accent1"/>
        </w:rPr>
      </w:pPr>
      <w:r w:rsidRPr="006508F2">
        <w:rPr>
          <w:b/>
          <w:bCs/>
          <w:color w:val="156082" w:themeColor="accent1"/>
        </w:rPr>
        <w:t>Tuberculosis Vaccines</w:t>
      </w:r>
    </w:p>
    <w:p w14:paraId="7F94509F" w14:textId="77777777" w:rsidR="00EC333A" w:rsidRPr="00ED7D91" w:rsidRDefault="00EC333A" w:rsidP="00EC333A">
      <w:pPr>
        <w:rPr>
          <w:sz w:val="22"/>
          <w:szCs w:val="22"/>
        </w:rPr>
      </w:pPr>
      <w:r w:rsidRPr="00ED7D91">
        <w:rPr>
          <w:sz w:val="22"/>
          <w:szCs w:val="22"/>
        </w:rPr>
        <w:t>PDVAC recommended:</w:t>
      </w:r>
    </w:p>
    <w:p w14:paraId="77E5E60F" w14:textId="77777777" w:rsidR="00EC333A" w:rsidRPr="00ED7D91" w:rsidRDefault="00EC333A" w:rsidP="00EC333A">
      <w:pPr>
        <w:numPr>
          <w:ilvl w:val="0"/>
          <w:numId w:val="32"/>
        </w:numPr>
        <w:rPr>
          <w:sz w:val="22"/>
          <w:szCs w:val="22"/>
        </w:rPr>
      </w:pPr>
      <w:r w:rsidRPr="00ED7D91">
        <w:rPr>
          <w:sz w:val="22"/>
          <w:szCs w:val="22"/>
        </w:rPr>
        <w:t xml:space="preserve">Continue collection and storage of sputum samples from all trial participants to evaluate asymptomatic TB endpoints retrospectively. </w:t>
      </w:r>
    </w:p>
    <w:p w14:paraId="49B7C8DB" w14:textId="77777777" w:rsidR="00EC333A" w:rsidRPr="00ED7D91" w:rsidRDefault="00EC333A" w:rsidP="00EC333A">
      <w:pPr>
        <w:numPr>
          <w:ilvl w:val="0"/>
          <w:numId w:val="32"/>
        </w:numPr>
        <w:rPr>
          <w:sz w:val="22"/>
          <w:szCs w:val="22"/>
        </w:rPr>
      </w:pPr>
      <w:r w:rsidRPr="00ED7D91">
        <w:rPr>
          <w:sz w:val="22"/>
          <w:szCs w:val="22"/>
        </w:rPr>
        <w:t xml:space="preserve">Avoid testing for asymptomatic TB during trials to preserve endpoint assessment. </w:t>
      </w:r>
    </w:p>
    <w:p w14:paraId="2AA159B1" w14:textId="77777777" w:rsidR="00EC333A" w:rsidRPr="00ED7D91" w:rsidRDefault="00EC333A" w:rsidP="00EC333A">
      <w:pPr>
        <w:numPr>
          <w:ilvl w:val="0"/>
          <w:numId w:val="32"/>
        </w:numPr>
        <w:rPr>
          <w:sz w:val="22"/>
          <w:szCs w:val="22"/>
        </w:rPr>
      </w:pPr>
      <w:r w:rsidRPr="00ED7D91">
        <w:rPr>
          <w:sz w:val="22"/>
          <w:szCs w:val="22"/>
        </w:rPr>
        <w:t xml:space="preserve">Support the 2026 workplan of the Technical Advisory Group on Evidence for Clinical and Policy Considerations for New TB Vaccines. </w:t>
      </w:r>
    </w:p>
    <w:p w14:paraId="0AFAB6DE" w14:textId="77777777" w:rsidR="00EC333A" w:rsidRPr="00ED7D91" w:rsidRDefault="00EC333A" w:rsidP="00EC333A">
      <w:pPr>
        <w:numPr>
          <w:ilvl w:val="0"/>
          <w:numId w:val="32"/>
        </w:numPr>
        <w:rPr>
          <w:sz w:val="22"/>
          <w:szCs w:val="22"/>
        </w:rPr>
      </w:pPr>
      <w:r w:rsidRPr="00ED7D91">
        <w:rPr>
          <w:sz w:val="22"/>
          <w:szCs w:val="22"/>
        </w:rPr>
        <w:t xml:space="preserve">Conduct scenario analyses to inform SAGE deliberations regarding vaccination of IGRA-negative populations. </w:t>
      </w:r>
    </w:p>
    <w:p w14:paraId="4F4614C6" w14:textId="77777777" w:rsidR="00EC333A" w:rsidRPr="00ED7D91" w:rsidRDefault="00EC333A" w:rsidP="00EC333A">
      <w:pPr>
        <w:numPr>
          <w:ilvl w:val="0"/>
          <w:numId w:val="32"/>
        </w:numPr>
        <w:rPr>
          <w:sz w:val="22"/>
          <w:szCs w:val="22"/>
        </w:rPr>
      </w:pPr>
      <w:r w:rsidRPr="00ED7D91">
        <w:rPr>
          <w:sz w:val="22"/>
          <w:szCs w:val="22"/>
        </w:rPr>
        <w:t>Consider additional data collection and modelling approaches to facilitate broad WHO policy recommendations.</w:t>
      </w:r>
    </w:p>
    <w:p w14:paraId="3E71C4B5" w14:textId="77777777" w:rsidR="00EC333A" w:rsidRPr="00ED7D91" w:rsidRDefault="00EC333A" w:rsidP="00EC333A">
      <w:pPr>
        <w:rPr>
          <w:b/>
          <w:bCs/>
          <w:color w:val="156082" w:themeColor="accent1"/>
        </w:rPr>
      </w:pPr>
      <w:r w:rsidRPr="00ED7D91">
        <w:rPr>
          <w:b/>
          <w:bCs/>
          <w:color w:val="156082" w:themeColor="accent1"/>
        </w:rPr>
        <w:t>Group B Streptococcus (GBS)</w:t>
      </w:r>
    </w:p>
    <w:p w14:paraId="2752C127" w14:textId="77777777" w:rsidR="00EC333A" w:rsidRPr="00ED7D91" w:rsidRDefault="00EC333A" w:rsidP="00EC333A">
      <w:pPr>
        <w:numPr>
          <w:ilvl w:val="0"/>
          <w:numId w:val="33"/>
        </w:numPr>
        <w:rPr>
          <w:sz w:val="22"/>
          <w:szCs w:val="22"/>
        </w:rPr>
      </w:pPr>
      <w:r w:rsidRPr="00ED7D91">
        <w:rPr>
          <w:sz w:val="22"/>
          <w:szCs w:val="22"/>
        </w:rPr>
        <w:t xml:space="preserve">Endorsed WHO's draft Evidence Considerations for Vaccine Policy (ECVP) guidance for GBS vaccines, subject to incorporation of comments. </w:t>
      </w:r>
    </w:p>
    <w:p w14:paraId="2CC8C21F" w14:textId="77777777" w:rsidR="00EC333A" w:rsidRPr="00ED7D91" w:rsidRDefault="00EC333A" w:rsidP="00EC333A">
      <w:pPr>
        <w:numPr>
          <w:ilvl w:val="0"/>
          <w:numId w:val="33"/>
        </w:numPr>
        <w:rPr>
          <w:sz w:val="22"/>
          <w:szCs w:val="22"/>
        </w:rPr>
      </w:pPr>
      <w:r w:rsidRPr="00ED7D91">
        <w:rPr>
          <w:sz w:val="22"/>
          <w:szCs w:val="22"/>
        </w:rPr>
        <w:t xml:space="preserve">Recommended early engagement among developers, regulators, policymakers and SAGE. </w:t>
      </w:r>
    </w:p>
    <w:p w14:paraId="2CCBE7A5" w14:textId="77777777" w:rsidR="00EC333A" w:rsidRPr="00ED7D91" w:rsidRDefault="00EC333A" w:rsidP="00EC333A">
      <w:pPr>
        <w:numPr>
          <w:ilvl w:val="0"/>
          <w:numId w:val="33"/>
        </w:numPr>
        <w:rPr>
          <w:sz w:val="22"/>
          <w:szCs w:val="22"/>
        </w:rPr>
      </w:pPr>
      <w:r w:rsidRPr="00ED7D91">
        <w:rPr>
          <w:sz w:val="22"/>
          <w:szCs w:val="22"/>
        </w:rPr>
        <w:t xml:space="preserve">Encouraged coordinated dialogue to avoid delays between licensure, WHO prequalification and policy recommendations. </w:t>
      </w:r>
    </w:p>
    <w:p w14:paraId="25826A41" w14:textId="77777777" w:rsidR="00EC333A" w:rsidRPr="00ED7D91" w:rsidRDefault="00EC333A" w:rsidP="00EC333A">
      <w:pPr>
        <w:numPr>
          <w:ilvl w:val="0"/>
          <w:numId w:val="33"/>
        </w:numPr>
        <w:rPr>
          <w:sz w:val="22"/>
          <w:szCs w:val="22"/>
        </w:rPr>
      </w:pPr>
      <w:r w:rsidRPr="00ED7D91">
        <w:rPr>
          <w:sz w:val="22"/>
          <w:szCs w:val="22"/>
        </w:rPr>
        <w:t>Supported efforts to align regulatory and policy expectations around serological thresholds of risk reduction (</w:t>
      </w:r>
      <w:proofErr w:type="spellStart"/>
      <w:r w:rsidRPr="00ED7D91">
        <w:rPr>
          <w:sz w:val="22"/>
          <w:szCs w:val="22"/>
        </w:rPr>
        <w:t>SToRR</w:t>
      </w:r>
      <w:proofErr w:type="spellEnd"/>
      <w:r w:rsidRPr="00ED7D91">
        <w:rPr>
          <w:sz w:val="22"/>
          <w:szCs w:val="22"/>
        </w:rPr>
        <w:t>)-based licensure.</w:t>
      </w:r>
    </w:p>
    <w:p w14:paraId="785CA22F" w14:textId="77777777" w:rsidR="00EC333A" w:rsidRPr="00BE207D" w:rsidRDefault="00EC333A" w:rsidP="00EC333A">
      <w:pPr>
        <w:rPr>
          <w:b/>
          <w:bCs/>
          <w:color w:val="156082" w:themeColor="accent1"/>
        </w:rPr>
      </w:pPr>
      <w:r w:rsidRPr="00BE207D">
        <w:rPr>
          <w:b/>
          <w:bCs/>
          <w:color w:val="156082" w:themeColor="accent1"/>
        </w:rPr>
        <w:t>Cytomegalovirus (CMV)</w:t>
      </w:r>
    </w:p>
    <w:p w14:paraId="2C904F8A" w14:textId="77777777" w:rsidR="00EC333A" w:rsidRPr="00BE207D" w:rsidRDefault="00EC333A" w:rsidP="00EC333A">
      <w:pPr>
        <w:numPr>
          <w:ilvl w:val="0"/>
          <w:numId w:val="34"/>
        </w:numPr>
        <w:rPr>
          <w:sz w:val="22"/>
          <w:szCs w:val="22"/>
        </w:rPr>
      </w:pPr>
      <w:r w:rsidRPr="00BE207D">
        <w:rPr>
          <w:sz w:val="22"/>
          <w:szCs w:val="22"/>
        </w:rPr>
        <w:t xml:space="preserve">Maintain CMV on the vaccine-development watchlist. </w:t>
      </w:r>
    </w:p>
    <w:p w14:paraId="374831E8" w14:textId="77777777" w:rsidR="00EC333A" w:rsidRPr="00BE207D" w:rsidRDefault="00EC333A" w:rsidP="00EC333A">
      <w:pPr>
        <w:numPr>
          <w:ilvl w:val="0"/>
          <w:numId w:val="34"/>
        </w:numPr>
        <w:rPr>
          <w:sz w:val="22"/>
          <w:szCs w:val="22"/>
        </w:rPr>
      </w:pPr>
      <w:r w:rsidRPr="00BE207D">
        <w:rPr>
          <w:sz w:val="22"/>
          <w:szCs w:val="22"/>
        </w:rPr>
        <w:t xml:space="preserve">Monitor emerging epidemiological and immunological evidence. </w:t>
      </w:r>
    </w:p>
    <w:p w14:paraId="67AF63C6" w14:textId="77777777" w:rsidR="00EC333A" w:rsidRPr="00BE207D" w:rsidRDefault="00EC333A" w:rsidP="00EC333A">
      <w:pPr>
        <w:numPr>
          <w:ilvl w:val="0"/>
          <w:numId w:val="34"/>
        </w:numPr>
        <w:rPr>
          <w:sz w:val="22"/>
          <w:szCs w:val="22"/>
        </w:rPr>
      </w:pPr>
      <w:r w:rsidRPr="00BE207D">
        <w:rPr>
          <w:sz w:val="22"/>
          <w:szCs w:val="22"/>
        </w:rPr>
        <w:t xml:space="preserve">Consider trial designs targeting later-acquired CMV disease as a more feasible initial pathway. </w:t>
      </w:r>
    </w:p>
    <w:p w14:paraId="4E93A29B" w14:textId="77777777" w:rsidR="00EC333A" w:rsidRPr="00BE207D" w:rsidRDefault="00EC333A" w:rsidP="00EC333A">
      <w:pPr>
        <w:numPr>
          <w:ilvl w:val="0"/>
          <w:numId w:val="34"/>
        </w:numPr>
        <w:rPr>
          <w:sz w:val="22"/>
          <w:szCs w:val="22"/>
        </w:rPr>
      </w:pPr>
      <w:r w:rsidRPr="00BE207D">
        <w:rPr>
          <w:sz w:val="22"/>
          <w:szCs w:val="22"/>
        </w:rPr>
        <w:t>Encourage research that may diversify the currently limited vaccine pipeline.</w:t>
      </w:r>
    </w:p>
    <w:p w14:paraId="543ABA75" w14:textId="77777777" w:rsidR="005F0D9A" w:rsidRPr="00C979B0" w:rsidRDefault="005F0D9A" w:rsidP="005F0D9A">
      <w:pPr>
        <w:rPr>
          <w:b/>
          <w:bCs/>
          <w:color w:val="156082" w:themeColor="accent1"/>
        </w:rPr>
      </w:pPr>
      <w:r w:rsidRPr="00C979B0">
        <w:rPr>
          <w:b/>
          <w:bCs/>
          <w:color w:val="156082" w:themeColor="accent1"/>
        </w:rPr>
        <w:t>Leishmaniasis</w:t>
      </w:r>
    </w:p>
    <w:p w14:paraId="3E98BD8D" w14:textId="77777777" w:rsidR="005F0D9A" w:rsidRPr="00C979B0" w:rsidRDefault="005F0D9A" w:rsidP="005F0D9A">
      <w:pPr>
        <w:numPr>
          <w:ilvl w:val="0"/>
          <w:numId w:val="35"/>
        </w:numPr>
        <w:rPr>
          <w:sz w:val="22"/>
          <w:szCs w:val="22"/>
        </w:rPr>
      </w:pPr>
      <w:r w:rsidRPr="00C979B0">
        <w:rPr>
          <w:sz w:val="22"/>
          <w:szCs w:val="22"/>
        </w:rPr>
        <w:t xml:space="preserve">Consult with WHO EMRO colleagues regarding future disease-control plans and implications for vaccine use cases. </w:t>
      </w:r>
    </w:p>
    <w:p w14:paraId="04AC9814" w14:textId="77777777" w:rsidR="005F0D9A" w:rsidRPr="00C979B0" w:rsidRDefault="005F0D9A" w:rsidP="005F0D9A">
      <w:pPr>
        <w:numPr>
          <w:ilvl w:val="0"/>
          <w:numId w:val="35"/>
        </w:numPr>
        <w:rPr>
          <w:sz w:val="22"/>
          <w:szCs w:val="22"/>
        </w:rPr>
      </w:pPr>
      <w:r w:rsidRPr="00C979B0">
        <w:rPr>
          <w:sz w:val="22"/>
          <w:szCs w:val="22"/>
        </w:rPr>
        <w:t xml:space="preserve">Use the Leishmaniasis Vaccine Value Profile as the basis for these discussions. </w:t>
      </w:r>
    </w:p>
    <w:p w14:paraId="6C52E02D" w14:textId="77777777" w:rsidR="005F0D9A" w:rsidRPr="00C979B0" w:rsidRDefault="005F0D9A" w:rsidP="005F0D9A">
      <w:pPr>
        <w:numPr>
          <w:ilvl w:val="0"/>
          <w:numId w:val="35"/>
        </w:numPr>
        <w:rPr>
          <w:sz w:val="22"/>
          <w:szCs w:val="22"/>
        </w:rPr>
      </w:pPr>
      <w:r w:rsidRPr="00C979B0">
        <w:rPr>
          <w:sz w:val="22"/>
          <w:szCs w:val="22"/>
        </w:rPr>
        <w:t xml:space="preserve">Assess whether sufficient demand exists to justify development of a WHO Preferred Product Characteristics (PPC) document. </w:t>
      </w:r>
    </w:p>
    <w:p w14:paraId="426EFEEE" w14:textId="77777777" w:rsidR="005F0D9A" w:rsidRPr="00C979B0" w:rsidRDefault="005F0D9A" w:rsidP="005F0D9A">
      <w:pPr>
        <w:numPr>
          <w:ilvl w:val="0"/>
          <w:numId w:val="35"/>
        </w:numPr>
        <w:rPr>
          <w:sz w:val="22"/>
          <w:szCs w:val="22"/>
        </w:rPr>
      </w:pPr>
      <w:r w:rsidRPr="00C979B0">
        <w:rPr>
          <w:sz w:val="22"/>
          <w:szCs w:val="22"/>
        </w:rPr>
        <w:t xml:space="preserve">If demand is confirmed, develop a PPC to clarify: </w:t>
      </w:r>
    </w:p>
    <w:p w14:paraId="3736CF8C" w14:textId="77777777" w:rsidR="005F0D9A" w:rsidRPr="00C979B0" w:rsidRDefault="005F0D9A" w:rsidP="005F0D9A">
      <w:pPr>
        <w:numPr>
          <w:ilvl w:val="1"/>
          <w:numId w:val="35"/>
        </w:numPr>
        <w:rPr>
          <w:sz w:val="22"/>
          <w:szCs w:val="22"/>
        </w:rPr>
      </w:pPr>
      <w:r w:rsidRPr="00C979B0">
        <w:rPr>
          <w:sz w:val="22"/>
          <w:szCs w:val="22"/>
        </w:rPr>
        <w:t xml:space="preserve">Vaccine use cases </w:t>
      </w:r>
    </w:p>
    <w:p w14:paraId="4CC4F497" w14:textId="77777777" w:rsidR="005F0D9A" w:rsidRPr="00C979B0" w:rsidRDefault="005F0D9A" w:rsidP="005F0D9A">
      <w:pPr>
        <w:numPr>
          <w:ilvl w:val="1"/>
          <w:numId w:val="35"/>
        </w:numPr>
        <w:rPr>
          <w:sz w:val="22"/>
          <w:szCs w:val="22"/>
        </w:rPr>
      </w:pPr>
      <w:r w:rsidRPr="00C979B0">
        <w:rPr>
          <w:sz w:val="22"/>
          <w:szCs w:val="22"/>
        </w:rPr>
        <w:t xml:space="preserve">Target populations </w:t>
      </w:r>
    </w:p>
    <w:p w14:paraId="3AE830AE" w14:textId="77777777" w:rsidR="005F0D9A" w:rsidRPr="00C979B0" w:rsidRDefault="005F0D9A" w:rsidP="005F0D9A">
      <w:pPr>
        <w:numPr>
          <w:ilvl w:val="1"/>
          <w:numId w:val="35"/>
        </w:numPr>
        <w:rPr>
          <w:sz w:val="22"/>
          <w:szCs w:val="22"/>
        </w:rPr>
      </w:pPr>
      <w:r w:rsidRPr="00C979B0">
        <w:rPr>
          <w:sz w:val="22"/>
          <w:szCs w:val="22"/>
        </w:rPr>
        <w:t xml:space="preserve">Visceral versus cutaneous indications </w:t>
      </w:r>
    </w:p>
    <w:p w14:paraId="78A0454B" w14:textId="77777777" w:rsidR="005F0D9A" w:rsidRPr="00C979B0" w:rsidRDefault="005F0D9A" w:rsidP="005F0D9A">
      <w:pPr>
        <w:numPr>
          <w:ilvl w:val="1"/>
          <w:numId w:val="35"/>
        </w:numPr>
        <w:rPr>
          <w:sz w:val="22"/>
          <w:szCs w:val="22"/>
        </w:rPr>
      </w:pPr>
      <w:r w:rsidRPr="00C979B0">
        <w:rPr>
          <w:sz w:val="22"/>
          <w:szCs w:val="22"/>
        </w:rPr>
        <w:t xml:space="preserve">Product development pathways </w:t>
      </w:r>
    </w:p>
    <w:p w14:paraId="378F5664" w14:textId="77777777" w:rsidR="005F0D9A" w:rsidRPr="00C979B0" w:rsidRDefault="005F0D9A" w:rsidP="005F0D9A">
      <w:pPr>
        <w:numPr>
          <w:ilvl w:val="0"/>
          <w:numId w:val="35"/>
        </w:numPr>
        <w:rPr>
          <w:sz w:val="22"/>
          <w:szCs w:val="22"/>
        </w:rPr>
      </w:pPr>
      <w:r w:rsidRPr="00C979B0">
        <w:rPr>
          <w:sz w:val="22"/>
          <w:szCs w:val="22"/>
        </w:rPr>
        <w:t xml:space="preserve">Continue supporting proof-of-concept vaccine research. </w:t>
      </w:r>
    </w:p>
    <w:p w14:paraId="6CF4F2BD" w14:textId="389B8B66" w:rsidR="00FF66D8" w:rsidRDefault="005F0D9A" w:rsidP="00BC33C0">
      <w:pPr>
        <w:numPr>
          <w:ilvl w:val="0"/>
          <w:numId w:val="35"/>
        </w:numPr>
        <w:rPr>
          <w:sz w:val="22"/>
          <w:szCs w:val="22"/>
        </w:rPr>
      </w:pPr>
      <w:r w:rsidRPr="00C979B0">
        <w:rPr>
          <w:sz w:val="22"/>
          <w:szCs w:val="22"/>
        </w:rPr>
        <w:t>Explore the potential of leishmaniasis vaccines as a demonstration product for WHO's regional mRNA manufacturing initiative.</w:t>
      </w:r>
    </w:p>
    <w:p w14:paraId="1D18EC8A" w14:textId="77777777" w:rsidR="00C979B0" w:rsidRPr="00C979B0" w:rsidRDefault="00C979B0" w:rsidP="00C979B0">
      <w:pPr>
        <w:ind w:left="720"/>
        <w:rPr>
          <w:sz w:val="22"/>
          <w:szCs w:val="22"/>
        </w:rPr>
      </w:pPr>
    </w:p>
    <w:p w14:paraId="1ECC39EE" w14:textId="7919C705" w:rsidR="00D4624B" w:rsidRPr="002F1C45" w:rsidRDefault="00D4624B" w:rsidP="00BC33C0">
      <w:pPr>
        <w:pStyle w:val="Heading2"/>
        <w:rPr>
          <w:lang w:val="en-GB"/>
        </w:rPr>
      </w:pPr>
      <w:r w:rsidRPr="002F1C45">
        <w:rPr>
          <w:lang w:val="en-GB"/>
        </w:rPr>
        <w:t>Looking ahead: PDVAC in 2026</w:t>
      </w:r>
    </w:p>
    <w:p w14:paraId="3F90E16C" w14:textId="63E0B013" w:rsidR="008D6873" w:rsidRDefault="00486758" w:rsidP="28429A3C">
      <w:pPr>
        <w:pStyle w:val="Heading2"/>
        <w:rPr>
          <w:rFonts w:asciiTheme="minorHAnsi" w:eastAsiaTheme="minorEastAsia" w:hAnsiTheme="minorHAnsi" w:cstheme="minorBidi"/>
          <w:color w:val="auto"/>
          <w:sz w:val="22"/>
          <w:szCs w:val="22"/>
        </w:rPr>
      </w:pPr>
      <w:r w:rsidRPr="28429A3C">
        <w:rPr>
          <w:rFonts w:asciiTheme="minorHAnsi" w:eastAsiaTheme="minorEastAsia" w:hAnsiTheme="minorHAnsi" w:cstheme="minorBidi"/>
          <w:color w:val="auto"/>
          <w:sz w:val="22"/>
          <w:szCs w:val="22"/>
        </w:rPr>
        <w:t xml:space="preserve">The next PDVAC meeting will be held in July 2026 and will focus on strategic </w:t>
      </w:r>
      <w:proofErr w:type="spellStart"/>
      <w:r w:rsidRPr="28429A3C">
        <w:rPr>
          <w:rFonts w:asciiTheme="minorHAnsi" w:eastAsiaTheme="minorEastAsia" w:hAnsiTheme="minorHAnsi" w:cstheme="minorBidi"/>
          <w:color w:val="auto"/>
          <w:sz w:val="22"/>
          <w:szCs w:val="22"/>
        </w:rPr>
        <w:t>prioritisation</w:t>
      </w:r>
      <w:proofErr w:type="spellEnd"/>
      <w:r w:rsidRPr="28429A3C">
        <w:rPr>
          <w:rFonts w:asciiTheme="minorHAnsi" w:eastAsiaTheme="minorEastAsia" w:hAnsiTheme="minorHAnsi" w:cstheme="minorBidi"/>
          <w:color w:val="auto"/>
          <w:sz w:val="22"/>
          <w:szCs w:val="22"/>
        </w:rPr>
        <w:t xml:space="preserve"> of vaccine development in a constrained global financing environment. Key discussions will include advances in vaccines for tuberculosis, </w:t>
      </w:r>
      <w:r w:rsidRPr="28429A3C">
        <w:rPr>
          <w:rFonts w:asciiTheme="minorHAnsi" w:eastAsiaTheme="minorEastAsia" w:hAnsiTheme="minorHAnsi" w:cstheme="minorBidi"/>
          <w:i/>
          <w:iCs/>
          <w:color w:val="auto"/>
          <w:sz w:val="22"/>
          <w:szCs w:val="22"/>
        </w:rPr>
        <w:t>Shigella</w:t>
      </w:r>
      <w:r w:rsidRPr="28429A3C">
        <w:rPr>
          <w:rFonts w:asciiTheme="minorHAnsi" w:eastAsiaTheme="minorEastAsia" w:hAnsiTheme="minorHAnsi" w:cstheme="minorBidi"/>
          <w:color w:val="auto"/>
          <w:sz w:val="22"/>
          <w:szCs w:val="22"/>
        </w:rPr>
        <w:t>, leishmaniasis, malaria, and Klebsiella/AMR pathogens, alongside cross-cutting issues such combination vaccines</w:t>
      </w:r>
      <w:r w:rsidR="00F8010C" w:rsidRPr="28429A3C">
        <w:rPr>
          <w:rFonts w:asciiTheme="minorHAnsi" w:eastAsiaTheme="minorEastAsia" w:hAnsiTheme="minorHAnsi" w:cstheme="minorBidi"/>
          <w:color w:val="auto"/>
          <w:sz w:val="22"/>
          <w:szCs w:val="22"/>
        </w:rPr>
        <w:t>.</w:t>
      </w:r>
    </w:p>
    <w:p w14:paraId="1B885A19" w14:textId="04DD79A8" w:rsidR="00D4624B" w:rsidRPr="00BC33C0" w:rsidRDefault="00D4624B" w:rsidP="001336EB">
      <w:pPr>
        <w:pStyle w:val="Heading2"/>
        <w:rPr>
          <w:lang w:val="en-GB"/>
        </w:rPr>
      </w:pPr>
      <w:r w:rsidRPr="00BC33C0">
        <w:rPr>
          <w:lang w:val="en-GB"/>
        </w:rPr>
        <w:t>Acknowledgements</w:t>
      </w:r>
    </w:p>
    <w:p w14:paraId="52DEBCC8" w14:textId="0F963B29" w:rsidR="00D4624B" w:rsidRPr="00BC33C0" w:rsidRDefault="00D4624B" w:rsidP="00BC33C0">
      <w:pPr>
        <w:jc w:val="both"/>
        <w:rPr>
          <w:sz w:val="22"/>
          <w:szCs w:val="22"/>
          <w:lang w:val="en-GB"/>
        </w:rPr>
      </w:pPr>
      <w:r w:rsidRPr="00BC33C0">
        <w:rPr>
          <w:sz w:val="22"/>
          <w:szCs w:val="22"/>
          <w:lang w:val="en-GB"/>
        </w:rPr>
        <w:t xml:space="preserve">We gratefully acknowledge the PDVAC Members: </w:t>
      </w:r>
      <w:r w:rsidR="00692025">
        <w:rPr>
          <w:sz w:val="22"/>
          <w:szCs w:val="22"/>
          <w:lang w:val="en-GB"/>
        </w:rPr>
        <w:t xml:space="preserve">Ruth Karron, Raman Rao, </w:t>
      </w:r>
      <w:r w:rsidR="00141DBC">
        <w:rPr>
          <w:sz w:val="22"/>
          <w:szCs w:val="22"/>
          <w:lang w:val="en-GB"/>
        </w:rPr>
        <w:t xml:space="preserve">Alejandro Cravioto, Andy Pollard, Faith Osier, Hannah Clapham, </w:t>
      </w:r>
      <w:r w:rsidR="00692025">
        <w:rPr>
          <w:sz w:val="22"/>
          <w:szCs w:val="22"/>
          <w:lang w:val="en-GB"/>
        </w:rPr>
        <w:t>Imran</w:t>
      </w:r>
      <w:r w:rsidR="007742C8">
        <w:rPr>
          <w:sz w:val="22"/>
          <w:szCs w:val="22"/>
          <w:lang w:val="en-GB"/>
        </w:rPr>
        <w:t xml:space="preserve"> Nisar</w:t>
      </w:r>
      <w:r w:rsidR="00692025">
        <w:rPr>
          <w:sz w:val="22"/>
          <w:szCs w:val="22"/>
          <w:lang w:val="en-GB"/>
        </w:rPr>
        <w:t xml:space="preserve">, </w:t>
      </w:r>
      <w:r w:rsidR="007742C8">
        <w:rPr>
          <w:sz w:val="22"/>
          <w:szCs w:val="22"/>
          <w:lang w:val="en-GB"/>
        </w:rPr>
        <w:t xml:space="preserve">Isabell Bekeredjian-Ding, Kamel Senouci, Kate Seib, Marco Cavaleri, Mariagrazia Pizza, Mark Jit, </w:t>
      </w:r>
      <w:r w:rsidR="00417D8D">
        <w:rPr>
          <w:sz w:val="22"/>
          <w:szCs w:val="22"/>
          <w:lang w:val="en-GB"/>
        </w:rPr>
        <w:t>Melanie Saville, Mina Adel, Richard Siggers, Senjuti Saha, Shaowei Li, Thanyawee Puthanakit</w:t>
      </w:r>
      <w:r w:rsidR="00692025">
        <w:rPr>
          <w:sz w:val="22"/>
          <w:szCs w:val="22"/>
          <w:lang w:val="en-GB"/>
        </w:rPr>
        <w:t xml:space="preserve">, </w:t>
      </w:r>
      <w:r w:rsidR="0047505E">
        <w:rPr>
          <w:sz w:val="22"/>
          <w:szCs w:val="22"/>
          <w:lang w:val="en-GB"/>
        </w:rPr>
        <w:t xml:space="preserve">Willem Hanekom, </w:t>
      </w:r>
      <w:r w:rsidR="00416D99">
        <w:rPr>
          <w:sz w:val="22"/>
          <w:szCs w:val="22"/>
          <w:lang w:val="en-GB"/>
        </w:rPr>
        <w:t xml:space="preserve">William Hausdorff, </w:t>
      </w:r>
      <w:r w:rsidR="0099609F">
        <w:rPr>
          <w:sz w:val="22"/>
          <w:szCs w:val="22"/>
          <w:lang w:val="en-GB"/>
        </w:rPr>
        <w:t xml:space="preserve">and ex-officio members KP Asante and Sonali </w:t>
      </w:r>
      <w:r w:rsidR="001336EB">
        <w:rPr>
          <w:sz w:val="22"/>
          <w:szCs w:val="22"/>
          <w:lang w:val="en-GB"/>
        </w:rPr>
        <w:t>Kochhar.</w:t>
      </w:r>
    </w:p>
    <w:p w14:paraId="12C016CE" w14:textId="4015A9EB" w:rsidR="00FE2A9F" w:rsidRDefault="00D4624B" w:rsidP="009E5463">
      <w:pPr>
        <w:jc w:val="both"/>
        <w:rPr>
          <w:sz w:val="22"/>
          <w:szCs w:val="22"/>
          <w:lang w:val="en-GB"/>
        </w:rPr>
      </w:pPr>
      <w:r w:rsidRPr="00BC33C0">
        <w:rPr>
          <w:sz w:val="22"/>
          <w:szCs w:val="22"/>
          <w:lang w:val="en-GB"/>
        </w:rPr>
        <w:t xml:space="preserve">We gratefully thank the following individuals who developed materials for the presentation and/or presented, in some cases acting as a liaison for a wider group within their organization: </w:t>
      </w:r>
      <w:r w:rsidR="009E5463" w:rsidRPr="009E5463">
        <w:rPr>
          <w:sz w:val="22"/>
          <w:szCs w:val="22"/>
          <w:lang w:val="en-GB"/>
        </w:rPr>
        <w:t xml:space="preserve">Ana Ibarz, Annelies Wilder-Smith, Chinwe </w:t>
      </w:r>
      <w:proofErr w:type="spellStart"/>
      <w:r w:rsidR="009E5463" w:rsidRPr="009E5463">
        <w:rPr>
          <w:sz w:val="22"/>
          <w:szCs w:val="22"/>
          <w:lang w:val="en-GB"/>
        </w:rPr>
        <w:t>Iwu-Jaja</w:t>
      </w:r>
      <w:proofErr w:type="spellEnd"/>
      <w:r w:rsidR="009E5463" w:rsidRPr="009E5463">
        <w:rPr>
          <w:sz w:val="22"/>
          <w:szCs w:val="22"/>
          <w:lang w:val="en-GB"/>
        </w:rPr>
        <w:t xml:space="preserve">, Elizabeth Tacket Rogawski McQuade, Eric Houpt, Iona Munjal, James Platts-Mills, Kate O’Brien, Kirsty Le Doare, Lindsey Wu, Maria Elena Botazzi, Marta Tufet, Martina Penzzato, Mateusz Hasso-Agopsowicz, Meru Sheel, Musa </w:t>
      </w:r>
      <w:proofErr w:type="spellStart"/>
      <w:r w:rsidR="009E5463" w:rsidRPr="009E5463">
        <w:rPr>
          <w:sz w:val="22"/>
          <w:szCs w:val="22"/>
          <w:lang w:val="en-GB"/>
        </w:rPr>
        <w:t>Hindiyeh</w:t>
      </w:r>
      <w:proofErr w:type="spellEnd"/>
      <w:r w:rsidR="009E5463" w:rsidRPr="009E5463">
        <w:rPr>
          <w:sz w:val="22"/>
          <w:szCs w:val="22"/>
          <w:lang w:val="en-GB"/>
        </w:rPr>
        <w:t xml:space="preserve">, Nicolas Collin, Olwen Wilson, Patricia Pavlinac, Paul Kaye, Peter Jay Hotez, </w:t>
      </w:r>
      <w:r w:rsidR="009B7DAB">
        <w:rPr>
          <w:sz w:val="22"/>
          <w:szCs w:val="22"/>
          <w:lang w:val="en-GB"/>
        </w:rPr>
        <w:t xml:space="preserve">Philippe Dro, </w:t>
      </w:r>
      <w:r w:rsidR="009E5463" w:rsidRPr="009E5463">
        <w:rPr>
          <w:sz w:val="22"/>
          <w:szCs w:val="22"/>
          <w:lang w:val="en-GB"/>
        </w:rPr>
        <w:t>Pierre Gsell, Rob Kaminski, Sami Gottleib, Saskia Den Boon, Saurabh Jain, Suresh Boppana, Tara Prasad, and</w:t>
      </w:r>
      <w:r w:rsidR="00FE2A9F">
        <w:rPr>
          <w:sz w:val="22"/>
          <w:szCs w:val="22"/>
          <w:lang w:val="en-GB"/>
        </w:rPr>
        <w:t xml:space="preserve"> </w:t>
      </w:r>
      <w:r w:rsidR="009E5463" w:rsidRPr="009E5463">
        <w:rPr>
          <w:sz w:val="22"/>
          <w:szCs w:val="22"/>
          <w:lang w:val="en-GB"/>
        </w:rPr>
        <w:t>Vasee Moorthy.</w:t>
      </w:r>
      <w:r w:rsidR="00FE2A9F">
        <w:rPr>
          <w:sz w:val="22"/>
          <w:szCs w:val="22"/>
          <w:lang w:val="en-GB"/>
        </w:rPr>
        <w:t xml:space="preserve"> </w:t>
      </w:r>
    </w:p>
    <w:p w14:paraId="6E09BE52" w14:textId="27E7C49C" w:rsidR="00D4624B" w:rsidRPr="00BC33C0" w:rsidRDefault="00D4624B" w:rsidP="009E5463">
      <w:pPr>
        <w:jc w:val="both"/>
        <w:rPr>
          <w:sz w:val="22"/>
          <w:szCs w:val="22"/>
          <w:lang w:val="en-GB"/>
        </w:rPr>
      </w:pPr>
      <w:r w:rsidRPr="00BC33C0">
        <w:rPr>
          <w:sz w:val="22"/>
          <w:szCs w:val="22"/>
          <w:lang w:val="en-GB"/>
        </w:rPr>
        <w:t xml:space="preserve">We thank the team at WHO </w:t>
      </w:r>
      <w:proofErr w:type="spellStart"/>
      <w:r w:rsidRPr="00BC33C0">
        <w:rPr>
          <w:sz w:val="22"/>
          <w:szCs w:val="22"/>
          <w:lang w:val="en-GB"/>
        </w:rPr>
        <w:t>who</w:t>
      </w:r>
      <w:proofErr w:type="spellEnd"/>
      <w:r w:rsidRPr="00BC33C0">
        <w:rPr>
          <w:sz w:val="22"/>
          <w:szCs w:val="22"/>
          <w:lang w:val="en-GB"/>
        </w:rPr>
        <w:t xml:space="preserve"> organised the meeting: </w:t>
      </w:r>
      <w:r w:rsidR="00182927">
        <w:rPr>
          <w:sz w:val="22"/>
          <w:szCs w:val="22"/>
          <w:lang w:val="en-GB"/>
        </w:rPr>
        <w:t xml:space="preserve">Erin </w:t>
      </w:r>
      <w:proofErr w:type="spellStart"/>
      <w:r w:rsidR="00182927">
        <w:rPr>
          <w:sz w:val="22"/>
          <w:szCs w:val="22"/>
          <w:lang w:val="en-GB"/>
        </w:rPr>
        <w:t>Sparrow,</w:t>
      </w:r>
      <w:proofErr w:type="spellEnd"/>
      <w:r w:rsidR="00182927">
        <w:rPr>
          <w:sz w:val="22"/>
          <w:szCs w:val="22"/>
          <w:lang w:val="en-GB"/>
        </w:rPr>
        <w:t xml:space="preserve"> Birgitte </w:t>
      </w:r>
      <w:proofErr w:type="spellStart"/>
      <w:r w:rsidR="00182927">
        <w:rPr>
          <w:sz w:val="22"/>
          <w:szCs w:val="22"/>
          <w:lang w:val="en-GB"/>
        </w:rPr>
        <w:t>Giersing</w:t>
      </w:r>
      <w:proofErr w:type="spellEnd"/>
      <w:r w:rsidR="00575A6E">
        <w:rPr>
          <w:sz w:val="22"/>
          <w:szCs w:val="22"/>
          <w:lang w:val="en-GB"/>
        </w:rPr>
        <w:t>, Delphine Renard, Geraldine Griffin,</w:t>
      </w:r>
      <w:r w:rsidR="004927E0">
        <w:rPr>
          <w:sz w:val="22"/>
          <w:szCs w:val="22"/>
          <w:lang w:val="en-GB"/>
        </w:rPr>
        <w:t xml:space="preserve"> and</w:t>
      </w:r>
      <w:r w:rsidR="00575A6E">
        <w:rPr>
          <w:sz w:val="22"/>
          <w:szCs w:val="22"/>
          <w:lang w:val="en-GB"/>
        </w:rPr>
        <w:t xml:space="preserve"> Ruth Embaye</w:t>
      </w:r>
      <w:r w:rsidR="00DC4050">
        <w:rPr>
          <w:sz w:val="22"/>
          <w:szCs w:val="22"/>
          <w:lang w:val="en-GB"/>
        </w:rPr>
        <w:t>, and Olwen Wilson from MMG</w:t>
      </w:r>
      <w:r w:rsidR="00E07782">
        <w:rPr>
          <w:sz w:val="22"/>
          <w:szCs w:val="22"/>
          <w:lang w:val="en-GB"/>
        </w:rPr>
        <w:t>H.</w:t>
      </w:r>
    </w:p>
    <w:p w14:paraId="1BEE01FB" w14:textId="06E7A38D" w:rsidR="00D4624B" w:rsidRDefault="006E218A" w:rsidP="00BC33C0">
      <w:pPr>
        <w:jc w:val="both"/>
        <w:rPr>
          <w:sz w:val="22"/>
          <w:szCs w:val="22"/>
          <w:lang w:val="en-GB"/>
        </w:rPr>
      </w:pPr>
      <w:r>
        <w:rPr>
          <w:sz w:val="22"/>
          <w:szCs w:val="22"/>
          <w:lang w:val="en-GB"/>
        </w:rPr>
        <w:t>Finally,</w:t>
      </w:r>
      <w:r w:rsidR="00D4624B" w:rsidRPr="00BC33C0">
        <w:rPr>
          <w:sz w:val="22"/>
          <w:szCs w:val="22"/>
          <w:lang w:val="en-GB"/>
        </w:rPr>
        <w:t xml:space="preserve"> we thank </w:t>
      </w:r>
      <w:r w:rsidR="004927E0">
        <w:rPr>
          <w:sz w:val="22"/>
          <w:szCs w:val="22"/>
          <w:lang w:val="en-GB"/>
        </w:rPr>
        <w:t>the Gates Foundation</w:t>
      </w:r>
      <w:r>
        <w:rPr>
          <w:sz w:val="22"/>
          <w:szCs w:val="22"/>
          <w:lang w:val="en-GB"/>
        </w:rPr>
        <w:t xml:space="preserve"> for funding the meeting</w:t>
      </w:r>
      <w:r w:rsidR="004927E0">
        <w:rPr>
          <w:sz w:val="22"/>
          <w:szCs w:val="22"/>
          <w:lang w:val="en-GB"/>
        </w:rPr>
        <w:t xml:space="preserve">. </w:t>
      </w:r>
    </w:p>
    <w:p w14:paraId="31C809F3" w14:textId="623289DD" w:rsidR="002D595D" w:rsidRDefault="002D595D">
      <w:pPr>
        <w:rPr>
          <w:sz w:val="22"/>
          <w:szCs w:val="22"/>
          <w:lang w:val="en-GB"/>
        </w:rPr>
      </w:pPr>
      <w:r>
        <w:rPr>
          <w:sz w:val="22"/>
          <w:szCs w:val="22"/>
          <w:lang w:val="en-GB"/>
        </w:rPr>
        <w:br w:type="page"/>
      </w:r>
    </w:p>
    <w:p w14:paraId="47DFD447" w14:textId="7CA390B5" w:rsidR="002D595D" w:rsidRPr="00BC33C0" w:rsidRDefault="002D595D" w:rsidP="002D595D">
      <w:pPr>
        <w:pStyle w:val="Heading2"/>
        <w:rPr>
          <w:lang w:val="en-GB"/>
        </w:rPr>
      </w:pPr>
      <w:r>
        <w:rPr>
          <w:lang w:val="en-GB"/>
        </w:rPr>
        <w:t>References</w:t>
      </w:r>
    </w:p>
    <w:sectPr w:rsidR="002D595D" w:rsidRPr="00BC33C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A992" w14:textId="77777777" w:rsidR="00DF6E93" w:rsidRDefault="00DF6E93" w:rsidP="000318FB">
      <w:pPr>
        <w:spacing w:after="0" w:line="240" w:lineRule="auto"/>
      </w:pPr>
      <w:r>
        <w:separator/>
      </w:r>
    </w:p>
  </w:endnote>
  <w:endnote w:type="continuationSeparator" w:id="0">
    <w:p w14:paraId="1E849184" w14:textId="77777777" w:rsidR="00DF6E93" w:rsidRDefault="00DF6E93" w:rsidP="000318FB">
      <w:pPr>
        <w:spacing w:after="0" w:line="240" w:lineRule="auto"/>
      </w:pPr>
      <w:r>
        <w:continuationSeparator/>
      </w:r>
    </w:p>
  </w:endnote>
  <w:endnote w:id="1">
    <w:p w14:paraId="1A3F75CB" w14:textId="0B12BB2F" w:rsidR="00FB463A" w:rsidRPr="00FB463A" w:rsidRDefault="00FB463A">
      <w:pPr>
        <w:pStyle w:val="EndnoteText"/>
        <w:rPr>
          <w:lang w:val="en-GB"/>
        </w:rPr>
      </w:pPr>
      <w:r>
        <w:rPr>
          <w:rStyle w:val="EndnoteReference"/>
        </w:rPr>
        <w:endnoteRef/>
      </w:r>
      <w:r>
        <w:t xml:space="preserve"> </w:t>
      </w:r>
      <w:hyperlink r:id="rId1" w:history="1">
        <w:r w:rsidRPr="00BA724D">
          <w:rPr>
            <w:rStyle w:val="Hyperlink"/>
          </w:rPr>
          <w:t>https://www.who.int/groups/product-development-for-vaccines-advisory-committee/about</w:t>
        </w:r>
      </w:hyperlink>
      <w:r>
        <w:rPr>
          <w:lang w:val="en-GB"/>
        </w:rPr>
        <w:t xml:space="preserve"> </w:t>
      </w:r>
    </w:p>
  </w:endnote>
  <w:endnote w:id="2">
    <w:p w14:paraId="19FA249E" w14:textId="35E31406" w:rsidR="000318FB" w:rsidRPr="00175136" w:rsidRDefault="000318FB">
      <w:pPr>
        <w:pStyle w:val="EndnoteText"/>
        <w:rPr>
          <w:lang w:val="en-GB"/>
        </w:rPr>
      </w:pPr>
      <w:r>
        <w:rPr>
          <w:rStyle w:val="EndnoteReference"/>
        </w:rPr>
        <w:endnoteRef/>
      </w:r>
      <w:r>
        <w:t xml:space="preserve"> </w:t>
      </w:r>
      <w:hyperlink r:id="rId2" w:history="1">
        <w:r w:rsidR="00175136" w:rsidRPr="00BA724D">
          <w:rPr>
            <w:rStyle w:val="Hyperlink"/>
          </w:rPr>
          <w:t>https://www.who.int/teams/immunization-vaccines-and-biologicals/product-and-delivery-research/ppcs</w:t>
        </w:r>
      </w:hyperlink>
      <w:r w:rsidR="00175136">
        <w:rPr>
          <w:lang w:val="en-GB"/>
        </w:rPr>
        <w:t xml:space="preserve"> </w:t>
      </w:r>
    </w:p>
  </w:endnote>
  <w:endnote w:id="3">
    <w:p w14:paraId="17A9D2B3" w14:textId="29112373" w:rsidR="002D431A" w:rsidRPr="002D431A" w:rsidRDefault="002D431A">
      <w:pPr>
        <w:pStyle w:val="EndnoteText"/>
        <w:rPr>
          <w:lang w:val="en-GB"/>
        </w:rPr>
      </w:pPr>
      <w:r>
        <w:rPr>
          <w:rStyle w:val="EndnoteReference"/>
        </w:rPr>
        <w:endnoteRef/>
      </w:r>
      <w:r>
        <w:t xml:space="preserve"> </w:t>
      </w:r>
      <w:hyperlink r:id="rId3" w:history="1">
        <w:r w:rsidRPr="00BA724D">
          <w:rPr>
            <w:rStyle w:val="Hyperlink"/>
          </w:rPr>
          <w:t>https://www.who.int/teams/immunization-vaccines-and-biologicals/product-and-delivery-research/roadmaps</w:t>
        </w:r>
      </w:hyperlink>
      <w:r>
        <w:rPr>
          <w:lang w:val="en-GB"/>
        </w:rPr>
        <w:t xml:space="preserve"> </w:t>
      </w:r>
    </w:p>
  </w:endnote>
  <w:endnote w:id="4">
    <w:p w14:paraId="0CEDFFE0" w14:textId="64AB7905" w:rsidR="00175136" w:rsidRPr="00175136" w:rsidRDefault="00175136">
      <w:pPr>
        <w:pStyle w:val="EndnoteText"/>
        <w:rPr>
          <w:lang w:val="en-GB"/>
        </w:rPr>
      </w:pPr>
      <w:r>
        <w:rPr>
          <w:rStyle w:val="EndnoteReference"/>
        </w:rPr>
        <w:endnoteRef/>
      </w:r>
      <w:r>
        <w:t xml:space="preserve"> </w:t>
      </w:r>
      <w:hyperlink r:id="rId4" w:history="1">
        <w:r w:rsidRPr="00BA724D">
          <w:rPr>
            <w:rStyle w:val="Hyperlink"/>
          </w:rPr>
          <w:t>https://www.who.int/teams/immunization-vaccines-and-biologicals/product-and-delivery-research/full-vaccine-value-assessments</w:t>
        </w:r>
      </w:hyperlink>
      <w:r>
        <w:rPr>
          <w:lang w:val="en-GB"/>
        </w:rPr>
        <w:t xml:space="preserve"> </w:t>
      </w:r>
    </w:p>
  </w:endnote>
  <w:endnote w:id="5">
    <w:p w14:paraId="1E125D45" w14:textId="0D946165" w:rsidR="00F40627" w:rsidRPr="00F40627" w:rsidRDefault="00F40627">
      <w:pPr>
        <w:pStyle w:val="EndnoteText"/>
        <w:rPr>
          <w:lang w:val="en-GB"/>
        </w:rPr>
      </w:pPr>
      <w:r>
        <w:rPr>
          <w:rStyle w:val="EndnoteReference"/>
        </w:rPr>
        <w:endnoteRef/>
      </w:r>
      <w:r>
        <w:t xml:space="preserve"> </w:t>
      </w:r>
      <w:hyperlink r:id="rId5" w:history="1">
        <w:r w:rsidRPr="00BA724D">
          <w:rPr>
            <w:rStyle w:val="Hyperlink"/>
          </w:rPr>
          <w:t>https://www.who.int/groups/product-development-for-vaccines-advisory-committee/meetings</w:t>
        </w:r>
      </w:hyperlink>
      <w:r>
        <w:rPr>
          <w:lang w:val="en-GB"/>
        </w:rPr>
        <w:t xml:space="preserve"> </w:t>
      </w:r>
    </w:p>
  </w:endnote>
  <w:endnote w:id="6">
    <w:p w14:paraId="05255A96" w14:textId="36BA5058" w:rsidR="00490660" w:rsidRPr="00490660" w:rsidRDefault="00490660">
      <w:pPr>
        <w:pStyle w:val="EndnoteText"/>
      </w:pPr>
      <w:r>
        <w:rPr>
          <w:rStyle w:val="EndnoteReference"/>
        </w:rPr>
        <w:endnoteRef/>
      </w:r>
      <w:r>
        <w:t xml:space="preserve"> </w:t>
      </w:r>
      <w:hyperlink r:id="rId6" w:history="1">
        <w:r w:rsidRPr="00490660">
          <w:rPr>
            <w:rStyle w:val="Hyperlink"/>
          </w:rPr>
          <w:t xml:space="preserve">Identifying WHO global priority endemic pathogens for vaccine research and development (R&amp;D) using multi-criteria decision analysis (MCDA): an objective of the Immunization Agenda 2030 - </w:t>
        </w:r>
        <w:proofErr w:type="spellStart"/>
        <w:r w:rsidRPr="00490660">
          <w:rPr>
            <w:rStyle w:val="Hyperlink"/>
          </w:rPr>
          <w:t>eBioMedicine</w:t>
        </w:r>
        <w:proofErr w:type="spellEnd"/>
      </w:hyperlink>
      <w:r w:rsidRPr="00490660">
        <w:t xml:space="preserve"> </w:t>
      </w:r>
    </w:p>
  </w:endnote>
  <w:endnote w:id="7">
    <w:p w14:paraId="00711AD3" w14:textId="579F1C39" w:rsidR="00321BD0" w:rsidRPr="00321BD0" w:rsidRDefault="00321BD0">
      <w:pPr>
        <w:pStyle w:val="EndnoteText"/>
      </w:pPr>
      <w:r>
        <w:rPr>
          <w:rStyle w:val="EndnoteReference"/>
        </w:rPr>
        <w:endnoteRef/>
      </w:r>
      <w:r>
        <w:t xml:space="preserve"> </w:t>
      </w:r>
      <w:hyperlink r:id="rId7" w:history="1">
        <w:r w:rsidRPr="00321BD0">
          <w:rPr>
            <w:rStyle w:val="Hyperlink"/>
          </w:rPr>
          <w:t>BLS20116_IA_Global_strategy_document_SP_7_002.pdf</w:t>
        </w:r>
      </w:hyperlink>
    </w:p>
  </w:endnote>
  <w:endnote w:id="8">
    <w:p w14:paraId="478D8AF5" w14:textId="3F351690" w:rsidR="00C32477" w:rsidRPr="00C32477" w:rsidRDefault="00C32477">
      <w:pPr>
        <w:pStyle w:val="EndnoteText"/>
        <w:rPr>
          <w:lang w:val="en-GB"/>
        </w:rPr>
      </w:pPr>
      <w:r>
        <w:rPr>
          <w:rStyle w:val="EndnoteReference"/>
        </w:rPr>
        <w:endnoteRef/>
      </w:r>
      <w:r>
        <w:t xml:space="preserve"> </w:t>
      </w:r>
      <w:hyperlink r:id="rId8" w:history="1">
        <w:r w:rsidRPr="004F2546">
          <w:rPr>
            <w:rStyle w:val="Hyperlink"/>
          </w:rPr>
          <w:t>https://www.who.int/news/item/24-04-2025-increases-in-vaccine-preventable-disease-outbreaks-threaten-years-of-progress--warn-who--unicef--gavi</w:t>
        </w:r>
      </w:hyperlink>
      <w:r>
        <w:rPr>
          <w:lang w:val="en-GB"/>
        </w:rPr>
        <w:t xml:space="preserve"> </w:t>
      </w:r>
    </w:p>
  </w:endnote>
  <w:endnote w:id="9">
    <w:p w14:paraId="4AE544FE" w14:textId="503EDBCC" w:rsidR="004246AD" w:rsidRPr="004246AD" w:rsidRDefault="004246AD">
      <w:pPr>
        <w:pStyle w:val="EndnoteText"/>
        <w:rPr>
          <w:lang w:val="en-GB"/>
        </w:rPr>
      </w:pPr>
      <w:r>
        <w:rPr>
          <w:rStyle w:val="EndnoteReference"/>
        </w:rPr>
        <w:endnoteRef/>
      </w:r>
      <w:r>
        <w:t xml:space="preserve"> </w:t>
      </w:r>
      <w:hyperlink r:id="rId9" w:history="1">
        <w:r w:rsidRPr="004F2546">
          <w:rPr>
            <w:rStyle w:val="Hyperlink"/>
          </w:rPr>
          <w:t>https://www.who.int/news-room/speeches/item/who-director-general-s-opening-remarks-at-the-member-state-briefing-on-the-prioritization-and-realignment-process---19-november-2025</w:t>
        </w:r>
      </w:hyperlink>
      <w:r>
        <w:rPr>
          <w:lang w:val="en-GB"/>
        </w:rPr>
        <w:t xml:space="preserve"> </w:t>
      </w:r>
    </w:p>
  </w:endnote>
  <w:endnote w:id="10">
    <w:p w14:paraId="471D377F" w14:textId="3FDAA2DD" w:rsidR="0099728E" w:rsidRPr="00C6337F" w:rsidRDefault="0099728E">
      <w:pPr>
        <w:pStyle w:val="EndnoteText"/>
        <w:rPr>
          <w:lang w:val="en-GB"/>
        </w:rPr>
      </w:pPr>
      <w:r>
        <w:rPr>
          <w:rStyle w:val="EndnoteReference"/>
        </w:rPr>
        <w:endnoteRef/>
      </w:r>
      <w:r>
        <w:t xml:space="preserve"> </w:t>
      </w:r>
      <w:hyperlink r:id="rId10" w:history="1">
        <w:r w:rsidR="00C6337F" w:rsidRPr="004F2546">
          <w:rPr>
            <w:rStyle w:val="Hyperlink"/>
          </w:rPr>
          <w:t>https://healthpolicy-watch.news/gavi-cuts-staff-and-support-to-who-and-unicef-gives-more-freedom-to-countries-to-decide-vaccine-priorities/</w:t>
        </w:r>
      </w:hyperlink>
      <w:r w:rsidR="00C6337F">
        <w:rPr>
          <w:lang w:val="en-GB"/>
        </w:rPr>
        <w:t xml:space="preserve"> </w:t>
      </w:r>
    </w:p>
  </w:endnote>
  <w:endnote w:id="11">
    <w:p w14:paraId="61765A11" w14:textId="77777777" w:rsidR="000D5101" w:rsidRPr="003311AA" w:rsidRDefault="000D5101" w:rsidP="000D5101">
      <w:pPr>
        <w:pStyle w:val="EndnoteText"/>
        <w:rPr>
          <w:lang w:val="en-GB"/>
        </w:rPr>
      </w:pPr>
      <w:r>
        <w:rPr>
          <w:rStyle w:val="EndnoteReference"/>
        </w:rPr>
        <w:endnoteRef/>
      </w:r>
      <w:r>
        <w:t xml:space="preserve"> </w:t>
      </w:r>
      <w:r w:rsidRPr="003311AA">
        <w:t>World Health Organization (2021). WHO preferred product characteristics for vaccines against Shigella. World Health Organization. </w:t>
      </w:r>
      <w:hyperlink r:id="rId11" w:history="1">
        <w:r w:rsidRPr="003311AA">
          <w:rPr>
            <w:rStyle w:val="Hyperlink"/>
          </w:rPr>
          <w:t>https://iris.who.int/handle/10665/349841</w:t>
        </w:r>
      </w:hyperlink>
      <w:r w:rsidRPr="003311AA">
        <w:t>. License: CC BY-NC-SA 3.0 IGO</w:t>
      </w:r>
      <w:r>
        <w:rPr>
          <w:lang w:val="en-GB"/>
        </w:rPr>
        <w:t xml:space="preserve"> </w:t>
      </w:r>
    </w:p>
  </w:endnote>
  <w:endnote w:id="12">
    <w:p w14:paraId="25853384" w14:textId="77777777" w:rsidR="0046020E" w:rsidRPr="00F4730B" w:rsidRDefault="0046020E" w:rsidP="0046020E">
      <w:pPr>
        <w:pStyle w:val="EndnoteText"/>
        <w:rPr>
          <w:lang w:val="en-GB"/>
        </w:rPr>
      </w:pPr>
      <w:r>
        <w:rPr>
          <w:rStyle w:val="EndnoteReference"/>
        </w:rPr>
        <w:endnoteRef/>
      </w:r>
      <w:r>
        <w:t xml:space="preserve"> </w:t>
      </w:r>
      <w:r w:rsidRPr="00F4730B">
        <w:t>World Health Organization (2024). Guidance for best practices for clinical trials. World Health Organization. </w:t>
      </w:r>
      <w:hyperlink r:id="rId12" w:history="1">
        <w:r w:rsidRPr="00F4730B">
          <w:rPr>
            <w:rStyle w:val="Hyperlink"/>
          </w:rPr>
          <w:t>https://iris.who.int/handle/10665/378782</w:t>
        </w:r>
      </w:hyperlink>
      <w:r w:rsidRPr="00F4730B">
        <w:t>. License: CC BY-NC-SA 3.0 IGO</w:t>
      </w:r>
    </w:p>
  </w:endnote>
  <w:endnote w:id="13">
    <w:p w14:paraId="02160761" w14:textId="77777777" w:rsidR="0046020E" w:rsidRPr="00AA2C23" w:rsidRDefault="0046020E" w:rsidP="0046020E">
      <w:pPr>
        <w:pStyle w:val="EndnoteText"/>
        <w:rPr>
          <w:lang w:val="en-GB"/>
        </w:rPr>
      </w:pPr>
      <w:r>
        <w:rPr>
          <w:rStyle w:val="EndnoteReference"/>
        </w:rPr>
        <w:endnoteRef/>
      </w:r>
      <w:r>
        <w:t xml:space="preserve"> </w:t>
      </w:r>
      <w:hyperlink r:id="rId13" w:history="1">
        <w:r w:rsidRPr="004F2546">
          <w:rPr>
            <w:rStyle w:val="Hyperlink"/>
          </w:rPr>
          <w:t>https://www.ema.europa.eu/en/ich-e21-guideline-inclusion-pregnant-breastfeeding-individuals-clinical-trials-scientific-guideline</w:t>
        </w:r>
      </w:hyperlink>
      <w:r>
        <w:rPr>
          <w:lang w:val="en-GB"/>
        </w:rPr>
        <w:t xml:space="preserve"> </w:t>
      </w:r>
    </w:p>
  </w:endnote>
  <w:endnote w:id="14">
    <w:p w14:paraId="2225BF19" w14:textId="77777777" w:rsidR="0046020E" w:rsidRPr="00577E08" w:rsidRDefault="0046020E" w:rsidP="0046020E">
      <w:pPr>
        <w:pStyle w:val="EndnoteText"/>
        <w:rPr>
          <w:lang w:val="en-GB"/>
        </w:rPr>
      </w:pPr>
      <w:r>
        <w:rPr>
          <w:rStyle w:val="EndnoteReference"/>
        </w:rPr>
        <w:endnoteRef/>
      </w:r>
      <w:r>
        <w:t xml:space="preserve"> </w:t>
      </w:r>
      <w:hyperlink r:id="rId14" w:history="1">
        <w:r w:rsidRPr="004F2546">
          <w:rPr>
            <w:rStyle w:val="Hyperlink"/>
          </w:rPr>
          <w:t>https://speacsafety.net/</w:t>
        </w:r>
      </w:hyperlink>
      <w:r>
        <w:rPr>
          <w:lang w:val="en-GB"/>
        </w:rPr>
        <w:t xml:space="preserve"> </w:t>
      </w:r>
    </w:p>
  </w:endnote>
  <w:endnote w:id="15">
    <w:p w14:paraId="46A2D5A2" w14:textId="77777777" w:rsidR="00D616C9" w:rsidRPr="005C0881" w:rsidRDefault="00D616C9" w:rsidP="00D616C9">
      <w:pPr>
        <w:pStyle w:val="EndnoteText"/>
        <w:rPr>
          <w:lang w:val="en-GB"/>
        </w:rPr>
      </w:pPr>
      <w:r>
        <w:rPr>
          <w:rStyle w:val="EndnoteReference"/>
        </w:rPr>
        <w:endnoteRef/>
      </w:r>
      <w:r>
        <w:t xml:space="preserve"> </w:t>
      </w:r>
      <w:proofErr w:type="spellStart"/>
      <w:r w:rsidRPr="005C0881">
        <w:t>Adigweme</w:t>
      </w:r>
      <w:proofErr w:type="spellEnd"/>
      <w:r w:rsidRPr="005C0881">
        <w:t xml:space="preserve"> I, Yisa M, Ooko M, </w:t>
      </w:r>
      <w:proofErr w:type="spellStart"/>
      <w:r w:rsidRPr="005C0881">
        <w:t>Akpalu</w:t>
      </w:r>
      <w:proofErr w:type="spellEnd"/>
      <w:r w:rsidRPr="005C0881">
        <w:t xml:space="preserve"> E, Bruce A, Donkor S, </w:t>
      </w:r>
      <w:proofErr w:type="spellStart"/>
      <w:r w:rsidRPr="005C0881">
        <w:t>Jarju</w:t>
      </w:r>
      <w:proofErr w:type="spellEnd"/>
      <w:r w:rsidRPr="005C0881">
        <w:t xml:space="preserve"> LB, Danso B, Mendy A, Jeffries D, </w:t>
      </w:r>
      <w:proofErr w:type="spellStart"/>
      <w:r w:rsidRPr="005C0881">
        <w:t>Segonds</w:t>
      </w:r>
      <w:proofErr w:type="spellEnd"/>
      <w:r w:rsidRPr="005C0881">
        <w:t xml:space="preserve">-Pichon A, Njie A, Crooke S, El-Badry E, Johnstone H, Royals M, Goodson JL, </w:t>
      </w:r>
      <w:proofErr w:type="spellStart"/>
      <w:r w:rsidRPr="005C0881">
        <w:t>Prausnitz</w:t>
      </w:r>
      <w:proofErr w:type="spellEnd"/>
      <w:r w:rsidRPr="005C0881">
        <w:t xml:space="preserve"> MR, McAllister DV, Rota PA, Henry S, Clarke E. A measles and rubella vaccine microneedle patch in The Gambia: a phase 1/2, double-blind, double-dummy, </w:t>
      </w:r>
      <w:proofErr w:type="spellStart"/>
      <w:r w:rsidRPr="005C0881">
        <w:t>randomised</w:t>
      </w:r>
      <w:proofErr w:type="spellEnd"/>
      <w:r w:rsidRPr="005C0881">
        <w:t xml:space="preserve">, active-controlled, age de-escalation trial. Lancet. 2024 May 11;403(10439):1879-1892. </w:t>
      </w:r>
      <w:proofErr w:type="spellStart"/>
      <w:r w:rsidRPr="005C0881">
        <w:t>doi</w:t>
      </w:r>
      <w:proofErr w:type="spellEnd"/>
      <w:r w:rsidRPr="005C0881">
        <w:t xml:space="preserve">: 10.1016/S0140-6736(24)00532-4. </w:t>
      </w:r>
    </w:p>
  </w:endnote>
  <w:endnote w:id="16">
    <w:p w14:paraId="225E4486" w14:textId="77777777" w:rsidR="00DF1F41" w:rsidRPr="00367FF3" w:rsidRDefault="00DF1F41" w:rsidP="00DF1F41">
      <w:pPr>
        <w:pStyle w:val="EndnoteText"/>
        <w:rPr>
          <w:lang w:val="en-GB"/>
        </w:rPr>
      </w:pPr>
      <w:r>
        <w:rPr>
          <w:rStyle w:val="EndnoteReference"/>
        </w:rPr>
        <w:endnoteRef/>
      </w:r>
      <w:r>
        <w:t xml:space="preserve"> </w:t>
      </w:r>
      <w:hyperlink r:id="rId15" w:history="1">
        <w:r w:rsidRPr="004F2546">
          <w:rPr>
            <w:rStyle w:val="Hyperlink"/>
          </w:rPr>
          <w:t>https://www.who.int/initiatives/mrna-technology-transfer-(mrna-tt)-programme</w:t>
        </w:r>
      </w:hyperlink>
      <w:r>
        <w:rPr>
          <w:lang w:val="en-GB"/>
        </w:rPr>
        <w:t xml:space="preserve"> </w:t>
      </w:r>
    </w:p>
  </w:endnote>
  <w:endnote w:id="17">
    <w:p w14:paraId="4A317CD4" w14:textId="699114F3" w:rsidR="009E6B37" w:rsidRPr="00AA7A09" w:rsidRDefault="009E6B37">
      <w:pPr>
        <w:pStyle w:val="EndnoteText"/>
        <w:rPr>
          <w:lang w:val="it-CH"/>
        </w:rPr>
      </w:pPr>
      <w:r>
        <w:rPr>
          <w:rStyle w:val="EndnoteReference"/>
        </w:rPr>
        <w:endnoteRef/>
      </w:r>
      <w:r>
        <w:t xml:space="preserve"> </w:t>
      </w:r>
      <w:r w:rsidRPr="009E6B37">
        <w:t xml:space="preserve">Hasso-Agopsowicz M, Hwang A, Hollm-Delgado MG, Umbelino-Walker I, Karron RA, Rao R, Asante KP, Sheel M, Sparrow E, </w:t>
      </w:r>
      <w:proofErr w:type="spellStart"/>
      <w:r w:rsidRPr="009E6B37">
        <w:t>Giersing</w:t>
      </w:r>
      <w:proofErr w:type="spellEnd"/>
      <w:r w:rsidRPr="009E6B37">
        <w:t xml:space="preserve"> B. Identifying WHO global priority endemic pathogens for vaccine research and development (R&amp;D) using multi-criteria decision analysis (MCDA): an objective of the Immunization Agenda 2030. </w:t>
      </w:r>
      <w:r w:rsidRPr="00AA7A09">
        <w:rPr>
          <w:lang w:val="it-CH"/>
        </w:rPr>
        <w:t xml:space="preserve">EBioMedicine. 2024 Dec;110:105424. </w:t>
      </w:r>
      <w:r w:rsidR="000678CE">
        <w:fldChar w:fldCharType="begin"/>
      </w:r>
      <w:r w:rsidR="000678CE">
        <w:instrText>HYPERLINK "https://doi.org/10.1016/j.ebiom.2024.105424"</w:instrText>
      </w:r>
      <w:r w:rsidR="000678CE">
        <w:fldChar w:fldCharType="separate"/>
      </w:r>
      <w:r w:rsidR="000678CE" w:rsidRPr="00AA7A09">
        <w:rPr>
          <w:rStyle w:val="Hyperlink"/>
          <w:lang w:val="it-CH"/>
        </w:rPr>
        <w:t>https:doi.org/</w:t>
      </w:r>
      <w:r w:rsidRPr="00AA7A09">
        <w:rPr>
          <w:rStyle w:val="Hyperlink"/>
          <w:lang w:val="it-CH"/>
        </w:rPr>
        <w:t>10.1016/j.ebiom.2024.105424</w:t>
      </w:r>
      <w:r w:rsidR="000678CE">
        <w:fldChar w:fldCharType="end"/>
      </w:r>
    </w:p>
  </w:endnote>
  <w:endnote w:id="18">
    <w:p w14:paraId="72BF4DEA" w14:textId="0AD7CB9E" w:rsidR="003A0050" w:rsidRPr="00AA7A09" w:rsidRDefault="003A0050">
      <w:pPr>
        <w:pStyle w:val="EndnoteText"/>
        <w:rPr>
          <w:lang w:val="it-CH"/>
        </w:rPr>
      </w:pPr>
      <w:r>
        <w:rPr>
          <w:rStyle w:val="EndnoteReference"/>
        </w:rPr>
        <w:endnoteRef/>
      </w:r>
      <w:r w:rsidRPr="00AA7A09">
        <w:rPr>
          <w:lang w:val="it-CH"/>
        </w:rPr>
        <w:t xml:space="preserve"> </w:t>
      </w:r>
      <w:hyperlink r:id="rId16" w:history="1">
        <w:r w:rsidRPr="00AA7A09">
          <w:rPr>
            <w:rStyle w:val="Hyperlink"/>
            <w:lang w:val="it-CH"/>
          </w:rPr>
          <w:t>https://www.who.int/groups/product-development-for-vaccines-advisory-committee/meetings</w:t>
        </w:r>
      </w:hyperlink>
      <w:r w:rsidRPr="00AA7A09">
        <w:rPr>
          <w:lang w:val="it-CH"/>
        </w:rPr>
        <w:t xml:space="preserve"> </w:t>
      </w:r>
    </w:p>
  </w:endnote>
  <w:endnote w:id="19">
    <w:p w14:paraId="66BCF054" w14:textId="77777777" w:rsidR="00DC1874" w:rsidRPr="00AA7A09" w:rsidRDefault="00DC1874" w:rsidP="00DC1874">
      <w:pPr>
        <w:pStyle w:val="EndnoteText"/>
        <w:rPr>
          <w:lang w:val="it-CH"/>
        </w:rPr>
      </w:pPr>
      <w:r>
        <w:rPr>
          <w:rStyle w:val="EndnoteReference"/>
        </w:rPr>
        <w:endnoteRef/>
      </w:r>
      <w:r w:rsidRPr="00AA7A09">
        <w:rPr>
          <w:lang w:val="it-CH"/>
        </w:rPr>
        <w:t xml:space="preserve"> </w:t>
      </w:r>
      <w:hyperlink r:id="rId17" w:history="1">
        <w:r w:rsidRPr="00AA7A09">
          <w:rPr>
            <w:rStyle w:val="Hyperlink"/>
            <w:lang w:val="it-CH"/>
          </w:rPr>
          <w:t>https://feeds.issuerdirect.com/news-release.html?newsid=4899326521164266&amp;symbol=MRNA</w:t>
        </w:r>
      </w:hyperlink>
      <w:r w:rsidRPr="00AA7A09">
        <w:rPr>
          <w:lang w:val="it-CH"/>
        </w:rPr>
        <w:t xml:space="preserve"> </w:t>
      </w:r>
    </w:p>
  </w:endnote>
  <w:endnote w:id="20">
    <w:p w14:paraId="5F76D38C" w14:textId="77777777" w:rsidR="00DC1874" w:rsidRPr="00AA7A09" w:rsidRDefault="00DC1874" w:rsidP="00DC1874">
      <w:pPr>
        <w:pStyle w:val="EndnoteText"/>
        <w:rPr>
          <w:lang w:val="it-CH"/>
        </w:rPr>
      </w:pPr>
      <w:r>
        <w:rPr>
          <w:rStyle w:val="EndnoteReference"/>
        </w:rPr>
        <w:endnoteRef/>
      </w:r>
      <w:r w:rsidRPr="00AA7A09">
        <w:rPr>
          <w:lang w:val="it-CH"/>
        </w:rPr>
        <w:t xml:space="preserve"> </w:t>
      </w:r>
      <w:hyperlink r:id="rId18" w:history="1">
        <w:r w:rsidRPr="00AA7A09">
          <w:rPr>
            <w:rStyle w:val="Hyperlink"/>
            <w:lang w:val="it-CH"/>
          </w:rPr>
          <w:t>https://cdn.who.int/media/docs/default-source/consultation-rdb/3_dev_pfizer_who_-h5n1-19-march-2025.pdf?sfvrsn=5ab94b8d_3</w:t>
        </w:r>
      </w:hyperlink>
      <w:r w:rsidRPr="00AA7A09">
        <w:rPr>
          <w:lang w:val="it-CH"/>
        </w:rPr>
        <w:t xml:space="preserve"> </w:t>
      </w:r>
    </w:p>
  </w:endnote>
  <w:endnote w:id="21">
    <w:p w14:paraId="441296D5" w14:textId="2AD8BDE8" w:rsidR="009C4545" w:rsidRPr="009C4545" w:rsidRDefault="009C4545">
      <w:pPr>
        <w:pStyle w:val="EndnoteText"/>
        <w:rPr>
          <w:lang w:val="en-GB"/>
        </w:rPr>
      </w:pPr>
      <w:r>
        <w:rPr>
          <w:rStyle w:val="EndnoteReference"/>
        </w:rPr>
        <w:endnoteRef/>
      </w:r>
      <w:r>
        <w:t xml:space="preserve"> </w:t>
      </w:r>
      <w:r w:rsidRPr="009C4545">
        <w:t>World Health Organization (2025). WHO preferred product characteristics for next generation influenza vaccines, 2nd ed. World Health Organization. </w:t>
      </w:r>
      <w:hyperlink r:id="rId19" w:history="1">
        <w:r w:rsidRPr="009C4545">
          <w:rPr>
            <w:rStyle w:val="Hyperlink"/>
          </w:rPr>
          <w:t>https://iris.who.int/handle/10665/384073</w:t>
        </w:r>
      </w:hyperlink>
      <w:r w:rsidRPr="009C4545">
        <w:t>. License: CC BY-NC-SA 3.0 IGO</w:t>
      </w:r>
    </w:p>
  </w:endnote>
  <w:endnote w:id="22">
    <w:p w14:paraId="761F26EA" w14:textId="77777777" w:rsidR="00A923B6" w:rsidRPr="00867513" w:rsidRDefault="00A923B6" w:rsidP="00A923B6">
      <w:pPr>
        <w:pStyle w:val="EndnoteText"/>
        <w:rPr>
          <w:lang w:val="en-GB"/>
        </w:rPr>
      </w:pPr>
      <w:r>
        <w:rPr>
          <w:rStyle w:val="EndnoteReference"/>
        </w:rPr>
        <w:endnoteRef/>
      </w:r>
      <w:r>
        <w:t xml:space="preserve"> </w:t>
      </w:r>
      <w:r w:rsidRPr="003722DB">
        <w:t xml:space="preserve">Fitz-Patrick D, </w:t>
      </w:r>
      <w:proofErr w:type="spellStart"/>
      <w:r w:rsidRPr="003722DB">
        <w:t>McVinnie</w:t>
      </w:r>
      <w:proofErr w:type="spellEnd"/>
      <w:r w:rsidRPr="003722DB">
        <w:t xml:space="preserve"> DS, Jackson LA, Crowther G, Geevarughese A, Cannon KD, et al. Efficacy, immunogenicity, and safety of modified mRNA influenza vaccine. N Engl J Med. 2025;393:2001–11. doi:10.1056/NEJMoa2416779.</w:t>
      </w:r>
    </w:p>
  </w:endnote>
  <w:endnote w:id="23">
    <w:p w14:paraId="37303221" w14:textId="02D5730C" w:rsidR="007908C2" w:rsidRPr="007908C2" w:rsidRDefault="007908C2">
      <w:pPr>
        <w:pStyle w:val="EndnoteText"/>
        <w:rPr>
          <w:lang w:val="en-GB"/>
        </w:rPr>
      </w:pPr>
      <w:r>
        <w:rPr>
          <w:rStyle w:val="EndnoteReference"/>
        </w:rPr>
        <w:endnoteRef/>
      </w:r>
      <w:r>
        <w:t xml:space="preserve"> </w:t>
      </w:r>
      <w:hyperlink r:id="rId20" w:history="1">
        <w:r w:rsidRPr="004F2546">
          <w:rPr>
            <w:rStyle w:val="Hyperlink"/>
          </w:rPr>
          <w:t>https://trialsearch.who.int/Trial2.aspx?TrialID=NCT04871113</w:t>
        </w:r>
      </w:hyperlink>
      <w:r>
        <w:rPr>
          <w:lang w:val="en-GB"/>
        </w:rPr>
        <w:t xml:space="preserve"> </w:t>
      </w:r>
    </w:p>
  </w:endnote>
  <w:endnote w:id="24">
    <w:p w14:paraId="272B2F33" w14:textId="432D6B0F" w:rsidR="00795066" w:rsidRPr="00795066" w:rsidRDefault="00795066">
      <w:pPr>
        <w:pStyle w:val="EndnoteText"/>
        <w:rPr>
          <w:lang w:val="en-GB"/>
        </w:rPr>
      </w:pPr>
      <w:r>
        <w:rPr>
          <w:rStyle w:val="EndnoteReference"/>
        </w:rPr>
        <w:endnoteRef/>
      </w:r>
      <w:r>
        <w:t xml:space="preserve"> </w:t>
      </w:r>
      <w:hyperlink r:id="rId21" w:history="1">
        <w:r w:rsidRPr="004F2546">
          <w:rPr>
            <w:rStyle w:val="Hyperlink"/>
          </w:rPr>
          <w:t>https://trialsearch.who.int/Trial2.aspx?TrialID=PACTR202112683307570</w:t>
        </w:r>
      </w:hyperlink>
      <w:r>
        <w:rPr>
          <w:lang w:val="en-GB"/>
        </w:rPr>
        <w:t xml:space="preserve"> </w:t>
      </w:r>
    </w:p>
  </w:endnote>
  <w:endnote w:id="25">
    <w:p w14:paraId="502F21F5" w14:textId="6A3F0758" w:rsidR="00E650DF" w:rsidRPr="00E650DF" w:rsidRDefault="00E650DF">
      <w:pPr>
        <w:pStyle w:val="EndnoteText"/>
        <w:rPr>
          <w:lang w:val="en-GB"/>
        </w:rPr>
      </w:pPr>
      <w:r>
        <w:rPr>
          <w:rStyle w:val="EndnoteReference"/>
        </w:rPr>
        <w:endnoteRef/>
      </w:r>
      <w:r>
        <w:t xml:space="preserve"> </w:t>
      </w:r>
      <w:hyperlink r:id="rId22" w:history="1">
        <w:r w:rsidRPr="004F2546">
          <w:rPr>
            <w:rStyle w:val="Hyperlink"/>
          </w:rPr>
          <w:t>https://unitaid.org/news-blog/lenacapavir-for-hiv-prevention/</w:t>
        </w:r>
      </w:hyperlink>
      <w:r>
        <w:rPr>
          <w:lang w:val="en-GB"/>
        </w:rPr>
        <w:t xml:space="preserve"> </w:t>
      </w:r>
    </w:p>
  </w:endnote>
  <w:endnote w:id="26">
    <w:p w14:paraId="187D63BD" w14:textId="77777777" w:rsidR="009A01C0" w:rsidRPr="008861A7" w:rsidRDefault="009A01C0" w:rsidP="009A01C0">
      <w:pPr>
        <w:pStyle w:val="EndnoteText"/>
        <w:rPr>
          <w:lang w:val="en-GB"/>
        </w:rPr>
      </w:pPr>
      <w:r>
        <w:rPr>
          <w:rStyle w:val="EndnoteReference"/>
        </w:rPr>
        <w:endnoteRef/>
      </w:r>
      <w:r>
        <w:t xml:space="preserve"> </w:t>
      </w:r>
      <w:hyperlink r:id="rId23" w:history="1">
        <w:r w:rsidRPr="004F2546">
          <w:rPr>
            <w:rStyle w:val="Hyperlink"/>
          </w:rPr>
          <w:t>https://www.who.int/news/item/19-03-2025-who-prequalifies-first-maternal-respiratory-syncytial-virus-vaccine</w:t>
        </w:r>
      </w:hyperlink>
      <w:r>
        <w:rPr>
          <w:lang w:val="en-GB"/>
        </w:rPr>
        <w:t xml:space="preserve"> </w:t>
      </w:r>
    </w:p>
  </w:endnote>
  <w:endnote w:id="27">
    <w:p w14:paraId="55163FA3" w14:textId="31ADE394" w:rsidR="00D077D0" w:rsidRPr="00D077D0" w:rsidRDefault="00D077D0">
      <w:pPr>
        <w:pStyle w:val="EndnoteText"/>
        <w:rPr>
          <w:lang w:val="en-GB"/>
        </w:rPr>
      </w:pPr>
      <w:r>
        <w:rPr>
          <w:rStyle w:val="EndnoteReference"/>
        </w:rPr>
        <w:endnoteRef/>
      </w:r>
      <w:r>
        <w:t xml:space="preserve"> </w:t>
      </w:r>
      <w:r w:rsidRPr="00D077D0">
        <w:t>World Health Organization (2025). WHO position paper on immunization to protect infants against respiratory syncytial virus disease, May 2025. </w:t>
      </w:r>
      <w:r w:rsidRPr="00D077D0">
        <w:rPr>
          <w:b/>
          <w:bCs/>
        </w:rPr>
        <w:t>Weekly Epidemiological Record</w:t>
      </w:r>
      <w:r w:rsidRPr="00D077D0">
        <w:t>, </w:t>
      </w:r>
      <w:r w:rsidRPr="00D077D0">
        <w:rPr>
          <w:b/>
          <w:bCs/>
        </w:rPr>
        <w:t>100</w:t>
      </w:r>
      <w:r w:rsidRPr="00D077D0">
        <w:t>(22), 193 - 217. World Health Organization. </w:t>
      </w:r>
      <w:hyperlink r:id="rId24" w:history="1">
        <w:r w:rsidRPr="00D077D0">
          <w:rPr>
            <w:rStyle w:val="Hyperlink"/>
          </w:rPr>
          <w:t>https://iris.who.int/handle/10665/381540</w:t>
        </w:r>
      </w:hyperlink>
    </w:p>
  </w:endnote>
  <w:endnote w:id="28">
    <w:p w14:paraId="63C29777" w14:textId="1705C4DF" w:rsidR="000B3331" w:rsidRPr="000B3331" w:rsidRDefault="000B3331">
      <w:pPr>
        <w:pStyle w:val="EndnoteText"/>
        <w:rPr>
          <w:lang w:val="en-GB"/>
        </w:rPr>
      </w:pPr>
      <w:r>
        <w:rPr>
          <w:rStyle w:val="EndnoteReference"/>
        </w:rPr>
        <w:endnoteRef/>
      </w:r>
      <w:r>
        <w:t xml:space="preserve"> </w:t>
      </w:r>
      <w:hyperlink r:id="rId25" w:history="1">
        <w:r w:rsidRPr="004F2546">
          <w:rPr>
            <w:rStyle w:val="Hyperlink"/>
          </w:rPr>
          <w:t>https://www.gavi.org/news/media-room/gavi-and-partners-commence-design-rsv-maternal-vaccine-programme</w:t>
        </w:r>
      </w:hyperlink>
      <w:r>
        <w:rPr>
          <w:lang w:val="en-GB"/>
        </w:rPr>
        <w:t xml:space="preserve"> </w:t>
      </w:r>
    </w:p>
  </w:endnote>
  <w:endnote w:id="29">
    <w:p w14:paraId="5995A681" w14:textId="5834D90F" w:rsidR="00AC0751" w:rsidRPr="00AC0751" w:rsidRDefault="00AC0751">
      <w:pPr>
        <w:pStyle w:val="EndnoteText"/>
        <w:rPr>
          <w:lang w:val="en-GB"/>
        </w:rPr>
      </w:pPr>
      <w:r>
        <w:rPr>
          <w:rStyle w:val="EndnoteReference"/>
        </w:rPr>
        <w:endnoteRef/>
      </w:r>
      <w:r>
        <w:t xml:space="preserve"> </w:t>
      </w:r>
      <w:hyperlink r:id="rId26" w:history="1">
        <w:r w:rsidRPr="004F2546">
          <w:rPr>
            <w:rStyle w:val="Hyperlink"/>
          </w:rPr>
          <w:t>https://trialsearch.who.int/Trial2.aspx?TrialID=NCT05480800</w:t>
        </w:r>
      </w:hyperlink>
      <w:r>
        <w:rPr>
          <w:lang w:val="en-GB"/>
        </w:rPr>
        <w:t xml:space="preserve"> </w:t>
      </w:r>
    </w:p>
  </w:endnote>
  <w:endnote w:id="30">
    <w:p w14:paraId="0E8F9E8C" w14:textId="32BAFC9F" w:rsidR="00B63FA9" w:rsidRPr="00B63FA9" w:rsidRDefault="00B63FA9">
      <w:pPr>
        <w:pStyle w:val="EndnoteText"/>
        <w:rPr>
          <w:lang w:val="en-GB"/>
        </w:rPr>
      </w:pPr>
      <w:r>
        <w:rPr>
          <w:rStyle w:val="EndnoteReference"/>
        </w:rPr>
        <w:endnoteRef/>
      </w:r>
      <w:r>
        <w:t xml:space="preserve"> </w:t>
      </w:r>
      <w:hyperlink r:id="rId27" w:history="1">
        <w:r w:rsidRPr="004F2546">
          <w:rPr>
            <w:rStyle w:val="Hyperlink"/>
          </w:rPr>
          <w:t>https://trialsearch.who.int/Trial2.aspx?TrialID=PACTR202309532820945</w:t>
        </w:r>
      </w:hyperlink>
      <w:r>
        <w:rPr>
          <w:lang w:val="en-GB"/>
        </w:rPr>
        <w:t xml:space="preserve"> </w:t>
      </w:r>
    </w:p>
  </w:endnote>
  <w:endnote w:id="31">
    <w:p w14:paraId="72C5CBD4" w14:textId="067DA674" w:rsidR="00314FDF" w:rsidRPr="00314FDF" w:rsidRDefault="00314FDF">
      <w:pPr>
        <w:pStyle w:val="EndnoteText"/>
        <w:rPr>
          <w:lang w:val="en-GB"/>
        </w:rPr>
      </w:pPr>
      <w:r>
        <w:rPr>
          <w:rStyle w:val="EndnoteReference"/>
        </w:rPr>
        <w:endnoteRef/>
      </w:r>
      <w:r>
        <w:t xml:space="preserve"> </w:t>
      </w:r>
      <w:hyperlink r:id="rId28" w:history="1">
        <w:r w:rsidRPr="004F2546">
          <w:rPr>
            <w:rStyle w:val="Hyperlink"/>
          </w:rPr>
          <w:t>https://trialsearch.who.int/Trial2.aspx?TrialID=EUCTR2023-000944-46-Outside-EU/EEA</w:t>
        </w:r>
      </w:hyperlink>
      <w:r>
        <w:rPr>
          <w:lang w:val="en-GB"/>
        </w:rPr>
        <w:t xml:space="preserve"> </w:t>
      </w:r>
    </w:p>
  </w:endnote>
  <w:endnote w:id="32">
    <w:p w14:paraId="1CDCF958" w14:textId="3EFFAA82" w:rsidR="00270146" w:rsidRPr="00270146" w:rsidRDefault="00270146">
      <w:pPr>
        <w:pStyle w:val="EndnoteText"/>
        <w:rPr>
          <w:lang w:val="en-GB"/>
        </w:rPr>
      </w:pPr>
      <w:r>
        <w:rPr>
          <w:rStyle w:val="EndnoteReference"/>
        </w:rPr>
        <w:endnoteRef/>
      </w:r>
      <w:r>
        <w:t xml:space="preserve"> </w:t>
      </w:r>
      <w:hyperlink r:id="rId29" w:history="1">
        <w:r w:rsidRPr="004F2546">
          <w:rPr>
            <w:rStyle w:val="Hyperlink"/>
          </w:rPr>
          <w:t>https://cdn.who.int/media/docs/default-source/immunization/product-and-delivery-research/tors-tag-klebsiella-final.pdf?sfvrsn=53c97305_1</w:t>
        </w:r>
      </w:hyperlink>
      <w:r>
        <w:rPr>
          <w:lang w:val="en-GB"/>
        </w:rPr>
        <w:t xml:space="preserve"> </w:t>
      </w:r>
    </w:p>
  </w:endnote>
  <w:endnote w:id="33">
    <w:p w14:paraId="7C4C4267" w14:textId="75F285A2" w:rsidR="00157C3D" w:rsidRPr="00157C3D" w:rsidRDefault="00157C3D">
      <w:pPr>
        <w:pStyle w:val="EndnoteText"/>
        <w:rPr>
          <w:lang w:val="en-GB"/>
        </w:rPr>
      </w:pPr>
      <w:r>
        <w:rPr>
          <w:rStyle w:val="EndnoteReference"/>
        </w:rPr>
        <w:endnoteRef/>
      </w:r>
      <w:r>
        <w:t xml:space="preserve"> </w:t>
      </w:r>
      <w:r w:rsidR="00750A64" w:rsidRPr="00750A64">
        <w:t>World Health Organization (2018). WHO preferred product characteristics for group A streptococcus vaccines. World Health Organization. </w:t>
      </w:r>
      <w:hyperlink r:id="rId30" w:history="1">
        <w:r w:rsidR="00750A64" w:rsidRPr="00750A64">
          <w:rPr>
            <w:rStyle w:val="Hyperlink"/>
          </w:rPr>
          <w:t>https://iris.who.int/handle/10665/279142</w:t>
        </w:r>
      </w:hyperlink>
      <w:r w:rsidR="00750A64" w:rsidRPr="00750A64">
        <w:t>. License: CC BY-NC-SA 3.0 IGO</w:t>
      </w:r>
      <w:r w:rsidR="009E6B37">
        <w:rPr>
          <w:lang w:val="en-GB"/>
        </w:rPr>
        <w:t xml:space="preserve"> </w:t>
      </w:r>
    </w:p>
  </w:endnote>
  <w:endnote w:id="34">
    <w:p w14:paraId="5CF71D32" w14:textId="15DD36A3" w:rsidR="0031766D" w:rsidRPr="0047099B" w:rsidRDefault="0031766D">
      <w:pPr>
        <w:pStyle w:val="EndnoteText"/>
        <w:rPr>
          <w:lang w:val="en-GB"/>
        </w:rPr>
      </w:pPr>
      <w:r>
        <w:rPr>
          <w:rStyle w:val="EndnoteReference"/>
        </w:rPr>
        <w:endnoteRef/>
      </w:r>
      <w:r>
        <w:t xml:space="preserve"> </w:t>
      </w:r>
      <w:r w:rsidR="007D2563" w:rsidRPr="007D2563">
        <w:t>World Health Organization (2018). Group A streptococcus vaccine development technology roadmap: priority activities for development, testing, licensure and global availability of group A streptococcus vaccines. World Health Organization. </w:t>
      </w:r>
      <w:hyperlink r:id="rId31" w:history="1">
        <w:r w:rsidR="007D2563" w:rsidRPr="007D2563">
          <w:rPr>
            <w:rStyle w:val="Hyperlink"/>
          </w:rPr>
          <w:t>https://iris.who.int/handle/10665/279392</w:t>
        </w:r>
      </w:hyperlink>
      <w:r w:rsidR="007D2563" w:rsidRPr="007D2563">
        <w:t>. License: CC BY-NC-SA 3.0 IGO</w:t>
      </w:r>
    </w:p>
  </w:endnote>
  <w:endnote w:id="35">
    <w:p w14:paraId="489538BE" w14:textId="77777777" w:rsidR="00324B39" w:rsidRPr="00135AA8" w:rsidRDefault="00324B39" w:rsidP="00324B39">
      <w:pPr>
        <w:pStyle w:val="EndnoteText"/>
        <w:rPr>
          <w:lang w:val="en-GB"/>
        </w:rPr>
      </w:pPr>
      <w:r>
        <w:rPr>
          <w:rStyle w:val="EndnoteReference"/>
        </w:rPr>
        <w:endnoteRef/>
      </w:r>
      <w:r>
        <w:t xml:space="preserve"> </w:t>
      </w:r>
      <w:hyperlink r:id="rId32" w:history="1">
        <w:r w:rsidRPr="00BA724D">
          <w:rPr>
            <w:rStyle w:val="Hyperlink"/>
          </w:rPr>
          <w:t>https://www.sanofi.com/en/media-room/press-releases/2025/2025-02-13-06-00-00-3025576</w:t>
        </w:r>
      </w:hyperlink>
      <w:r>
        <w:rPr>
          <w:lang w:val="en-GB"/>
        </w:rPr>
        <w:t xml:space="preserve"> </w:t>
      </w:r>
    </w:p>
  </w:endnote>
  <w:endnote w:id="36">
    <w:p w14:paraId="609098A4" w14:textId="2D93EED6" w:rsidR="009E5AA0" w:rsidRPr="009E5AA0" w:rsidRDefault="009E5AA0">
      <w:pPr>
        <w:pStyle w:val="EndnoteText"/>
        <w:rPr>
          <w:lang w:val="en-GB"/>
        </w:rPr>
      </w:pPr>
      <w:r>
        <w:rPr>
          <w:rStyle w:val="EndnoteReference"/>
        </w:rPr>
        <w:endnoteRef/>
      </w:r>
      <w:r>
        <w:t xml:space="preserve"> </w:t>
      </w:r>
      <w:hyperlink r:id="rId33" w:history="1">
        <w:r w:rsidRPr="004F2546">
          <w:rPr>
            <w:rStyle w:val="Hyperlink"/>
          </w:rPr>
          <w:t>https://www.malariaconsortium.org/news/ethiopia-becomes-the-23rd-country-in-africa-to-roll-out-the-malaria-vaccine</w:t>
        </w:r>
      </w:hyperlink>
      <w:r>
        <w:rPr>
          <w:lang w:val="en-GB"/>
        </w:rPr>
        <w:t xml:space="preserve"> </w:t>
      </w:r>
    </w:p>
  </w:endnote>
  <w:endnote w:id="37">
    <w:p w14:paraId="00E6345F" w14:textId="1C08E881" w:rsidR="004405B6" w:rsidRPr="004405B6" w:rsidRDefault="004405B6">
      <w:pPr>
        <w:pStyle w:val="EndnoteText"/>
        <w:rPr>
          <w:lang w:val="en-GB"/>
        </w:rPr>
      </w:pPr>
      <w:r>
        <w:rPr>
          <w:rStyle w:val="EndnoteReference"/>
        </w:rPr>
        <w:endnoteRef/>
      </w:r>
      <w:r>
        <w:t xml:space="preserve"> </w:t>
      </w:r>
      <w:hyperlink r:id="rId34" w:history="1">
        <w:r w:rsidRPr="004F2546">
          <w:rPr>
            <w:rStyle w:val="Hyperlink"/>
          </w:rPr>
          <w:t>https://www.gsk.com/en-gb/media/press-releases/price-of-world-s-first-malaria-vaccine-rts-s-for-children-in-endemic-countries-to-be-reduced/</w:t>
        </w:r>
      </w:hyperlink>
      <w:r>
        <w:rPr>
          <w:lang w:val="en-GB"/>
        </w:rPr>
        <w:t xml:space="preserve"> </w:t>
      </w:r>
    </w:p>
  </w:endnote>
  <w:endnote w:id="38">
    <w:p w14:paraId="4D2156FA" w14:textId="7196AE33" w:rsidR="00540B5A" w:rsidRPr="000E18B6" w:rsidRDefault="00540B5A">
      <w:pPr>
        <w:pStyle w:val="EndnoteText"/>
        <w:rPr>
          <w:lang w:val="en-GB"/>
        </w:rPr>
      </w:pPr>
      <w:r>
        <w:rPr>
          <w:rStyle w:val="EndnoteReference"/>
        </w:rPr>
        <w:endnoteRef/>
      </w:r>
      <w:r>
        <w:t xml:space="preserve"> </w:t>
      </w:r>
      <w:hyperlink r:id="rId35" w:history="1">
        <w:r w:rsidR="000E18B6" w:rsidRPr="004F2546">
          <w:rPr>
            <w:rStyle w:val="Hyperlink"/>
          </w:rPr>
          <w:t>https://www.who.int/observatories/global-observatory-on-health-research-and-development/monitoring/who-review-of-malaria-vaccine-clinical-development</w:t>
        </w:r>
      </w:hyperlink>
      <w:r w:rsidR="000E18B6">
        <w:rPr>
          <w:lang w:val="en-GB"/>
        </w:rPr>
        <w:t xml:space="preserve"> </w:t>
      </w:r>
    </w:p>
  </w:endnote>
  <w:endnote w:id="39">
    <w:p w14:paraId="221655A4" w14:textId="40B0FB1E" w:rsidR="004405B6" w:rsidRPr="009A6CEE" w:rsidRDefault="00901932">
      <w:pPr>
        <w:pStyle w:val="EndnoteText"/>
        <w:rPr>
          <w:lang w:val="en-GB"/>
        </w:rPr>
      </w:pPr>
      <w:r>
        <w:rPr>
          <w:rStyle w:val="EndnoteReference"/>
        </w:rPr>
        <w:endnoteRef/>
      </w:r>
      <w:r>
        <w:rPr>
          <w:lang w:val="en-GB"/>
        </w:rPr>
        <w:t xml:space="preserve"> </w:t>
      </w:r>
      <w:hyperlink r:id="rId36" w:history="1">
        <w:r w:rsidR="000E18B6" w:rsidRPr="004F2546">
          <w:rPr>
            <w:rStyle w:val="Hyperlink"/>
            <w:lang w:val="en-GB"/>
          </w:rPr>
          <w:t>https://www.gavi.org/news/media-room/gavi-and-unicef-announce-equitable-pricing-deal-malaria-vaccine-protect-7-million</w:t>
        </w:r>
      </w:hyperlink>
      <w:r>
        <w:rPr>
          <w:lang w:val="en-GB"/>
        </w:rPr>
        <w:t xml:space="preserve"> </w:t>
      </w:r>
    </w:p>
  </w:endnote>
  <w:endnote w:id="40">
    <w:p w14:paraId="79AA8D32" w14:textId="3D07F249" w:rsidR="00126B0A" w:rsidRPr="00126B0A" w:rsidRDefault="00126B0A">
      <w:pPr>
        <w:pStyle w:val="EndnoteText"/>
        <w:rPr>
          <w:lang w:val="en-GB"/>
        </w:rPr>
      </w:pPr>
      <w:r>
        <w:rPr>
          <w:rStyle w:val="EndnoteReference"/>
        </w:rPr>
        <w:endnoteRef/>
      </w:r>
      <w:r>
        <w:t xml:space="preserve"> </w:t>
      </w:r>
      <w:r w:rsidRPr="00126B0A">
        <w:t xml:space="preserve">Ndiaye BP, Koech L, Mercer LD, Aponte JJ, Cisse B, Riziki F, Keter W, Eaton N, Diye S, Wade D, Bob NS, Raine MG, Her H, Kim S, Erdem R, Lee C, Cassels FJ, Park Y, Dia M, Baik YO, Fall G, Locke E, Njuguna PW. Safety and non-inferiority of multidose and single-dose vial formulations of </w:t>
      </w:r>
      <w:proofErr w:type="spellStart"/>
      <w:r w:rsidRPr="00126B0A">
        <w:t>EuTCV</w:t>
      </w:r>
      <w:proofErr w:type="spellEnd"/>
      <w:r w:rsidRPr="00126B0A">
        <w:t xml:space="preserve"> Vi-CRM197 versus </w:t>
      </w:r>
      <w:proofErr w:type="spellStart"/>
      <w:r w:rsidRPr="00126B0A">
        <w:t>Typbar</w:t>
      </w:r>
      <w:proofErr w:type="spellEnd"/>
      <w:r w:rsidRPr="00126B0A">
        <w:t xml:space="preserve"> TCV in healthy participants in Kenya and Senegal: a </w:t>
      </w:r>
      <w:proofErr w:type="spellStart"/>
      <w:r w:rsidRPr="00126B0A">
        <w:t>multicentre</w:t>
      </w:r>
      <w:proofErr w:type="spellEnd"/>
      <w:r w:rsidRPr="00126B0A">
        <w:t xml:space="preserve">, observer-blind, </w:t>
      </w:r>
      <w:proofErr w:type="spellStart"/>
      <w:r w:rsidRPr="00126B0A">
        <w:t>randomised</w:t>
      </w:r>
      <w:proofErr w:type="spellEnd"/>
      <w:r w:rsidRPr="00126B0A">
        <w:t xml:space="preserve">, phase 3 study. Lancet Glob Health. 2025 Dec;13(12):e2122-e2132. </w:t>
      </w:r>
      <w:proofErr w:type="spellStart"/>
      <w:r w:rsidRPr="00126B0A">
        <w:t>doi</w:t>
      </w:r>
      <w:proofErr w:type="spellEnd"/>
      <w:r w:rsidRPr="00126B0A">
        <w:t>: 10.1016/S2214-109X(25)00330-4. PMID: 41240950.</w:t>
      </w:r>
      <w:r>
        <w:rPr>
          <w:lang w:val="en-GB"/>
        </w:rPr>
        <w:t xml:space="preserve"> </w:t>
      </w:r>
    </w:p>
  </w:endnote>
  <w:endnote w:id="41">
    <w:p w14:paraId="5CDF1404" w14:textId="77777777" w:rsidR="00890F3A" w:rsidRDefault="007C3CC3" w:rsidP="00890F3A">
      <w:pPr>
        <w:pStyle w:val="EndnoteText"/>
      </w:pPr>
      <w:r>
        <w:rPr>
          <w:rStyle w:val="EndnoteReference"/>
        </w:rPr>
        <w:endnoteRef/>
      </w:r>
      <w:r>
        <w:t xml:space="preserve"> </w:t>
      </w:r>
      <w:r w:rsidR="00890F3A">
        <w:t>WHO/IVB’s Product Development for Vaccines Advisory Committee (PDVAC)</w:t>
      </w:r>
    </w:p>
    <w:p w14:paraId="25D886FB" w14:textId="5AD4122D" w:rsidR="007C3CC3" w:rsidRPr="007C3CC3" w:rsidRDefault="00890F3A" w:rsidP="00890F3A">
      <w:pPr>
        <w:pStyle w:val="EndnoteText"/>
      </w:pPr>
      <w:r>
        <w:t xml:space="preserve">Report from Hybrid F2F/Virtual meeting, available here: </w:t>
      </w:r>
      <w:hyperlink r:id="rId37" w:history="1">
        <w:r w:rsidRPr="00E2398E">
          <w:rPr>
            <w:rStyle w:val="Hyperlink"/>
          </w:rPr>
          <w:t>https://cdn.who.int/media/docs/default-source/immunization/pdvac/pdvac-2022/complete_report_final_december_2022.pdf</w:t>
        </w:r>
      </w:hyperlink>
      <w:r>
        <w:t xml:space="preserve"> </w:t>
      </w:r>
    </w:p>
  </w:endnote>
  <w:endnote w:id="42">
    <w:p w14:paraId="26C79AF4" w14:textId="618C5FFF" w:rsidR="009F7CAA" w:rsidRPr="009F7CAA" w:rsidRDefault="009F7CAA">
      <w:pPr>
        <w:pStyle w:val="EndnoteText"/>
        <w:rPr>
          <w:lang w:val="en-GB"/>
        </w:rPr>
      </w:pPr>
      <w:r>
        <w:rPr>
          <w:rStyle w:val="EndnoteReference"/>
        </w:rPr>
        <w:endnoteRef/>
      </w:r>
      <w:r>
        <w:t xml:space="preserve"> </w:t>
      </w:r>
      <w:hyperlink r:id="rId38" w:history="1">
        <w:r w:rsidRPr="004F2546">
          <w:rPr>
            <w:rStyle w:val="Hyperlink"/>
          </w:rPr>
          <w:t>https://www.who.int/teams/immunization-vaccines-and-biologicals/diseases/cholera</w:t>
        </w:r>
      </w:hyperlink>
      <w:r>
        <w:rPr>
          <w:lang w:val="en-GB"/>
        </w:rPr>
        <w:t xml:space="preserve"> </w:t>
      </w:r>
    </w:p>
  </w:endnote>
  <w:endnote w:id="43">
    <w:p w14:paraId="5467EDA6" w14:textId="77777777" w:rsidR="003432E5" w:rsidRDefault="003432E5" w:rsidP="003432E5">
      <w:pPr>
        <w:pStyle w:val="EndnoteText"/>
        <w:rPr>
          <w:rFonts w:ascii="Segoe UI" w:eastAsia="Segoe UI" w:hAnsi="Segoe UI" w:cs="Segoe UI"/>
          <w:color w:val="666666"/>
          <w:sz w:val="18"/>
          <w:szCs w:val="18"/>
        </w:rPr>
      </w:pPr>
      <w:r w:rsidRPr="7DC59A82">
        <w:rPr>
          <w:rStyle w:val="EndnoteReference"/>
        </w:rPr>
        <w:endnoteRef/>
      </w:r>
      <w:r>
        <w:t xml:space="preserve"> </w:t>
      </w:r>
      <w:r w:rsidRPr="7DC59A82">
        <w:rPr>
          <w:rFonts w:ascii="Segoe UI" w:eastAsia="Segoe UI" w:hAnsi="Segoe UI" w:cs="Segoe UI"/>
          <w:color w:val="666666"/>
          <w:sz w:val="18"/>
          <w:szCs w:val="18"/>
          <w:u w:val="single"/>
        </w:rPr>
        <w:t>https://www.who.int/publications/i/item/9789240027077</w:t>
      </w:r>
    </w:p>
  </w:endnote>
  <w:endnote w:id="44">
    <w:p w14:paraId="3214CFEC" w14:textId="77777777" w:rsidR="003432E5" w:rsidRPr="00AA7A09" w:rsidRDefault="003432E5" w:rsidP="003432E5">
      <w:pPr>
        <w:pStyle w:val="EndnoteText"/>
        <w:rPr>
          <w:lang w:val="fr-CH"/>
        </w:rPr>
      </w:pPr>
      <w:r>
        <w:rPr>
          <w:rStyle w:val="EndnoteReference"/>
        </w:rPr>
        <w:endnoteRef/>
      </w:r>
      <w:r w:rsidRPr="00AA7A09">
        <w:rPr>
          <w:lang w:val="nl-NL"/>
        </w:rPr>
        <w:t xml:space="preserve"> </w:t>
      </w:r>
      <w:r w:rsidRPr="00AA7A09">
        <w:rPr>
          <w:rFonts w:eastAsia="Times New Roman" w:cs="Segoe UI"/>
          <w:kern w:val="0"/>
          <w:lang w:val="nl-NL" w:eastAsia="en-GB"/>
          <w14:ligatures w14:val="none"/>
        </w:rPr>
        <w:t xml:space="preserve">Pollock KM, Borges </w:t>
      </w:r>
      <w:r w:rsidRPr="00AA7A09">
        <w:rPr>
          <w:rFonts w:eastAsia="Times New Roman" w:cs="Segoe UI" w:hint="eastAsia"/>
          <w:kern w:val="0"/>
          <w:lang w:val="nl-NL" w:eastAsia="en-GB"/>
          <w14:ligatures w14:val="none"/>
        </w:rPr>
        <w:t>Á</w:t>
      </w:r>
      <w:r w:rsidRPr="00AA7A09">
        <w:rPr>
          <w:rFonts w:eastAsia="Times New Roman" w:cs="Segoe UI"/>
          <w:kern w:val="0"/>
          <w:lang w:val="nl-NL" w:eastAsia="en-GB"/>
          <w14:ligatures w14:val="none"/>
        </w:rPr>
        <w:t xml:space="preserve">H, Cheeseman HM et al. </w:t>
      </w:r>
      <w:r>
        <w:fldChar w:fldCharType="begin"/>
      </w:r>
      <w:r>
        <w:instrText>HYPERLINK "https://pubmed.ncbi.nlm.nih.gov/38615673/"</w:instrText>
      </w:r>
      <w:r>
        <w:fldChar w:fldCharType="separate"/>
      </w:r>
      <w:r w:rsidRPr="000B3331">
        <w:rPr>
          <w:rFonts w:eastAsia="Times New Roman" w:cs="Segoe UI"/>
          <w:kern w:val="0"/>
          <w:lang w:eastAsia="en-GB"/>
          <w14:ligatures w14:val="none"/>
        </w:rPr>
        <w:t>An investigation of trachoma vaccine regimens by the chlamydia vaccine CTH522 administered with cationic liposomes in healthy adults (CHLM-02): a phase 1, double-blind trial.</w:t>
      </w:r>
      <w:r>
        <w:fldChar w:fldCharType="end"/>
      </w:r>
      <w:r w:rsidRPr="000B3331">
        <w:rPr>
          <w:rFonts w:eastAsia="Times New Roman" w:cs="Times New Roman"/>
          <w:kern w:val="0"/>
          <w:lang w:eastAsia="en-GB"/>
          <w14:ligatures w14:val="none"/>
        </w:rPr>
        <w:t xml:space="preserve"> </w:t>
      </w:r>
      <w:r w:rsidRPr="00AA7A09">
        <w:rPr>
          <w:rFonts w:eastAsia="Times New Roman" w:cs="Segoe UI"/>
          <w:kern w:val="0"/>
          <w:lang w:val="fr-CH" w:eastAsia="en-GB"/>
          <w14:ligatures w14:val="none"/>
        </w:rPr>
        <w:t xml:space="preserve">Lancet Infect Dis. 2024;24(8):829-844. </w:t>
      </w:r>
      <w:proofErr w:type="spellStart"/>
      <w:proofErr w:type="gramStart"/>
      <w:r w:rsidRPr="00AA7A09">
        <w:rPr>
          <w:rFonts w:eastAsia="Times New Roman" w:cs="Segoe UI"/>
          <w:kern w:val="0"/>
          <w:lang w:val="fr-CH" w:eastAsia="en-GB"/>
          <w14:ligatures w14:val="none"/>
        </w:rPr>
        <w:t>doi</w:t>
      </w:r>
      <w:proofErr w:type="spellEnd"/>
      <w:r w:rsidRPr="00AA7A09">
        <w:rPr>
          <w:rFonts w:eastAsia="Times New Roman" w:cs="Segoe UI"/>
          <w:kern w:val="0"/>
          <w:lang w:val="fr-CH" w:eastAsia="en-GB"/>
          <w14:ligatures w14:val="none"/>
        </w:rPr>
        <w:t>:</w:t>
      </w:r>
      <w:proofErr w:type="gramEnd"/>
      <w:r w:rsidRPr="00AA7A09">
        <w:rPr>
          <w:rFonts w:eastAsia="Times New Roman" w:cs="Segoe UI"/>
          <w:kern w:val="0"/>
          <w:lang w:val="fr-CH" w:eastAsia="en-GB"/>
          <w14:ligatures w14:val="none"/>
        </w:rPr>
        <w:t xml:space="preserve"> 10.1016/S1473-3099(24)00147-6. </w:t>
      </w:r>
    </w:p>
  </w:endnote>
  <w:endnote w:id="45">
    <w:p w14:paraId="637969AC" w14:textId="77777777" w:rsidR="003432E5" w:rsidRPr="00AA7A09" w:rsidRDefault="003432E5" w:rsidP="003432E5">
      <w:pPr>
        <w:pStyle w:val="EndnoteText"/>
        <w:rPr>
          <w:lang w:val="fr-CH"/>
        </w:rPr>
      </w:pPr>
      <w:r>
        <w:rPr>
          <w:rStyle w:val="EndnoteReference"/>
        </w:rPr>
        <w:endnoteRef/>
      </w:r>
      <w:r w:rsidRPr="00AA7A09">
        <w:rPr>
          <w:lang w:val="fr-CH"/>
        </w:rPr>
        <w:t xml:space="preserve"> </w:t>
      </w:r>
      <w:hyperlink r:id="rId39" w:history="1">
        <w:r w:rsidRPr="00AA7A09">
          <w:rPr>
            <w:rStyle w:val="Hyperlink"/>
            <w:lang w:val="fr-CH"/>
          </w:rPr>
          <w:t>https://www.emjreviews.com/emj-gold/news/sanofis-chlamydia-vaccine-fast-tracked-by-fda/</w:t>
        </w:r>
      </w:hyperlink>
      <w:r w:rsidRPr="00AA7A09">
        <w:rPr>
          <w:lang w:val="fr-CH"/>
        </w:rPr>
        <w:t xml:space="preserve"> </w:t>
      </w:r>
    </w:p>
  </w:endnote>
  <w:endnote w:id="46">
    <w:p w14:paraId="4A196B33" w14:textId="6B1E32BF" w:rsidR="7DC59A82" w:rsidRPr="008675C9" w:rsidRDefault="7DC59A82" w:rsidP="00AA7A09">
      <w:pPr>
        <w:pStyle w:val="EndnoteText"/>
      </w:pPr>
      <w:r w:rsidRPr="7DC59A82">
        <w:rPr>
          <w:rStyle w:val="EndnoteReference"/>
        </w:rPr>
        <w:endnoteRef/>
      </w:r>
      <w:r w:rsidRPr="008675C9">
        <w:t xml:space="preserve"> </w:t>
      </w:r>
      <w:r w:rsidR="008675C9" w:rsidRPr="008675C9">
        <w:t xml:space="preserve">Global progress report on HIV, viral hepatitis and sexually transmitted infections, 2021 </w:t>
      </w:r>
      <w:hyperlink r:id="rId40" w:history="1">
        <w:r w:rsidR="008675C9" w:rsidRPr="00E2398E">
          <w:rPr>
            <w:rStyle w:val="Hyperlink"/>
          </w:rPr>
          <w:t>https://www.who.int/publications/i/item/9789240027077</w:t>
        </w:r>
      </w:hyperlink>
      <w:r w:rsidR="008675C9">
        <w:t xml:space="preserve"> </w:t>
      </w:r>
    </w:p>
  </w:endnote>
  <w:endnote w:id="47">
    <w:p w14:paraId="4D0D1DEF" w14:textId="77777777" w:rsidR="00622057" w:rsidRPr="00EF7EF0" w:rsidRDefault="00622057" w:rsidP="00622057">
      <w:pPr>
        <w:pStyle w:val="EndnoteText"/>
        <w:rPr>
          <w:lang w:val="en-GB"/>
        </w:rPr>
      </w:pPr>
      <w:r>
        <w:rPr>
          <w:rStyle w:val="EndnoteReference"/>
        </w:rPr>
        <w:endnoteRef/>
      </w:r>
      <w:r>
        <w:t xml:space="preserve"> </w:t>
      </w:r>
      <w:r w:rsidRPr="00EF7EF0">
        <w:t>Bing Wang, Lynne Giles, Prabha Andraweera, Mark McMillan, Rebecca Beazley, Sara Almond, Noel Lally, Charlotte Bell, Louise Flood, James Ward, Helen Marshall, Long-Term Protection Against Invasive Meningococcal B Disease and Gonococcal Infection 5 Years After Implementation of Funded Childhood and Adolescent 4CMenB Vaccination Program in South Australia: An Observational Cohort and Case-Control Study, </w:t>
      </w:r>
      <w:r w:rsidRPr="00EF7EF0">
        <w:rPr>
          <w:i/>
          <w:iCs/>
        </w:rPr>
        <w:t>Clinical Infectious Diseases</w:t>
      </w:r>
      <w:r w:rsidRPr="00EF7EF0">
        <w:t>, Volume 81, Issue 4, 15 October 2025, Pages e202–e210, </w:t>
      </w:r>
      <w:hyperlink r:id="rId41" w:history="1">
        <w:r w:rsidRPr="00EF7EF0">
          <w:rPr>
            <w:rStyle w:val="Hyperlink"/>
          </w:rPr>
          <w:t>https://doi.org/10.1093/cid/ciaf372</w:t>
        </w:r>
      </w:hyperlink>
      <w:r>
        <w:rPr>
          <w:lang w:val="en-GB"/>
        </w:rPr>
        <w:t xml:space="preserve"> </w:t>
      </w:r>
    </w:p>
  </w:endnote>
  <w:endnote w:id="48">
    <w:p w14:paraId="404E3B5C" w14:textId="3D57D713" w:rsidR="00D86575" w:rsidRPr="00E836C8" w:rsidRDefault="00D86575">
      <w:pPr>
        <w:pStyle w:val="EndnoteText"/>
        <w:rPr>
          <w:lang w:val="en-GB"/>
        </w:rPr>
      </w:pPr>
      <w:r>
        <w:rPr>
          <w:rStyle w:val="EndnoteReference"/>
        </w:rPr>
        <w:endnoteRef/>
      </w:r>
      <w:r>
        <w:t xml:space="preserve"> </w:t>
      </w:r>
      <w:r w:rsidRPr="00D86575">
        <w:t xml:space="preserve">Whittles LK, Didelot X, White PJ. Public health impact and cost-effectiveness of </w:t>
      </w:r>
      <w:proofErr w:type="spellStart"/>
      <w:r w:rsidRPr="00D86575">
        <w:t>gonorrhoea</w:t>
      </w:r>
      <w:proofErr w:type="spellEnd"/>
      <w:r w:rsidRPr="00D86575">
        <w:t xml:space="preserve"> vaccination: an integrated transmission-dynamic health-economic modelling analysis. Lancet Infect Dis. 2022 Jul;22(7):1030-1041. </w:t>
      </w:r>
      <w:proofErr w:type="spellStart"/>
      <w:r w:rsidRPr="00D86575">
        <w:t>doi</w:t>
      </w:r>
      <w:proofErr w:type="spellEnd"/>
      <w:r w:rsidRPr="00D86575">
        <w:t xml:space="preserve">: 10.1016/S1473-3099(21)00744-1. </w:t>
      </w:r>
      <w:proofErr w:type="spellStart"/>
      <w:r w:rsidRPr="00D86575">
        <w:t>Epub</w:t>
      </w:r>
      <w:proofErr w:type="spellEnd"/>
      <w:r w:rsidRPr="00D86575">
        <w:t xml:space="preserve"> 2022 Apr 12. Erratum in: Lancet Infect Dis. 2022 Jun;22(6):e159. </w:t>
      </w:r>
      <w:hyperlink r:id="rId42" w:history="1">
        <w:r w:rsidR="00E836C8" w:rsidRPr="004F2546">
          <w:rPr>
            <w:rStyle w:val="Hyperlink"/>
          </w:rPr>
          <w:t>https://doi.org/10.1016/S1473-3099(21)00744-1</w:t>
        </w:r>
      </w:hyperlink>
      <w:r w:rsidR="00E836C8">
        <w:rPr>
          <w:lang w:val="en-GB"/>
        </w:rPr>
        <w:t xml:space="preserve"> </w:t>
      </w:r>
    </w:p>
  </w:endnote>
  <w:endnote w:id="49">
    <w:p w14:paraId="6C00B16D" w14:textId="60AED4BB" w:rsidR="003E02E6" w:rsidRPr="00190853" w:rsidRDefault="003E02E6">
      <w:pPr>
        <w:pStyle w:val="EndnoteText"/>
      </w:pPr>
      <w:r>
        <w:rPr>
          <w:rStyle w:val="EndnoteReference"/>
        </w:rPr>
        <w:endnoteRef/>
      </w:r>
      <w:r w:rsidRPr="00190853">
        <w:t xml:space="preserve"> </w:t>
      </w:r>
      <w:r w:rsidR="00190853" w:rsidRPr="0059724A">
        <w:t xml:space="preserve">The Lancet Infectious Diseases. </w:t>
      </w:r>
      <w:proofErr w:type="spellStart"/>
      <w:r w:rsidR="00190853" w:rsidRPr="0059724A">
        <w:t>GoGoVax</w:t>
      </w:r>
      <w:proofErr w:type="spellEnd"/>
      <w:r w:rsidR="00190853" w:rsidRPr="0059724A">
        <w:t xml:space="preserve"> dispels hopes for </w:t>
      </w:r>
      <w:proofErr w:type="spellStart"/>
      <w:r w:rsidR="00190853" w:rsidRPr="0059724A">
        <w:t>gonorrhoea</w:t>
      </w:r>
      <w:proofErr w:type="spellEnd"/>
      <w:r w:rsidR="00190853" w:rsidRPr="0059724A">
        <w:t xml:space="preserve"> vaccination. Lancet Infect Dis. 2026 Apr;26(4):329. </w:t>
      </w:r>
      <w:proofErr w:type="spellStart"/>
      <w:r w:rsidR="00190853" w:rsidRPr="0059724A">
        <w:t>doi</w:t>
      </w:r>
      <w:proofErr w:type="spellEnd"/>
      <w:r w:rsidR="00190853" w:rsidRPr="0059724A">
        <w:t>: 10.1016/S1473-3099(26)00126-X. PMID: 41895997.</w:t>
      </w:r>
    </w:p>
  </w:endnote>
  <w:endnote w:id="50">
    <w:p w14:paraId="709D48AA" w14:textId="5E1A5F5A" w:rsidR="00DE286B" w:rsidRPr="00DE286B" w:rsidRDefault="004F2877">
      <w:pPr>
        <w:pStyle w:val="EndnoteText"/>
      </w:pPr>
      <w:r>
        <w:rPr>
          <w:rStyle w:val="EndnoteReference"/>
        </w:rPr>
        <w:endnoteRef/>
      </w:r>
      <w:r>
        <w:rPr>
          <w:rStyle w:val="EndnoteReference"/>
        </w:rPr>
        <w:endnoteRef/>
      </w:r>
      <w:r w:rsidR="00DE286B">
        <w:rPr>
          <w:rStyle w:val="EndnoteReference"/>
        </w:rPr>
        <w:endnoteRef/>
      </w:r>
      <w:r w:rsidR="00DE286B">
        <w:t xml:space="preserve"> </w:t>
      </w:r>
      <w:proofErr w:type="spellStart"/>
      <w:r w:rsidR="00DE286B" w:rsidRPr="00DE286B">
        <w:t>Thng</w:t>
      </w:r>
      <w:proofErr w:type="spellEnd"/>
      <w:r w:rsidR="00DE286B" w:rsidRPr="00DE286B">
        <w:t xml:space="preserve">, C., Eskandari, S., Jin, F. et al. Efficacy of the meningococcal vaccine against Neisseria gonorrhoeae: a </w:t>
      </w:r>
      <w:proofErr w:type="spellStart"/>
      <w:r w:rsidR="00DE286B" w:rsidRPr="00DE286B">
        <w:t>randomised</w:t>
      </w:r>
      <w:proofErr w:type="spellEnd"/>
      <w:r w:rsidR="00DE286B" w:rsidRPr="00DE286B">
        <w:t xml:space="preserve"> clinical trial (</w:t>
      </w:r>
      <w:proofErr w:type="spellStart"/>
      <w:r w:rsidR="00DE286B" w:rsidRPr="00DE286B">
        <w:t>MenGO</w:t>
      </w:r>
      <w:proofErr w:type="spellEnd"/>
      <w:r w:rsidR="00DE286B" w:rsidRPr="00DE286B">
        <w:t xml:space="preserve">). </w:t>
      </w:r>
      <w:proofErr w:type="spellStart"/>
      <w:r w:rsidR="00DE286B" w:rsidRPr="00DE286B">
        <w:t>npj</w:t>
      </w:r>
      <w:proofErr w:type="spellEnd"/>
      <w:r w:rsidR="00DE286B" w:rsidRPr="00DE286B">
        <w:t xml:space="preserve"> Vaccines (2026). https://doi.org/10.1038/s41541-026-01422-y</w:t>
      </w:r>
    </w:p>
  </w:endnote>
  <w:endnote w:id="51">
    <w:p w14:paraId="28DDA1DF" w14:textId="043EB895" w:rsidR="00EE18FF" w:rsidRDefault="004C44D0" w:rsidP="00EE18FF">
      <w:pPr>
        <w:pStyle w:val="EndnoteText"/>
      </w:pPr>
      <w:r>
        <w:rPr>
          <w:rStyle w:val="EndnoteReference"/>
        </w:rPr>
        <w:endnoteRef/>
      </w:r>
      <w:r>
        <w:t xml:space="preserve"> </w:t>
      </w:r>
      <w:r w:rsidR="00EE18FF">
        <w:t>T</w:t>
      </w:r>
      <w:r w:rsidR="00EE18FF">
        <w:t>sz Ho Kwan, Denise Pui Chung Chan, Christopher Koon Chi Lai, Teddy Tai-</w:t>
      </w:r>
      <w:proofErr w:type="spellStart"/>
      <w:r w:rsidR="00EE18FF">
        <w:t>ning</w:t>
      </w:r>
      <w:proofErr w:type="spellEnd"/>
      <w:r w:rsidR="00EE18FF">
        <w:t xml:space="preserve"> Lam, Chi Keung Kwan, Shui Shan Lee,</w:t>
      </w:r>
    </w:p>
    <w:p w14:paraId="779F1B8B" w14:textId="74B84D1C" w:rsidR="004C44D0" w:rsidRPr="00EE18FF" w:rsidRDefault="00EE18FF" w:rsidP="00EE18FF">
      <w:pPr>
        <w:pStyle w:val="EndnoteText"/>
      </w:pPr>
      <w:r>
        <w:t xml:space="preserve">Efficacy of the 4CMenB vaccine against </w:t>
      </w:r>
      <w:proofErr w:type="spellStart"/>
      <w:r>
        <w:t>gonorrhoea</w:t>
      </w:r>
      <w:proofErr w:type="spellEnd"/>
      <w:r>
        <w:t xml:space="preserve"> among men who have sex with men in Hong Kong: a double-blind </w:t>
      </w:r>
      <w:proofErr w:type="spellStart"/>
      <w:r>
        <w:t>randomised</w:t>
      </w:r>
      <w:proofErr w:type="spellEnd"/>
      <w:r>
        <w:t xml:space="preserve"> placebo-controlled </w:t>
      </w:r>
      <w:proofErr w:type="spellStart"/>
      <w:r>
        <w:t>trial,International</w:t>
      </w:r>
      <w:proofErr w:type="spellEnd"/>
      <w:r>
        <w:t xml:space="preserve"> Journal of Infectious Diseases,2026,</w:t>
      </w:r>
      <w:r>
        <w:t xml:space="preserve"> </w:t>
      </w:r>
      <w:r>
        <w:t>108926,</w:t>
      </w:r>
      <w:r>
        <w:t xml:space="preserve"> </w:t>
      </w:r>
      <w:r>
        <w:t>ISSN 1201-9712,</w:t>
      </w:r>
      <w:r>
        <w:t xml:space="preserve"> </w:t>
      </w:r>
      <w:r>
        <w:t>https://doi.org/10.1016/j.ijid.2026.108926.</w:t>
      </w:r>
    </w:p>
  </w:endnote>
  <w:endnote w:id="52">
    <w:p w14:paraId="0DB70912" w14:textId="77777777" w:rsidR="00323172" w:rsidRPr="00E0315F" w:rsidRDefault="00323172" w:rsidP="00323172">
      <w:pPr>
        <w:pStyle w:val="EndnoteText"/>
        <w:rPr>
          <w:lang w:val="en-GB"/>
        </w:rPr>
      </w:pPr>
      <w:r>
        <w:rPr>
          <w:rStyle w:val="EndnoteReference"/>
        </w:rPr>
        <w:endnoteRef/>
      </w:r>
      <w:r>
        <w:t xml:space="preserve"> </w:t>
      </w:r>
      <w:r w:rsidRPr="00E0315F">
        <w:t>World Health Organization (2024). Global tuberculosis report 2024. World Health Organization. </w:t>
      </w:r>
      <w:hyperlink r:id="rId43" w:history="1">
        <w:r w:rsidRPr="00E0315F">
          <w:rPr>
            <w:rStyle w:val="Hyperlink"/>
          </w:rPr>
          <w:t>https://iris.who.int/handle/10665/379339</w:t>
        </w:r>
      </w:hyperlink>
      <w:r w:rsidRPr="00E0315F">
        <w:t>. License: CC BY-NC-SA 3.0 IGO</w:t>
      </w:r>
      <w:r>
        <w:rPr>
          <w:lang w:val="en-GB"/>
        </w:rPr>
        <w:t xml:space="preserve"> </w:t>
      </w:r>
    </w:p>
  </w:endnote>
  <w:endnote w:id="53">
    <w:p w14:paraId="2D9676E0" w14:textId="60C98640" w:rsidR="00E604B7" w:rsidRPr="00E604B7" w:rsidRDefault="00E604B7">
      <w:pPr>
        <w:pStyle w:val="EndnoteText"/>
      </w:pPr>
      <w:r>
        <w:rPr>
          <w:rStyle w:val="EndnoteReference"/>
        </w:rPr>
        <w:endnoteRef/>
      </w:r>
      <w:r>
        <w:t xml:space="preserve"> </w:t>
      </w:r>
      <w:r w:rsidRPr="00E604B7">
        <w:t xml:space="preserve">WHO Evidence Considerations for Vaccine Policy Development for Tuberculosis Vaccines Intended for Adults and Adolescents. Geneva: World Health Organization; 2024. </w:t>
      </w:r>
      <w:proofErr w:type="spellStart"/>
      <w:r w:rsidRPr="00E604B7">
        <w:t>Licence</w:t>
      </w:r>
      <w:proofErr w:type="spellEnd"/>
      <w:r w:rsidRPr="00E604B7">
        <w:t>: CC BY-NC-SA 3.0 IGO. https://iris.who.int/handle/10665/376907</w:t>
      </w:r>
    </w:p>
  </w:endnote>
  <w:endnote w:id="54">
    <w:p w14:paraId="25498925" w14:textId="4BB81A70" w:rsidR="00F06EA4" w:rsidRPr="00F06EA4" w:rsidRDefault="00F06EA4">
      <w:pPr>
        <w:pStyle w:val="EndnoteText"/>
        <w:rPr>
          <w:lang w:val="en-GB"/>
        </w:rPr>
      </w:pPr>
      <w:r>
        <w:rPr>
          <w:rStyle w:val="EndnoteReference"/>
        </w:rPr>
        <w:endnoteRef/>
      </w:r>
      <w:r w:rsidRPr="003432E5">
        <w:rPr>
          <w:lang w:val="en-GB"/>
        </w:rPr>
        <w:t xml:space="preserve"> Gonçalves BP, Procter SR, Paul P, Chandna J, Lewin A, Seedat F, </w:t>
      </w:r>
      <w:proofErr w:type="spellStart"/>
      <w:r w:rsidRPr="003432E5">
        <w:rPr>
          <w:lang w:val="en-GB"/>
        </w:rPr>
        <w:t>Koukounari</w:t>
      </w:r>
      <w:proofErr w:type="spellEnd"/>
      <w:r w:rsidRPr="003432E5">
        <w:rPr>
          <w:lang w:val="en-GB"/>
        </w:rPr>
        <w:t xml:space="preserve"> A, Dangor Z, Leahy S, Santhanam S, John HB, </w:t>
      </w:r>
      <w:proofErr w:type="spellStart"/>
      <w:r w:rsidRPr="003432E5">
        <w:rPr>
          <w:lang w:val="en-GB"/>
        </w:rPr>
        <w:t>Bramugy</w:t>
      </w:r>
      <w:proofErr w:type="spellEnd"/>
      <w:r w:rsidRPr="003432E5">
        <w:rPr>
          <w:lang w:val="en-GB"/>
        </w:rPr>
        <w:t xml:space="preserve"> J, </w:t>
      </w:r>
      <w:proofErr w:type="spellStart"/>
      <w:r w:rsidRPr="003432E5">
        <w:rPr>
          <w:lang w:val="en-GB"/>
        </w:rPr>
        <w:t>Bardají</w:t>
      </w:r>
      <w:proofErr w:type="spellEnd"/>
      <w:r w:rsidRPr="003432E5">
        <w:rPr>
          <w:lang w:val="en-GB"/>
        </w:rPr>
        <w:t xml:space="preserve"> A, Abubakar A, Nasambu C, Libster R, Sánchez </w:t>
      </w:r>
      <w:proofErr w:type="spellStart"/>
      <w:r w:rsidRPr="003432E5">
        <w:rPr>
          <w:lang w:val="en-GB"/>
        </w:rPr>
        <w:t>Yanotti</w:t>
      </w:r>
      <w:proofErr w:type="spellEnd"/>
      <w:r w:rsidRPr="003432E5">
        <w:rPr>
          <w:lang w:val="en-GB"/>
        </w:rPr>
        <w:t xml:space="preserve"> C, Horváth-</w:t>
      </w:r>
      <w:proofErr w:type="spellStart"/>
      <w:r w:rsidRPr="003432E5">
        <w:rPr>
          <w:lang w:val="en-GB"/>
        </w:rPr>
        <w:t>Puhó</w:t>
      </w:r>
      <w:proofErr w:type="spellEnd"/>
      <w:r w:rsidRPr="003432E5">
        <w:rPr>
          <w:lang w:val="en-GB"/>
        </w:rPr>
        <w:t xml:space="preserve"> E, Sørensen HT, van de Beek D, Bijlsma MW, Gardner WM, Kassebaum N, Trotter C, Bassat Q, Madhi SA, </w:t>
      </w:r>
      <w:proofErr w:type="spellStart"/>
      <w:r w:rsidRPr="003432E5">
        <w:rPr>
          <w:lang w:val="en-GB"/>
        </w:rPr>
        <w:t>Lambach</w:t>
      </w:r>
      <w:proofErr w:type="spellEnd"/>
      <w:r w:rsidRPr="003432E5">
        <w:rPr>
          <w:lang w:val="en-GB"/>
        </w:rPr>
        <w:t xml:space="preserve"> P, Jit M, Lawn JE; GBS Danish and Dutch collaborative group for long term outcomes; GBS Low and Middle Income Countries collaborative group for long term outcomes; GBS Scientific Advisory Group, epidemiological sub-group; CHAMPS team. </w:t>
      </w:r>
      <w:r w:rsidRPr="00F06EA4">
        <w:t xml:space="preserve">Group B streptococcus infection during pregnancy and infancy: estimates of regional and global burden. Lancet Glob Health. 2022 Jun;10(6):e807-e819. </w:t>
      </w:r>
      <w:proofErr w:type="spellStart"/>
      <w:r w:rsidRPr="00F06EA4">
        <w:t>doi</w:t>
      </w:r>
      <w:proofErr w:type="spellEnd"/>
      <w:r w:rsidRPr="00F06EA4">
        <w:t xml:space="preserve">: 10.1016/S2214-109X(22)00093-6. </w:t>
      </w:r>
      <w:proofErr w:type="spellStart"/>
      <w:r w:rsidRPr="00F06EA4">
        <w:t>Epub</w:t>
      </w:r>
      <w:proofErr w:type="spellEnd"/>
      <w:r w:rsidRPr="00F06EA4">
        <w:t xml:space="preserve"> 2022 Apr 28. Erratum in: Lancet Glob Health. 2022 Jul;10(7):e960. </w:t>
      </w:r>
      <w:proofErr w:type="spellStart"/>
      <w:r w:rsidRPr="00F06EA4">
        <w:t>doi</w:t>
      </w:r>
      <w:proofErr w:type="spellEnd"/>
      <w:r w:rsidRPr="00F06EA4">
        <w:t>: 10.1016/S2214-109X(22)00235-2. PMID: 35490693; PMCID: PMC9090904.</w:t>
      </w:r>
      <w:r>
        <w:rPr>
          <w:lang w:val="en-GB"/>
        </w:rPr>
        <w:t xml:space="preserve"> </w:t>
      </w:r>
    </w:p>
  </w:endnote>
  <w:endnote w:id="55">
    <w:p w14:paraId="3F28E182" w14:textId="77777777" w:rsidR="00F822FC" w:rsidRPr="00EA3614" w:rsidRDefault="00F822FC" w:rsidP="00F822FC">
      <w:pPr>
        <w:pStyle w:val="EndnoteText"/>
        <w:rPr>
          <w:lang w:val="en-GB"/>
        </w:rPr>
      </w:pPr>
      <w:r>
        <w:rPr>
          <w:rStyle w:val="EndnoteReference"/>
        </w:rPr>
        <w:endnoteRef/>
      </w:r>
      <w:r>
        <w:t xml:space="preserve"> </w:t>
      </w:r>
      <w:hyperlink r:id="rId44" w:history="1">
        <w:r w:rsidRPr="004F2546">
          <w:rPr>
            <w:rStyle w:val="Hyperlink"/>
          </w:rPr>
          <w:t>https://www.pfizerclinicaltrials.com/find-a-trial/nct07160244-healthy-trial</w:t>
        </w:r>
      </w:hyperlink>
      <w:r>
        <w:rPr>
          <w:lang w:val="en-GB"/>
        </w:rPr>
        <w:t xml:space="preserve"> </w:t>
      </w:r>
    </w:p>
  </w:endnote>
  <w:endnote w:id="56">
    <w:p w14:paraId="5FFAE87E" w14:textId="6E2E9A7C" w:rsidR="00CC652A" w:rsidRPr="00CC652A" w:rsidRDefault="00CC652A">
      <w:pPr>
        <w:pStyle w:val="EndnoteText"/>
      </w:pPr>
      <w:r>
        <w:rPr>
          <w:rStyle w:val="EndnoteReference"/>
        </w:rPr>
        <w:endnoteRef/>
      </w:r>
      <w:r>
        <w:t xml:space="preserve"> </w:t>
      </w:r>
      <w:r w:rsidRPr="00CC652A">
        <w:t xml:space="preserve">GBD 2019 </w:t>
      </w:r>
      <w:proofErr w:type="spellStart"/>
      <w:r w:rsidRPr="00CC652A">
        <w:t>Diarrhoeal</w:t>
      </w:r>
      <w:proofErr w:type="spellEnd"/>
      <w:r w:rsidRPr="00CC652A">
        <w:t xml:space="preserve"> Diseases Collaborators. (2020). Quantifying risks and interventions that have affected the burden of </w:t>
      </w:r>
      <w:proofErr w:type="spellStart"/>
      <w:r w:rsidRPr="00CC652A">
        <w:t>diarrhoeal</w:t>
      </w:r>
      <w:proofErr w:type="spellEnd"/>
      <w:r w:rsidRPr="00CC652A">
        <w:t xml:space="preserve"> diseases among children younger than 5 years: An analysis of the Global Burden of Disease Study 2019. </w:t>
      </w:r>
      <w:r w:rsidRPr="00CC652A">
        <w:rPr>
          <w:i/>
          <w:iCs/>
        </w:rPr>
        <w:t>The Lancet Infectious Diseases, 20</w:t>
      </w:r>
      <w:r w:rsidRPr="00CC652A">
        <w:t>(1), 37–59.</w:t>
      </w:r>
    </w:p>
  </w:endnote>
  <w:endnote w:id="57">
    <w:p w14:paraId="603A95F2" w14:textId="4C8081AB" w:rsidR="00CC652A" w:rsidRPr="00CC652A" w:rsidRDefault="00CC652A">
      <w:pPr>
        <w:pStyle w:val="EndnoteText"/>
        <w:rPr>
          <w:lang w:val="en-AU"/>
        </w:rPr>
      </w:pPr>
      <w:r>
        <w:rPr>
          <w:rStyle w:val="EndnoteReference"/>
        </w:rPr>
        <w:endnoteRef/>
      </w:r>
      <w:r>
        <w:t xml:space="preserve"> </w:t>
      </w:r>
      <w:r w:rsidRPr="00CC652A">
        <w:t xml:space="preserve">Khalil, I. A., Troeger, C., Blacker, B. F., Rao, P. C., Brown, A., Atherly, D. E., … Reiner, R. C. (2023). Morbidity, mortality, and long-term consequences associated with Shigella infections: A modeling analysis. </w:t>
      </w:r>
      <w:r w:rsidRPr="00CC652A">
        <w:rPr>
          <w:i/>
          <w:iCs/>
        </w:rPr>
        <w:t>The Lancet Global Health, 11</w:t>
      </w:r>
      <w:r w:rsidRPr="00CC652A">
        <w:t>(5), e707–e716</w:t>
      </w:r>
    </w:p>
  </w:endnote>
  <w:endnote w:id="58">
    <w:p w14:paraId="17897038" w14:textId="6DB726D8" w:rsidR="00502D63" w:rsidRPr="00502D63" w:rsidRDefault="00502D63">
      <w:pPr>
        <w:pStyle w:val="EndnoteText"/>
      </w:pPr>
      <w:r>
        <w:rPr>
          <w:rStyle w:val="EndnoteReference"/>
        </w:rPr>
        <w:endnoteRef/>
      </w:r>
      <w:r>
        <w:t xml:space="preserve"> </w:t>
      </w:r>
      <w:r w:rsidRPr="00502D63">
        <w:t xml:space="preserve">Troeger, C., </w:t>
      </w:r>
      <w:proofErr w:type="spellStart"/>
      <w:r w:rsidRPr="00502D63">
        <w:t>Colombara</w:t>
      </w:r>
      <w:proofErr w:type="spellEnd"/>
      <w:r w:rsidRPr="00502D63">
        <w:t xml:space="preserve">, D. V., Rao, P. C., Khalil, I. A., Brown, A., Brewer, T. G., … Reiner, R. C. (2018). Global disability-adjusted life-year estimates of long-term health burden and undernutrition attributable to </w:t>
      </w:r>
      <w:proofErr w:type="spellStart"/>
      <w:r w:rsidRPr="00502D63">
        <w:t>diarrhoeal</w:t>
      </w:r>
      <w:proofErr w:type="spellEnd"/>
      <w:r w:rsidRPr="00502D63">
        <w:t xml:space="preserve"> diseases in children younger than 5 years. </w:t>
      </w:r>
      <w:r w:rsidRPr="00502D63">
        <w:rPr>
          <w:i/>
          <w:iCs/>
        </w:rPr>
        <w:t>Nature Communications, 9</w:t>
      </w:r>
      <w:r w:rsidRPr="00502D63">
        <w:t>, 1–13.</w:t>
      </w:r>
    </w:p>
  </w:endnote>
  <w:endnote w:id="59">
    <w:p w14:paraId="312040E5" w14:textId="71017487" w:rsidR="003311AA" w:rsidRPr="003311AA" w:rsidRDefault="003311AA">
      <w:pPr>
        <w:pStyle w:val="EndnoteText"/>
        <w:rPr>
          <w:lang w:val="en-GB"/>
        </w:rPr>
      </w:pPr>
      <w:r>
        <w:rPr>
          <w:rStyle w:val="EndnoteReference"/>
        </w:rPr>
        <w:endnoteRef/>
      </w:r>
      <w:r>
        <w:t xml:space="preserve"> </w:t>
      </w:r>
      <w:r w:rsidRPr="003311AA">
        <w:t>World Health Organization (2021). WHO preferred product characteristics for vaccines against Shigella. World Health Organization. </w:t>
      </w:r>
      <w:hyperlink r:id="rId45" w:history="1">
        <w:r w:rsidRPr="003311AA">
          <w:rPr>
            <w:rStyle w:val="Hyperlink"/>
          </w:rPr>
          <w:t>https://iris.who.int/handle/10665/349841</w:t>
        </w:r>
      </w:hyperlink>
      <w:r w:rsidRPr="003311AA">
        <w:t>. License: CC BY-NC-SA 3.0 IGO</w:t>
      </w:r>
    </w:p>
  </w:endnote>
  <w:endnote w:id="60">
    <w:p w14:paraId="2F7272C6" w14:textId="4D18C68A" w:rsidR="00A2505F" w:rsidRPr="00A2505F" w:rsidRDefault="00A2505F">
      <w:pPr>
        <w:pStyle w:val="EndnoteText"/>
        <w:rPr>
          <w:lang w:val="en-GB"/>
        </w:rPr>
      </w:pPr>
      <w:r>
        <w:rPr>
          <w:rStyle w:val="EndnoteReference"/>
        </w:rPr>
        <w:endnoteRef/>
      </w:r>
      <w:r>
        <w:t xml:space="preserve"> </w:t>
      </w:r>
      <w:hyperlink r:id="rId46" w:history="1">
        <w:r w:rsidRPr="004F2546">
          <w:rPr>
            <w:rStyle w:val="Hyperlink"/>
          </w:rPr>
          <w:t>https://feeds.issuerdirect.com/news-release.html?newsid=5904324204417374&amp;symbol=MRNA</w:t>
        </w:r>
      </w:hyperlink>
      <w:r>
        <w:rPr>
          <w:lang w:val="en-GB"/>
        </w:rPr>
        <w:t xml:space="preserve"> </w:t>
      </w:r>
    </w:p>
  </w:endnote>
  <w:endnote w:id="61">
    <w:p w14:paraId="1C5F2DC4" w14:textId="7E5E54A1" w:rsidR="00A2505F" w:rsidRPr="00A2505F" w:rsidRDefault="00A2505F">
      <w:pPr>
        <w:pStyle w:val="EndnoteText"/>
        <w:rPr>
          <w:lang w:val="en-GB"/>
        </w:rPr>
      </w:pPr>
      <w:r>
        <w:rPr>
          <w:rStyle w:val="EndnoteReference"/>
        </w:rPr>
        <w:endnoteRef/>
      </w:r>
      <w:r>
        <w:t xml:space="preserve"> </w:t>
      </w:r>
      <w:r w:rsidRPr="00A2505F">
        <w:t xml:space="preserve">Kaye PM, </w:t>
      </w:r>
      <w:proofErr w:type="spellStart"/>
      <w:r w:rsidRPr="00A2505F">
        <w:t>Matlashewski</w:t>
      </w:r>
      <w:proofErr w:type="spellEnd"/>
      <w:r w:rsidRPr="00A2505F">
        <w:t xml:space="preserve"> G, Mohan S, Le Rutte E, Mondal D, </w:t>
      </w:r>
      <w:proofErr w:type="spellStart"/>
      <w:r w:rsidRPr="00A2505F">
        <w:t>Khamesipour</w:t>
      </w:r>
      <w:proofErr w:type="spellEnd"/>
      <w:r w:rsidRPr="00A2505F">
        <w:t xml:space="preserve"> A, Malvolti S. Vaccine value profile for leishmaniasis. Vaccine. 2023 Nov 3;41 Suppl 2:S153-S175. </w:t>
      </w:r>
      <w:proofErr w:type="spellStart"/>
      <w:r w:rsidRPr="00A2505F">
        <w:t>doi</w:t>
      </w:r>
      <w:proofErr w:type="spellEnd"/>
      <w:r w:rsidRPr="00A2505F">
        <w:t xml:space="preserve">: 10.1016/j.vaccine.2023.01.057. </w:t>
      </w:r>
      <w:proofErr w:type="spellStart"/>
      <w:r w:rsidRPr="00A2505F">
        <w:t>Epub</w:t>
      </w:r>
      <w:proofErr w:type="spellEnd"/>
      <w:r w:rsidRPr="00A2505F">
        <w:t xml:space="preserve"> 2023 Oct 6. PMID: 37951693.</w:t>
      </w:r>
      <w:r>
        <w:rPr>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ubballi">
    <w:charset w:val="4D"/>
    <w:family w:val="auto"/>
    <w:pitch w:val="variable"/>
    <w:sig w:usb0="004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992E" w14:textId="77777777" w:rsidR="00A5770B" w:rsidRDefault="00A57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999279"/>
      <w:docPartObj>
        <w:docPartGallery w:val="Page Numbers (Bottom of Page)"/>
        <w:docPartUnique/>
      </w:docPartObj>
    </w:sdtPr>
    <w:sdtEndPr>
      <w:rPr>
        <w:noProof/>
      </w:rPr>
    </w:sdtEndPr>
    <w:sdtContent>
      <w:p w14:paraId="42948B04" w14:textId="0760F61C" w:rsidR="00C979B0" w:rsidRDefault="00C979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508CF5" w14:textId="77777777" w:rsidR="00A5770B" w:rsidRDefault="00A57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6714" w14:textId="77777777" w:rsidR="00A5770B" w:rsidRDefault="00A5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9AD4" w14:textId="77777777" w:rsidR="00DF6E93" w:rsidRDefault="00DF6E93" w:rsidP="000318FB">
      <w:pPr>
        <w:spacing w:after="0" w:line="240" w:lineRule="auto"/>
      </w:pPr>
      <w:r>
        <w:separator/>
      </w:r>
    </w:p>
  </w:footnote>
  <w:footnote w:type="continuationSeparator" w:id="0">
    <w:p w14:paraId="33704954" w14:textId="77777777" w:rsidR="00DF6E93" w:rsidRDefault="00DF6E93" w:rsidP="0003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853D" w14:textId="77777777" w:rsidR="00A5770B" w:rsidRDefault="00A57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338091"/>
      <w:docPartObj>
        <w:docPartGallery w:val="Watermarks"/>
        <w:docPartUnique/>
      </w:docPartObj>
    </w:sdtPr>
    <w:sdtEndPr/>
    <w:sdtContent>
      <w:p w14:paraId="38E1A1A4" w14:textId="41A45818" w:rsidR="00A5770B" w:rsidRDefault="00DF6E93">
        <w:pPr>
          <w:pStyle w:val="Header"/>
        </w:pPr>
        <w:r>
          <w:rPr>
            <w:noProof/>
          </w:rPr>
          <w:pict w14:anchorId="24D0B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59B4" w14:textId="77777777" w:rsidR="00A5770B" w:rsidRDefault="00A57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2A2"/>
    <w:multiLevelType w:val="hybridMultilevel"/>
    <w:tmpl w:val="0E647C78"/>
    <w:lvl w:ilvl="0" w:tplc="5F1E8E2E">
      <w:numFmt w:val="bullet"/>
      <w:lvlText w:val=""/>
      <w:lvlJc w:val="left"/>
      <w:pPr>
        <w:ind w:left="720" w:hanging="360"/>
      </w:pPr>
      <w:rPr>
        <w:rFonts w:ascii="Symbol" w:eastAsiaTheme="minorHAnsi" w:hAnsi="Symbol"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357431C"/>
    <w:multiLevelType w:val="multilevel"/>
    <w:tmpl w:val="80129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573AD3"/>
    <w:multiLevelType w:val="multilevel"/>
    <w:tmpl w:val="FD2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8557D"/>
    <w:multiLevelType w:val="hybridMultilevel"/>
    <w:tmpl w:val="BA54DE50"/>
    <w:lvl w:ilvl="0" w:tplc="A48E6882">
      <w:numFmt w:val="bullet"/>
      <w:lvlText w:val=""/>
      <w:lvlJc w:val="left"/>
      <w:pPr>
        <w:ind w:left="720" w:hanging="360"/>
      </w:pPr>
      <w:rPr>
        <w:rFonts w:ascii="Symbol" w:eastAsiaTheme="minorHAnsi" w:hAnsi="Symbol" w:cstheme="minorBidi"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5A82529"/>
    <w:multiLevelType w:val="multilevel"/>
    <w:tmpl w:val="9C14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F59A0"/>
    <w:multiLevelType w:val="multilevel"/>
    <w:tmpl w:val="26DE8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344F5E"/>
    <w:multiLevelType w:val="hybridMultilevel"/>
    <w:tmpl w:val="15B0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A6BB8"/>
    <w:multiLevelType w:val="hybridMultilevel"/>
    <w:tmpl w:val="6940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620CA"/>
    <w:multiLevelType w:val="multilevel"/>
    <w:tmpl w:val="2BA60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E431D"/>
    <w:multiLevelType w:val="multilevel"/>
    <w:tmpl w:val="012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43018"/>
    <w:multiLevelType w:val="multilevel"/>
    <w:tmpl w:val="A1F269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8712F37"/>
    <w:multiLevelType w:val="hybridMultilevel"/>
    <w:tmpl w:val="83DE6756"/>
    <w:lvl w:ilvl="0" w:tplc="CD9ED994">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ABE7875"/>
    <w:multiLevelType w:val="multilevel"/>
    <w:tmpl w:val="4D5AFE7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B146B76"/>
    <w:multiLevelType w:val="hybridMultilevel"/>
    <w:tmpl w:val="BB16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53AE1"/>
    <w:multiLevelType w:val="hybridMultilevel"/>
    <w:tmpl w:val="28EC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E01C0"/>
    <w:multiLevelType w:val="multilevel"/>
    <w:tmpl w:val="4D5AFE7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7F27DC6"/>
    <w:multiLevelType w:val="multilevel"/>
    <w:tmpl w:val="B4C8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46D44"/>
    <w:multiLevelType w:val="hybridMultilevel"/>
    <w:tmpl w:val="49B293D8"/>
    <w:lvl w:ilvl="0" w:tplc="E99C8388">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9A8301F"/>
    <w:multiLevelType w:val="hybridMultilevel"/>
    <w:tmpl w:val="C1708B6C"/>
    <w:lvl w:ilvl="0" w:tplc="0FE2AE6A">
      <w:start w:val="1"/>
      <w:numFmt w:val="bullet"/>
      <w:lvlText w:val="•"/>
      <w:lvlJc w:val="left"/>
      <w:pPr>
        <w:tabs>
          <w:tab w:val="num" w:pos="720"/>
        </w:tabs>
        <w:ind w:left="720" w:hanging="360"/>
      </w:pPr>
      <w:rPr>
        <w:rFonts w:ascii="Arial" w:hAnsi="Arial" w:hint="default"/>
      </w:rPr>
    </w:lvl>
    <w:lvl w:ilvl="1" w:tplc="8AAA1452" w:tentative="1">
      <w:start w:val="1"/>
      <w:numFmt w:val="bullet"/>
      <w:lvlText w:val="•"/>
      <w:lvlJc w:val="left"/>
      <w:pPr>
        <w:tabs>
          <w:tab w:val="num" w:pos="1440"/>
        </w:tabs>
        <w:ind w:left="1440" w:hanging="360"/>
      </w:pPr>
      <w:rPr>
        <w:rFonts w:ascii="Arial" w:hAnsi="Arial" w:hint="default"/>
      </w:rPr>
    </w:lvl>
    <w:lvl w:ilvl="2" w:tplc="084EDA74" w:tentative="1">
      <w:start w:val="1"/>
      <w:numFmt w:val="bullet"/>
      <w:lvlText w:val="•"/>
      <w:lvlJc w:val="left"/>
      <w:pPr>
        <w:tabs>
          <w:tab w:val="num" w:pos="2160"/>
        </w:tabs>
        <w:ind w:left="2160" w:hanging="360"/>
      </w:pPr>
      <w:rPr>
        <w:rFonts w:ascii="Arial" w:hAnsi="Arial" w:hint="default"/>
      </w:rPr>
    </w:lvl>
    <w:lvl w:ilvl="3" w:tplc="1AE8C030" w:tentative="1">
      <w:start w:val="1"/>
      <w:numFmt w:val="bullet"/>
      <w:lvlText w:val="•"/>
      <w:lvlJc w:val="left"/>
      <w:pPr>
        <w:tabs>
          <w:tab w:val="num" w:pos="2880"/>
        </w:tabs>
        <w:ind w:left="2880" w:hanging="360"/>
      </w:pPr>
      <w:rPr>
        <w:rFonts w:ascii="Arial" w:hAnsi="Arial" w:hint="default"/>
      </w:rPr>
    </w:lvl>
    <w:lvl w:ilvl="4" w:tplc="66ECE994" w:tentative="1">
      <w:start w:val="1"/>
      <w:numFmt w:val="bullet"/>
      <w:lvlText w:val="•"/>
      <w:lvlJc w:val="left"/>
      <w:pPr>
        <w:tabs>
          <w:tab w:val="num" w:pos="3600"/>
        </w:tabs>
        <w:ind w:left="3600" w:hanging="360"/>
      </w:pPr>
      <w:rPr>
        <w:rFonts w:ascii="Arial" w:hAnsi="Arial" w:hint="default"/>
      </w:rPr>
    </w:lvl>
    <w:lvl w:ilvl="5" w:tplc="5F165A1E" w:tentative="1">
      <w:start w:val="1"/>
      <w:numFmt w:val="bullet"/>
      <w:lvlText w:val="•"/>
      <w:lvlJc w:val="left"/>
      <w:pPr>
        <w:tabs>
          <w:tab w:val="num" w:pos="4320"/>
        </w:tabs>
        <w:ind w:left="4320" w:hanging="360"/>
      </w:pPr>
      <w:rPr>
        <w:rFonts w:ascii="Arial" w:hAnsi="Arial" w:hint="default"/>
      </w:rPr>
    </w:lvl>
    <w:lvl w:ilvl="6" w:tplc="8CA87956" w:tentative="1">
      <w:start w:val="1"/>
      <w:numFmt w:val="bullet"/>
      <w:lvlText w:val="•"/>
      <w:lvlJc w:val="left"/>
      <w:pPr>
        <w:tabs>
          <w:tab w:val="num" w:pos="5040"/>
        </w:tabs>
        <w:ind w:left="5040" w:hanging="360"/>
      </w:pPr>
      <w:rPr>
        <w:rFonts w:ascii="Arial" w:hAnsi="Arial" w:hint="default"/>
      </w:rPr>
    </w:lvl>
    <w:lvl w:ilvl="7" w:tplc="3EC2FD42" w:tentative="1">
      <w:start w:val="1"/>
      <w:numFmt w:val="bullet"/>
      <w:lvlText w:val="•"/>
      <w:lvlJc w:val="left"/>
      <w:pPr>
        <w:tabs>
          <w:tab w:val="num" w:pos="5760"/>
        </w:tabs>
        <w:ind w:left="5760" w:hanging="360"/>
      </w:pPr>
      <w:rPr>
        <w:rFonts w:ascii="Arial" w:hAnsi="Arial" w:hint="default"/>
      </w:rPr>
    </w:lvl>
    <w:lvl w:ilvl="8" w:tplc="9844E6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7B536C"/>
    <w:multiLevelType w:val="hybridMultilevel"/>
    <w:tmpl w:val="58203A22"/>
    <w:lvl w:ilvl="0" w:tplc="9906FCD4">
      <w:start w:val="1"/>
      <w:numFmt w:val="bullet"/>
      <w:lvlText w:val="•"/>
      <w:lvlJc w:val="left"/>
      <w:pPr>
        <w:tabs>
          <w:tab w:val="num" w:pos="720"/>
        </w:tabs>
        <w:ind w:left="720" w:hanging="360"/>
      </w:pPr>
      <w:rPr>
        <w:rFonts w:ascii="Arial" w:hAnsi="Arial" w:hint="default"/>
      </w:rPr>
    </w:lvl>
    <w:lvl w:ilvl="1" w:tplc="EF2872DA" w:tentative="1">
      <w:start w:val="1"/>
      <w:numFmt w:val="bullet"/>
      <w:lvlText w:val="•"/>
      <w:lvlJc w:val="left"/>
      <w:pPr>
        <w:tabs>
          <w:tab w:val="num" w:pos="1440"/>
        </w:tabs>
        <w:ind w:left="1440" w:hanging="360"/>
      </w:pPr>
      <w:rPr>
        <w:rFonts w:ascii="Arial" w:hAnsi="Arial" w:hint="default"/>
      </w:rPr>
    </w:lvl>
    <w:lvl w:ilvl="2" w:tplc="AAF28130" w:tentative="1">
      <w:start w:val="1"/>
      <w:numFmt w:val="bullet"/>
      <w:lvlText w:val="•"/>
      <w:lvlJc w:val="left"/>
      <w:pPr>
        <w:tabs>
          <w:tab w:val="num" w:pos="2160"/>
        </w:tabs>
        <w:ind w:left="2160" w:hanging="360"/>
      </w:pPr>
      <w:rPr>
        <w:rFonts w:ascii="Arial" w:hAnsi="Arial" w:hint="default"/>
      </w:rPr>
    </w:lvl>
    <w:lvl w:ilvl="3" w:tplc="A04CF042" w:tentative="1">
      <w:start w:val="1"/>
      <w:numFmt w:val="bullet"/>
      <w:lvlText w:val="•"/>
      <w:lvlJc w:val="left"/>
      <w:pPr>
        <w:tabs>
          <w:tab w:val="num" w:pos="2880"/>
        </w:tabs>
        <w:ind w:left="2880" w:hanging="360"/>
      </w:pPr>
      <w:rPr>
        <w:rFonts w:ascii="Arial" w:hAnsi="Arial" w:hint="default"/>
      </w:rPr>
    </w:lvl>
    <w:lvl w:ilvl="4" w:tplc="D5C0CBD0" w:tentative="1">
      <w:start w:val="1"/>
      <w:numFmt w:val="bullet"/>
      <w:lvlText w:val="•"/>
      <w:lvlJc w:val="left"/>
      <w:pPr>
        <w:tabs>
          <w:tab w:val="num" w:pos="3600"/>
        </w:tabs>
        <w:ind w:left="3600" w:hanging="360"/>
      </w:pPr>
      <w:rPr>
        <w:rFonts w:ascii="Arial" w:hAnsi="Arial" w:hint="default"/>
      </w:rPr>
    </w:lvl>
    <w:lvl w:ilvl="5" w:tplc="A8A8A416" w:tentative="1">
      <w:start w:val="1"/>
      <w:numFmt w:val="bullet"/>
      <w:lvlText w:val="•"/>
      <w:lvlJc w:val="left"/>
      <w:pPr>
        <w:tabs>
          <w:tab w:val="num" w:pos="4320"/>
        </w:tabs>
        <w:ind w:left="4320" w:hanging="360"/>
      </w:pPr>
      <w:rPr>
        <w:rFonts w:ascii="Arial" w:hAnsi="Arial" w:hint="default"/>
      </w:rPr>
    </w:lvl>
    <w:lvl w:ilvl="6" w:tplc="5D866A18" w:tentative="1">
      <w:start w:val="1"/>
      <w:numFmt w:val="bullet"/>
      <w:lvlText w:val="•"/>
      <w:lvlJc w:val="left"/>
      <w:pPr>
        <w:tabs>
          <w:tab w:val="num" w:pos="5040"/>
        </w:tabs>
        <w:ind w:left="5040" w:hanging="360"/>
      </w:pPr>
      <w:rPr>
        <w:rFonts w:ascii="Arial" w:hAnsi="Arial" w:hint="default"/>
      </w:rPr>
    </w:lvl>
    <w:lvl w:ilvl="7" w:tplc="82602596" w:tentative="1">
      <w:start w:val="1"/>
      <w:numFmt w:val="bullet"/>
      <w:lvlText w:val="•"/>
      <w:lvlJc w:val="left"/>
      <w:pPr>
        <w:tabs>
          <w:tab w:val="num" w:pos="5760"/>
        </w:tabs>
        <w:ind w:left="5760" w:hanging="360"/>
      </w:pPr>
      <w:rPr>
        <w:rFonts w:ascii="Arial" w:hAnsi="Arial" w:hint="default"/>
      </w:rPr>
    </w:lvl>
    <w:lvl w:ilvl="8" w:tplc="36049B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3E70DF"/>
    <w:multiLevelType w:val="hybridMultilevel"/>
    <w:tmpl w:val="CDC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C0FD9"/>
    <w:multiLevelType w:val="hybridMultilevel"/>
    <w:tmpl w:val="38DEFC7C"/>
    <w:lvl w:ilvl="0" w:tplc="ACB66ED2">
      <w:start w:val="1"/>
      <w:numFmt w:val="bullet"/>
      <w:lvlText w:val="•"/>
      <w:lvlJc w:val="left"/>
      <w:pPr>
        <w:tabs>
          <w:tab w:val="num" w:pos="720"/>
        </w:tabs>
        <w:ind w:left="720" w:hanging="360"/>
      </w:pPr>
      <w:rPr>
        <w:rFonts w:ascii="Arial" w:hAnsi="Arial" w:hint="default"/>
      </w:rPr>
    </w:lvl>
    <w:lvl w:ilvl="1" w:tplc="F858D578" w:tentative="1">
      <w:start w:val="1"/>
      <w:numFmt w:val="bullet"/>
      <w:lvlText w:val="•"/>
      <w:lvlJc w:val="left"/>
      <w:pPr>
        <w:tabs>
          <w:tab w:val="num" w:pos="1440"/>
        </w:tabs>
        <w:ind w:left="1440" w:hanging="360"/>
      </w:pPr>
      <w:rPr>
        <w:rFonts w:ascii="Arial" w:hAnsi="Arial" w:hint="default"/>
      </w:rPr>
    </w:lvl>
    <w:lvl w:ilvl="2" w:tplc="03EE3940" w:tentative="1">
      <w:start w:val="1"/>
      <w:numFmt w:val="bullet"/>
      <w:lvlText w:val="•"/>
      <w:lvlJc w:val="left"/>
      <w:pPr>
        <w:tabs>
          <w:tab w:val="num" w:pos="2160"/>
        </w:tabs>
        <w:ind w:left="2160" w:hanging="360"/>
      </w:pPr>
      <w:rPr>
        <w:rFonts w:ascii="Arial" w:hAnsi="Arial" w:hint="default"/>
      </w:rPr>
    </w:lvl>
    <w:lvl w:ilvl="3" w:tplc="AD3C61A2" w:tentative="1">
      <w:start w:val="1"/>
      <w:numFmt w:val="bullet"/>
      <w:lvlText w:val="•"/>
      <w:lvlJc w:val="left"/>
      <w:pPr>
        <w:tabs>
          <w:tab w:val="num" w:pos="2880"/>
        </w:tabs>
        <w:ind w:left="2880" w:hanging="360"/>
      </w:pPr>
      <w:rPr>
        <w:rFonts w:ascii="Arial" w:hAnsi="Arial" w:hint="default"/>
      </w:rPr>
    </w:lvl>
    <w:lvl w:ilvl="4" w:tplc="E4C62970" w:tentative="1">
      <w:start w:val="1"/>
      <w:numFmt w:val="bullet"/>
      <w:lvlText w:val="•"/>
      <w:lvlJc w:val="left"/>
      <w:pPr>
        <w:tabs>
          <w:tab w:val="num" w:pos="3600"/>
        </w:tabs>
        <w:ind w:left="3600" w:hanging="360"/>
      </w:pPr>
      <w:rPr>
        <w:rFonts w:ascii="Arial" w:hAnsi="Arial" w:hint="default"/>
      </w:rPr>
    </w:lvl>
    <w:lvl w:ilvl="5" w:tplc="0730FF1E" w:tentative="1">
      <w:start w:val="1"/>
      <w:numFmt w:val="bullet"/>
      <w:lvlText w:val="•"/>
      <w:lvlJc w:val="left"/>
      <w:pPr>
        <w:tabs>
          <w:tab w:val="num" w:pos="4320"/>
        </w:tabs>
        <w:ind w:left="4320" w:hanging="360"/>
      </w:pPr>
      <w:rPr>
        <w:rFonts w:ascii="Arial" w:hAnsi="Arial" w:hint="default"/>
      </w:rPr>
    </w:lvl>
    <w:lvl w:ilvl="6" w:tplc="AC023806" w:tentative="1">
      <w:start w:val="1"/>
      <w:numFmt w:val="bullet"/>
      <w:lvlText w:val="•"/>
      <w:lvlJc w:val="left"/>
      <w:pPr>
        <w:tabs>
          <w:tab w:val="num" w:pos="5040"/>
        </w:tabs>
        <w:ind w:left="5040" w:hanging="360"/>
      </w:pPr>
      <w:rPr>
        <w:rFonts w:ascii="Arial" w:hAnsi="Arial" w:hint="default"/>
      </w:rPr>
    </w:lvl>
    <w:lvl w:ilvl="7" w:tplc="A9E40A9A" w:tentative="1">
      <w:start w:val="1"/>
      <w:numFmt w:val="bullet"/>
      <w:lvlText w:val="•"/>
      <w:lvlJc w:val="left"/>
      <w:pPr>
        <w:tabs>
          <w:tab w:val="num" w:pos="5760"/>
        </w:tabs>
        <w:ind w:left="5760" w:hanging="360"/>
      </w:pPr>
      <w:rPr>
        <w:rFonts w:ascii="Arial" w:hAnsi="Arial" w:hint="default"/>
      </w:rPr>
    </w:lvl>
    <w:lvl w:ilvl="8" w:tplc="0BBEE0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BC4AA1"/>
    <w:multiLevelType w:val="hybridMultilevel"/>
    <w:tmpl w:val="041AD336"/>
    <w:lvl w:ilvl="0" w:tplc="830A9566">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7E13C2D"/>
    <w:multiLevelType w:val="hybridMultilevel"/>
    <w:tmpl w:val="BA748A4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48FD459A"/>
    <w:multiLevelType w:val="hybridMultilevel"/>
    <w:tmpl w:val="8D765472"/>
    <w:lvl w:ilvl="0" w:tplc="E99C8388">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4D81F63"/>
    <w:multiLevelType w:val="multilevel"/>
    <w:tmpl w:val="8FBEEC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292B01"/>
    <w:multiLevelType w:val="hybridMultilevel"/>
    <w:tmpl w:val="AB625126"/>
    <w:lvl w:ilvl="0" w:tplc="3E1055B8">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69F641E"/>
    <w:multiLevelType w:val="multilevel"/>
    <w:tmpl w:val="614E8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864302D"/>
    <w:multiLevelType w:val="hybridMultilevel"/>
    <w:tmpl w:val="E6DE7CF6"/>
    <w:lvl w:ilvl="0" w:tplc="8DC8B0BA">
      <w:start w:val="1"/>
      <w:numFmt w:val="bullet"/>
      <w:lvlText w:val="•"/>
      <w:lvlJc w:val="left"/>
      <w:pPr>
        <w:tabs>
          <w:tab w:val="num" w:pos="720"/>
        </w:tabs>
        <w:ind w:left="720" w:hanging="360"/>
      </w:pPr>
      <w:rPr>
        <w:rFonts w:ascii="Arial" w:hAnsi="Arial" w:hint="default"/>
      </w:rPr>
    </w:lvl>
    <w:lvl w:ilvl="1" w:tplc="726AA89C" w:tentative="1">
      <w:start w:val="1"/>
      <w:numFmt w:val="bullet"/>
      <w:lvlText w:val="•"/>
      <w:lvlJc w:val="left"/>
      <w:pPr>
        <w:tabs>
          <w:tab w:val="num" w:pos="1440"/>
        </w:tabs>
        <w:ind w:left="1440" w:hanging="360"/>
      </w:pPr>
      <w:rPr>
        <w:rFonts w:ascii="Arial" w:hAnsi="Arial" w:hint="default"/>
      </w:rPr>
    </w:lvl>
    <w:lvl w:ilvl="2" w:tplc="E236EC64" w:tentative="1">
      <w:start w:val="1"/>
      <w:numFmt w:val="bullet"/>
      <w:lvlText w:val="•"/>
      <w:lvlJc w:val="left"/>
      <w:pPr>
        <w:tabs>
          <w:tab w:val="num" w:pos="2160"/>
        </w:tabs>
        <w:ind w:left="2160" w:hanging="360"/>
      </w:pPr>
      <w:rPr>
        <w:rFonts w:ascii="Arial" w:hAnsi="Arial" w:hint="default"/>
      </w:rPr>
    </w:lvl>
    <w:lvl w:ilvl="3" w:tplc="7B54D8EC" w:tentative="1">
      <w:start w:val="1"/>
      <w:numFmt w:val="bullet"/>
      <w:lvlText w:val="•"/>
      <w:lvlJc w:val="left"/>
      <w:pPr>
        <w:tabs>
          <w:tab w:val="num" w:pos="2880"/>
        </w:tabs>
        <w:ind w:left="2880" w:hanging="360"/>
      </w:pPr>
      <w:rPr>
        <w:rFonts w:ascii="Arial" w:hAnsi="Arial" w:hint="default"/>
      </w:rPr>
    </w:lvl>
    <w:lvl w:ilvl="4" w:tplc="8D60292E" w:tentative="1">
      <w:start w:val="1"/>
      <w:numFmt w:val="bullet"/>
      <w:lvlText w:val="•"/>
      <w:lvlJc w:val="left"/>
      <w:pPr>
        <w:tabs>
          <w:tab w:val="num" w:pos="3600"/>
        </w:tabs>
        <w:ind w:left="3600" w:hanging="360"/>
      </w:pPr>
      <w:rPr>
        <w:rFonts w:ascii="Arial" w:hAnsi="Arial" w:hint="default"/>
      </w:rPr>
    </w:lvl>
    <w:lvl w:ilvl="5" w:tplc="29E227C0" w:tentative="1">
      <w:start w:val="1"/>
      <w:numFmt w:val="bullet"/>
      <w:lvlText w:val="•"/>
      <w:lvlJc w:val="left"/>
      <w:pPr>
        <w:tabs>
          <w:tab w:val="num" w:pos="4320"/>
        </w:tabs>
        <w:ind w:left="4320" w:hanging="360"/>
      </w:pPr>
      <w:rPr>
        <w:rFonts w:ascii="Arial" w:hAnsi="Arial" w:hint="default"/>
      </w:rPr>
    </w:lvl>
    <w:lvl w:ilvl="6" w:tplc="36A60338" w:tentative="1">
      <w:start w:val="1"/>
      <w:numFmt w:val="bullet"/>
      <w:lvlText w:val="•"/>
      <w:lvlJc w:val="left"/>
      <w:pPr>
        <w:tabs>
          <w:tab w:val="num" w:pos="5040"/>
        </w:tabs>
        <w:ind w:left="5040" w:hanging="360"/>
      </w:pPr>
      <w:rPr>
        <w:rFonts w:ascii="Arial" w:hAnsi="Arial" w:hint="default"/>
      </w:rPr>
    </w:lvl>
    <w:lvl w:ilvl="7" w:tplc="EB2804B2" w:tentative="1">
      <w:start w:val="1"/>
      <w:numFmt w:val="bullet"/>
      <w:lvlText w:val="•"/>
      <w:lvlJc w:val="left"/>
      <w:pPr>
        <w:tabs>
          <w:tab w:val="num" w:pos="5760"/>
        </w:tabs>
        <w:ind w:left="5760" w:hanging="360"/>
      </w:pPr>
      <w:rPr>
        <w:rFonts w:ascii="Arial" w:hAnsi="Arial" w:hint="default"/>
      </w:rPr>
    </w:lvl>
    <w:lvl w:ilvl="8" w:tplc="919A689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DD6F4C"/>
    <w:multiLevelType w:val="multilevel"/>
    <w:tmpl w:val="FDF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9F1BD4"/>
    <w:multiLevelType w:val="multilevel"/>
    <w:tmpl w:val="7D3CF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F46F2"/>
    <w:multiLevelType w:val="multilevel"/>
    <w:tmpl w:val="C8B2F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5BC1BE3"/>
    <w:multiLevelType w:val="multilevel"/>
    <w:tmpl w:val="1A6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9347E"/>
    <w:multiLevelType w:val="multilevel"/>
    <w:tmpl w:val="28FEE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721B2"/>
    <w:multiLevelType w:val="hybridMultilevel"/>
    <w:tmpl w:val="B7D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826442">
    <w:abstractNumId w:val="3"/>
  </w:num>
  <w:num w:numId="2" w16cid:durableId="1334189092">
    <w:abstractNumId w:val="22"/>
  </w:num>
  <w:num w:numId="3" w16cid:durableId="812719569">
    <w:abstractNumId w:val="25"/>
  </w:num>
  <w:num w:numId="4" w16cid:durableId="762871417">
    <w:abstractNumId w:val="1"/>
  </w:num>
  <w:num w:numId="5" w16cid:durableId="761344296">
    <w:abstractNumId w:val="5"/>
  </w:num>
  <w:num w:numId="6" w16cid:durableId="543249018">
    <w:abstractNumId w:val="31"/>
  </w:num>
  <w:num w:numId="7" w16cid:durableId="1415083056">
    <w:abstractNumId w:val="27"/>
  </w:num>
  <w:num w:numId="8" w16cid:durableId="1718158586">
    <w:abstractNumId w:val="12"/>
  </w:num>
  <w:num w:numId="9" w16cid:durableId="1291594629">
    <w:abstractNumId w:val="10"/>
  </w:num>
  <w:num w:numId="10" w16cid:durableId="570235292">
    <w:abstractNumId w:val="17"/>
  </w:num>
  <w:num w:numId="11" w16cid:durableId="1505514827">
    <w:abstractNumId w:val="11"/>
  </w:num>
  <w:num w:numId="12" w16cid:durableId="11424921">
    <w:abstractNumId w:val="0"/>
  </w:num>
  <w:num w:numId="13" w16cid:durableId="939753458">
    <w:abstractNumId w:val="23"/>
  </w:num>
  <w:num w:numId="14" w16cid:durableId="411394691">
    <w:abstractNumId w:val="24"/>
  </w:num>
  <w:num w:numId="15" w16cid:durableId="434667337">
    <w:abstractNumId w:val="29"/>
  </w:num>
  <w:num w:numId="16" w16cid:durableId="610236398">
    <w:abstractNumId w:val="21"/>
  </w:num>
  <w:num w:numId="17" w16cid:durableId="1520006099">
    <w:abstractNumId w:val="19"/>
  </w:num>
  <w:num w:numId="18" w16cid:durableId="1280263863">
    <w:abstractNumId w:val="32"/>
  </w:num>
  <w:num w:numId="19" w16cid:durableId="981814406">
    <w:abstractNumId w:val="8"/>
  </w:num>
  <w:num w:numId="20" w16cid:durableId="1172142716">
    <w:abstractNumId w:val="15"/>
  </w:num>
  <w:num w:numId="21" w16cid:durableId="1912696998">
    <w:abstractNumId w:val="2"/>
  </w:num>
  <w:num w:numId="22" w16cid:durableId="154566463">
    <w:abstractNumId w:val="30"/>
  </w:num>
  <w:num w:numId="23" w16cid:durableId="1816530637">
    <w:abstractNumId w:val="28"/>
  </w:num>
  <w:num w:numId="24" w16cid:durableId="1508666554">
    <w:abstractNumId w:val="18"/>
  </w:num>
  <w:num w:numId="25" w16cid:durableId="2073232371">
    <w:abstractNumId w:val="26"/>
  </w:num>
  <w:num w:numId="26" w16cid:durableId="89858616">
    <w:abstractNumId w:val="34"/>
  </w:num>
  <w:num w:numId="27" w16cid:durableId="1093164152">
    <w:abstractNumId w:val="14"/>
  </w:num>
  <w:num w:numId="28" w16cid:durableId="2058696924">
    <w:abstractNumId w:val="6"/>
  </w:num>
  <w:num w:numId="29" w16cid:durableId="487795124">
    <w:abstractNumId w:val="7"/>
  </w:num>
  <w:num w:numId="30" w16cid:durableId="1558466192">
    <w:abstractNumId w:val="13"/>
  </w:num>
  <w:num w:numId="31" w16cid:durableId="1073966645">
    <w:abstractNumId w:val="20"/>
  </w:num>
  <w:num w:numId="32" w16cid:durableId="1094087324">
    <w:abstractNumId w:val="16"/>
  </w:num>
  <w:num w:numId="33" w16cid:durableId="2014650309">
    <w:abstractNumId w:val="9"/>
  </w:num>
  <w:num w:numId="34" w16cid:durableId="1933199171">
    <w:abstractNumId w:val="4"/>
  </w:num>
  <w:num w:numId="35" w16cid:durableId="18898774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4B"/>
    <w:rsid w:val="00000177"/>
    <w:rsid w:val="000006BE"/>
    <w:rsid w:val="00001FBA"/>
    <w:rsid w:val="000021D1"/>
    <w:rsid w:val="000025E2"/>
    <w:rsid w:val="00002D9D"/>
    <w:rsid w:val="000039B2"/>
    <w:rsid w:val="0000518E"/>
    <w:rsid w:val="000068FB"/>
    <w:rsid w:val="00006CED"/>
    <w:rsid w:val="0001143B"/>
    <w:rsid w:val="00012EFB"/>
    <w:rsid w:val="00013D3E"/>
    <w:rsid w:val="00014FA0"/>
    <w:rsid w:val="000153FD"/>
    <w:rsid w:val="00016324"/>
    <w:rsid w:val="00016406"/>
    <w:rsid w:val="00017363"/>
    <w:rsid w:val="00017BE1"/>
    <w:rsid w:val="00017D84"/>
    <w:rsid w:val="00024107"/>
    <w:rsid w:val="00024345"/>
    <w:rsid w:val="0002496E"/>
    <w:rsid w:val="00025382"/>
    <w:rsid w:val="000260BA"/>
    <w:rsid w:val="000272BB"/>
    <w:rsid w:val="00027666"/>
    <w:rsid w:val="00027A00"/>
    <w:rsid w:val="0003086D"/>
    <w:rsid w:val="0003173B"/>
    <w:rsid w:val="000318FB"/>
    <w:rsid w:val="000321DB"/>
    <w:rsid w:val="00032CAC"/>
    <w:rsid w:val="00033428"/>
    <w:rsid w:val="000336B0"/>
    <w:rsid w:val="0003442E"/>
    <w:rsid w:val="00034565"/>
    <w:rsid w:val="00035EB4"/>
    <w:rsid w:val="00036244"/>
    <w:rsid w:val="000377DB"/>
    <w:rsid w:val="00037C1B"/>
    <w:rsid w:val="00037C66"/>
    <w:rsid w:val="00040912"/>
    <w:rsid w:val="00041805"/>
    <w:rsid w:val="0004272B"/>
    <w:rsid w:val="0004342F"/>
    <w:rsid w:val="00043485"/>
    <w:rsid w:val="000438EC"/>
    <w:rsid w:val="00047373"/>
    <w:rsid w:val="000479ED"/>
    <w:rsid w:val="000500F2"/>
    <w:rsid w:val="00050A2C"/>
    <w:rsid w:val="00050C9E"/>
    <w:rsid w:val="00052BEC"/>
    <w:rsid w:val="000547E2"/>
    <w:rsid w:val="0005679E"/>
    <w:rsid w:val="000624E3"/>
    <w:rsid w:val="000628A4"/>
    <w:rsid w:val="00062F51"/>
    <w:rsid w:val="00063C63"/>
    <w:rsid w:val="00065D07"/>
    <w:rsid w:val="000678CE"/>
    <w:rsid w:val="00070343"/>
    <w:rsid w:val="000704D0"/>
    <w:rsid w:val="00070609"/>
    <w:rsid w:val="0007072A"/>
    <w:rsid w:val="00071212"/>
    <w:rsid w:val="0007135A"/>
    <w:rsid w:val="00071675"/>
    <w:rsid w:val="00073196"/>
    <w:rsid w:val="000731F6"/>
    <w:rsid w:val="0007339A"/>
    <w:rsid w:val="00073B2E"/>
    <w:rsid w:val="00075893"/>
    <w:rsid w:val="0007748D"/>
    <w:rsid w:val="00080AA3"/>
    <w:rsid w:val="00080AE1"/>
    <w:rsid w:val="000814EA"/>
    <w:rsid w:val="00083034"/>
    <w:rsid w:val="00084705"/>
    <w:rsid w:val="0008572A"/>
    <w:rsid w:val="00086D14"/>
    <w:rsid w:val="000875B5"/>
    <w:rsid w:val="00091986"/>
    <w:rsid w:val="00091FDD"/>
    <w:rsid w:val="00092083"/>
    <w:rsid w:val="00092540"/>
    <w:rsid w:val="00092735"/>
    <w:rsid w:val="000932CA"/>
    <w:rsid w:val="00095324"/>
    <w:rsid w:val="00095559"/>
    <w:rsid w:val="00095755"/>
    <w:rsid w:val="000A3A8A"/>
    <w:rsid w:val="000A5328"/>
    <w:rsid w:val="000A6850"/>
    <w:rsid w:val="000B0FFA"/>
    <w:rsid w:val="000B23BC"/>
    <w:rsid w:val="000B2541"/>
    <w:rsid w:val="000B3331"/>
    <w:rsid w:val="000B3604"/>
    <w:rsid w:val="000B5941"/>
    <w:rsid w:val="000B5989"/>
    <w:rsid w:val="000B5BDA"/>
    <w:rsid w:val="000B5D79"/>
    <w:rsid w:val="000C0393"/>
    <w:rsid w:val="000C11FF"/>
    <w:rsid w:val="000C21EC"/>
    <w:rsid w:val="000C2601"/>
    <w:rsid w:val="000C2AA9"/>
    <w:rsid w:val="000C3D4D"/>
    <w:rsid w:val="000C5B7B"/>
    <w:rsid w:val="000C5DAD"/>
    <w:rsid w:val="000C6248"/>
    <w:rsid w:val="000C7431"/>
    <w:rsid w:val="000D2DB0"/>
    <w:rsid w:val="000D3E43"/>
    <w:rsid w:val="000D5101"/>
    <w:rsid w:val="000D7766"/>
    <w:rsid w:val="000D78F9"/>
    <w:rsid w:val="000E0E14"/>
    <w:rsid w:val="000E11D4"/>
    <w:rsid w:val="000E18B6"/>
    <w:rsid w:val="000E3D4F"/>
    <w:rsid w:val="000E59EA"/>
    <w:rsid w:val="000E5A36"/>
    <w:rsid w:val="000E69DA"/>
    <w:rsid w:val="000E6D96"/>
    <w:rsid w:val="000F0E71"/>
    <w:rsid w:val="000F1EA5"/>
    <w:rsid w:val="000F6EE9"/>
    <w:rsid w:val="000F7E82"/>
    <w:rsid w:val="00100D85"/>
    <w:rsid w:val="001064D8"/>
    <w:rsid w:val="00106DAC"/>
    <w:rsid w:val="00110ABF"/>
    <w:rsid w:val="00111D90"/>
    <w:rsid w:val="001134BE"/>
    <w:rsid w:val="00114815"/>
    <w:rsid w:val="00115189"/>
    <w:rsid w:val="00115247"/>
    <w:rsid w:val="0011695C"/>
    <w:rsid w:val="00116BE9"/>
    <w:rsid w:val="00117559"/>
    <w:rsid w:val="00117CCD"/>
    <w:rsid w:val="00122D64"/>
    <w:rsid w:val="001234EC"/>
    <w:rsid w:val="001252E1"/>
    <w:rsid w:val="0012627A"/>
    <w:rsid w:val="00126B0A"/>
    <w:rsid w:val="00126B56"/>
    <w:rsid w:val="00127E90"/>
    <w:rsid w:val="001331D3"/>
    <w:rsid w:val="001336EB"/>
    <w:rsid w:val="001344F7"/>
    <w:rsid w:val="00135AA8"/>
    <w:rsid w:val="00136174"/>
    <w:rsid w:val="00141212"/>
    <w:rsid w:val="0014127D"/>
    <w:rsid w:val="00141DBC"/>
    <w:rsid w:val="0014368B"/>
    <w:rsid w:val="00143E73"/>
    <w:rsid w:val="00144166"/>
    <w:rsid w:val="00155AD4"/>
    <w:rsid w:val="00155C64"/>
    <w:rsid w:val="00157926"/>
    <w:rsid w:val="00157C3D"/>
    <w:rsid w:val="001613B7"/>
    <w:rsid w:val="001625D9"/>
    <w:rsid w:val="001633F0"/>
    <w:rsid w:val="00163507"/>
    <w:rsid w:val="001647DA"/>
    <w:rsid w:val="00167842"/>
    <w:rsid w:val="00167858"/>
    <w:rsid w:val="00167AF4"/>
    <w:rsid w:val="00170223"/>
    <w:rsid w:val="00173F53"/>
    <w:rsid w:val="0017403A"/>
    <w:rsid w:val="0017484F"/>
    <w:rsid w:val="0017497C"/>
    <w:rsid w:val="00175136"/>
    <w:rsid w:val="00175701"/>
    <w:rsid w:val="00175ECF"/>
    <w:rsid w:val="0017647F"/>
    <w:rsid w:val="00176860"/>
    <w:rsid w:val="0017703D"/>
    <w:rsid w:val="00177FCD"/>
    <w:rsid w:val="001801A3"/>
    <w:rsid w:val="001811CA"/>
    <w:rsid w:val="00181A9C"/>
    <w:rsid w:val="00181C6F"/>
    <w:rsid w:val="00182837"/>
    <w:rsid w:val="00182927"/>
    <w:rsid w:val="00185A18"/>
    <w:rsid w:val="00186B57"/>
    <w:rsid w:val="00190853"/>
    <w:rsid w:val="00190B0F"/>
    <w:rsid w:val="00191C5D"/>
    <w:rsid w:val="001942CC"/>
    <w:rsid w:val="00194415"/>
    <w:rsid w:val="00194685"/>
    <w:rsid w:val="00194C51"/>
    <w:rsid w:val="00196EFD"/>
    <w:rsid w:val="0019787E"/>
    <w:rsid w:val="00197DA5"/>
    <w:rsid w:val="001A0C05"/>
    <w:rsid w:val="001A13AA"/>
    <w:rsid w:val="001A1668"/>
    <w:rsid w:val="001A3CEA"/>
    <w:rsid w:val="001A5CCA"/>
    <w:rsid w:val="001A7552"/>
    <w:rsid w:val="001B0364"/>
    <w:rsid w:val="001B426D"/>
    <w:rsid w:val="001B62A0"/>
    <w:rsid w:val="001B7480"/>
    <w:rsid w:val="001B7A25"/>
    <w:rsid w:val="001C0C57"/>
    <w:rsid w:val="001C1395"/>
    <w:rsid w:val="001C1E0A"/>
    <w:rsid w:val="001C38E3"/>
    <w:rsid w:val="001C5AFB"/>
    <w:rsid w:val="001C61D6"/>
    <w:rsid w:val="001C710C"/>
    <w:rsid w:val="001D10AD"/>
    <w:rsid w:val="001D2013"/>
    <w:rsid w:val="001D3166"/>
    <w:rsid w:val="001D469A"/>
    <w:rsid w:val="001D5836"/>
    <w:rsid w:val="001D6176"/>
    <w:rsid w:val="001D65A9"/>
    <w:rsid w:val="001D7299"/>
    <w:rsid w:val="001D7A80"/>
    <w:rsid w:val="001E30F9"/>
    <w:rsid w:val="001E3642"/>
    <w:rsid w:val="001E3648"/>
    <w:rsid w:val="001E4DE1"/>
    <w:rsid w:val="001E53CE"/>
    <w:rsid w:val="001E61D0"/>
    <w:rsid w:val="001E6F48"/>
    <w:rsid w:val="001E71A6"/>
    <w:rsid w:val="001E767E"/>
    <w:rsid w:val="001F0145"/>
    <w:rsid w:val="001F03B4"/>
    <w:rsid w:val="001F1D70"/>
    <w:rsid w:val="001F1E39"/>
    <w:rsid w:val="001F20C7"/>
    <w:rsid w:val="001F4432"/>
    <w:rsid w:val="001F552D"/>
    <w:rsid w:val="001F5A88"/>
    <w:rsid w:val="001F5ECD"/>
    <w:rsid w:val="00200F9C"/>
    <w:rsid w:val="00202506"/>
    <w:rsid w:val="002029F3"/>
    <w:rsid w:val="00204797"/>
    <w:rsid w:val="002056FE"/>
    <w:rsid w:val="00206196"/>
    <w:rsid w:val="0020677A"/>
    <w:rsid w:val="00207E4B"/>
    <w:rsid w:val="002104D2"/>
    <w:rsid w:val="002123B5"/>
    <w:rsid w:val="00212E53"/>
    <w:rsid w:val="002139F3"/>
    <w:rsid w:val="00213D5C"/>
    <w:rsid w:val="00214658"/>
    <w:rsid w:val="00216ABC"/>
    <w:rsid w:val="0022026B"/>
    <w:rsid w:val="002209E1"/>
    <w:rsid w:val="00220D1A"/>
    <w:rsid w:val="00221524"/>
    <w:rsid w:val="0022241E"/>
    <w:rsid w:val="002228CC"/>
    <w:rsid w:val="00222D48"/>
    <w:rsid w:val="00223DA8"/>
    <w:rsid w:val="00225E31"/>
    <w:rsid w:val="00227D70"/>
    <w:rsid w:val="00233223"/>
    <w:rsid w:val="00235C29"/>
    <w:rsid w:val="00235DE0"/>
    <w:rsid w:val="00240B1D"/>
    <w:rsid w:val="002410C4"/>
    <w:rsid w:val="00241554"/>
    <w:rsid w:val="002427E5"/>
    <w:rsid w:val="002427EF"/>
    <w:rsid w:val="00243010"/>
    <w:rsid w:val="002448E5"/>
    <w:rsid w:val="00244AAA"/>
    <w:rsid w:val="00245442"/>
    <w:rsid w:val="0024607D"/>
    <w:rsid w:val="00247FC7"/>
    <w:rsid w:val="00250A50"/>
    <w:rsid w:val="00250ECC"/>
    <w:rsid w:val="00251916"/>
    <w:rsid w:val="00251C44"/>
    <w:rsid w:val="0025272C"/>
    <w:rsid w:val="00252929"/>
    <w:rsid w:val="0025799B"/>
    <w:rsid w:val="00260544"/>
    <w:rsid w:val="00264472"/>
    <w:rsid w:val="00267302"/>
    <w:rsid w:val="00270146"/>
    <w:rsid w:val="002702CE"/>
    <w:rsid w:val="00270879"/>
    <w:rsid w:val="00270F78"/>
    <w:rsid w:val="0027176E"/>
    <w:rsid w:val="00271A02"/>
    <w:rsid w:val="00273B35"/>
    <w:rsid w:val="00275183"/>
    <w:rsid w:val="00276064"/>
    <w:rsid w:val="002765B5"/>
    <w:rsid w:val="00277BF7"/>
    <w:rsid w:val="00280B43"/>
    <w:rsid w:val="00281619"/>
    <w:rsid w:val="00281717"/>
    <w:rsid w:val="00281B90"/>
    <w:rsid w:val="00282480"/>
    <w:rsid w:val="00283ACB"/>
    <w:rsid w:val="002875C7"/>
    <w:rsid w:val="00293A4A"/>
    <w:rsid w:val="002A25A0"/>
    <w:rsid w:val="002A2815"/>
    <w:rsid w:val="002A2AA0"/>
    <w:rsid w:val="002A426E"/>
    <w:rsid w:val="002A430B"/>
    <w:rsid w:val="002A74D2"/>
    <w:rsid w:val="002B0176"/>
    <w:rsid w:val="002B0B35"/>
    <w:rsid w:val="002B0E71"/>
    <w:rsid w:val="002B15AE"/>
    <w:rsid w:val="002B3683"/>
    <w:rsid w:val="002B4166"/>
    <w:rsid w:val="002B5A58"/>
    <w:rsid w:val="002B5BA8"/>
    <w:rsid w:val="002B64BC"/>
    <w:rsid w:val="002B7681"/>
    <w:rsid w:val="002B774C"/>
    <w:rsid w:val="002C0678"/>
    <w:rsid w:val="002C0C7F"/>
    <w:rsid w:val="002C15E2"/>
    <w:rsid w:val="002C34DE"/>
    <w:rsid w:val="002C4225"/>
    <w:rsid w:val="002C52CE"/>
    <w:rsid w:val="002C7690"/>
    <w:rsid w:val="002C783D"/>
    <w:rsid w:val="002D2465"/>
    <w:rsid w:val="002D2930"/>
    <w:rsid w:val="002D431A"/>
    <w:rsid w:val="002D4D43"/>
    <w:rsid w:val="002D595D"/>
    <w:rsid w:val="002D5971"/>
    <w:rsid w:val="002D5DBE"/>
    <w:rsid w:val="002D677A"/>
    <w:rsid w:val="002D68CF"/>
    <w:rsid w:val="002D7828"/>
    <w:rsid w:val="002E01BC"/>
    <w:rsid w:val="002E0731"/>
    <w:rsid w:val="002E1309"/>
    <w:rsid w:val="002E2E27"/>
    <w:rsid w:val="002E6621"/>
    <w:rsid w:val="002E665E"/>
    <w:rsid w:val="002E68BF"/>
    <w:rsid w:val="002E7457"/>
    <w:rsid w:val="002E7EA4"/>
    <w:rsid w:val="002F07FA"/>
    <w:rsid w:val="002F1C45"/>
    <w:rsid w:val="002F3132"/>
    <w:rsid w:val="002F3163"/>
    <w:rsid w:val="002F5613"/>
    <w:rsid w:val="002F5E5F"/>
    <w:rsid w:val="002F6CDB"/>
    <w:rsid w:val="002F76C3"/>
    <w:rsid w:val="003027C9"/>
    <w:rsid w:val="003040D9"/>
    <w:rsid w:val="003079C7"/>
    <w:rsid w:val="00312963"/>
    <w:rsid w:val="00313A1A"/>
    <w:rsid w:val="00314552"/>
    <w:rsid w:val="00314E51"/>
    <w:rsid w:val="00314FDF"/>
    <w:rsid w:val="0031650C"/>
    <w:rsid w:val="00317475"/>
    <w:rsid w:val="0031766D"/>
    <w:rsid w:val="00320314"/>
    <w:rsid w:val="00320735"/>
    <w:rsid w:val="00320AB2"/>
    <w:rsid w:val="00321054"/>
    <w:rsid w:val="00321802"/>
    <w:rsid w:val="00321BD0"/>
    <w:rsid w:val="003225BC"/>
    <w:rsid w:val="00322978"/>
    <w:rsid w:val="003230C7"/>
    <w:rsid w:val="00323172"/>
    <w:rsid w:val="00324B39"/>
    <w:rsid w:val="00326A04"/>
    <w:rsid w:val="00327158"/>
    <w:rsid w:val="00330EEE"/>
    <w:rsid w:val="00331022"/>
    <w:rsid w:val="00331092"/>
    <w:rsid w:val="003311AA"/>
    <w:rsid w:val="003314C6"/>
    <w:rsid w:val="00331CF4"/>
    <w:rsid w:val="003339F5"/>
    <w:rsid w:val="00334893"/>
    <w:rsid w:val="00334ABB"/>
    <w:rsid w:val="00335C8A"/>
    <w:rsid w:val="00335FC1"/>
    <w:rsid w:val="003405EF"/>
    <w:rsid w:val="00340DE5"/>
    <w:rsid w:val="00341749"/>
    <w:rsid w:val="00341F10"/>
    <w:rsid w:val="00342438"/>
    <w:rsid w:val="0034292D"/>
    <w:rsid w:val="0034319C"/>
    <w:rsid w:val="003432E5"/>
    <w:rsid w:val="00343318"/>
    <w:rsid w:val="00344745"/>
    <w:rsid w:val="0034550A"/>
    <w:rsid w:val="00347B41"/>
    <w:rsid w:val="00347C35"/>
    <w:rsid w:val="003529FA"/>
    <w:rsid w:val="00352B11"/>
    <w:rsid w:val="00353B3A"/>
    <w:rsid w:val="00353E9E"/>
    <w:rsid w:val="0035408C"/>
    <w:rsid w:val="00354172"/>
    <w:rsid w:val="00354C2F"/>
    <w:rsid w:val="00354D13"/>
    <w:rsid w:val="003556D5"/>
    <w:rsid w:val="003563E3"/>
    <w:rsid w:val="00356C73"/>
    <w:rsid w:val="0036093B"/>
    <w:rsid w:val="00360966"/>
    <w:rsid w:val="0036104E"/>
    <w:rsid w:val="00362BB4"/>
    <w:rsid w:val="00365D9E"/>
    <w:rsid w:val="0036641A"/>
    <w:rsid w:val="00366D0F"/>
    <w:rsid w:val="003673D8"/>
    <w:rsid w:val="00367FF3"/>
    <w:rsid w:val="003722DB"/>
    <w:rsid w:val="00374D7D"/>
    <w:rsid w:val="003769FE"/>
    <w:rsid w:val="00380147"/>
    <w:rsid w:val="00381ED6"/>
    <w:rsid w:val="00383210"/>
    <w:rsid w:val="003845C4"/>
    <w:rsid w:val="00384AD1"/>
    <w:rsid w:val="00385165"/>
    <w:rsid w:val="00386296"/>
    <w:rsid w:val="00390DF5"/>
    <w:rsid w:val="0039122B"/>
    <w:rsid w:val="0039131C"/>
    <w:rsid w:val="00391FD3"/>
    <w:rsid w:val="00394363"/>
    <w:rsid w:val="0039530D"/>
    <w:rsid w:val="00395A58"/>
    <w:rsid w:val="0039612C"/>
    <w:rsid w:val="00396484"/>
    <w:rsid w:val="0039694B"/>
    <w:rsid w:val="003969D4"/>
    <w:rsid w:val="003A0050"/>
    <w:rsid w:val="003A1E5C"/>
    <w:rsid w:val="003A2679"/>
    <w:rsid w:val="003A2D9D"/>
    <w:rsid w:val="003A325C"/>
    <w:rsid w:val="003A3CFC"/>
    <w:rsid w:val="003A5A09"/>
    <w:rsid w:val="003A63AA"/>
    <w:rsid w:val="003A70D3"/>
    <w:rsid w:val="003A7707"/>
    <w:rsid w:val="003A7FF3"/>
    <w:rsid w:val="003B05F2"/>
    <w:rsid w:val="003B1118"/>
    <w:rsid w:val="003B180B"/>
    <w:rsid w:val="003B2481"/>
    <w:rsid w:val="003B2B31"/>
    <w:rsid w:val="003B43D6"/>
    <w:rsid w:val="003B6117"/>
    <w:rsid w:val="003B6411"/>
    <w:rsid w:val="003B6DFC"/>
    <w:rsid w:val="003C0EA7"/>
    <w:rsid w:val="003C39D2"/>
    <w:rsid w:val="003C3DCF"/>
    <w:rsid w:val="003C4A0B"/>
    <w:rsid w:val="003C4FC7"/>
    <w:rsid w:val="003C64A1"/>
    <w:rsid w:val="003C6F78"/>
    <w:rsid w:val="003C7086"/>
    <w:rsid w:val="003D016C"/>
    <w:rsid w:val="003D0AD3"/>
    <w:rsid w:val="003D140F"/>
    <w:rsid w:val="003D2EE6"/>
    <w:rsid w:val="003D3BE0"/>
    <w:rsid w:val="003D3F8F"/>
    <w:rsid w:val="003D5CFA"/>
    <w:rsid w:val="003D64A8"/>
    <w:rsid w:val="003D6EF5"/>
    <w:rsid w:val="003D6FBD"/>
    <w:rsid w:val="003E02E6"/>
    <w:rsid w:val="003E4AAD"/>
    <w:rsid w:val="003E57D0"/>
    <w:rsid w:val="003E6205"/>
    <w:rsid w:val="003E6FDD"/>
    <w:rsid w:val="003E7689"/>
    <w:rsid w:val="003F0648"/>
    <w:rsid w:val="003F153F"/>
    <w:rsid w:val="003F1692"/>
    <w:rsid w:val="003F30D0"/>
    <w:rsid w:val="003F4000"/>
    <w:rsid w:val="003F4996"/>
    <w:rsid w:val="003F6094"/>
    <w:rsid w:val="003F7A88"/>
    <w:rsid w:val="004001B7"/>
    <w:rsid w:val="0040077A"/>
    <w:rsid w:val="00401DA3"/>
    <w:rsid w:val="00401EAC"/>
    <w:rsid w:val="00403259"/>
    <w:rsid w:val="00403EBB"/>
    <w:rsid w:val="00405199"/>
    <w:rsid w:val="0040615E"/>
    <w:rsid w:val="00406F0F"/>
    <w:rsid w:val="00407FF0"/>
    <w:rsid w:val="0041113F"/>
    <w:rsid w:val="00413659"/>
    <w:rsid w:val="00413F77"/>
    <w:rsid w:val="00416400"/>
    <w:rsid w:val="00416869"/>
    <w:rsid w:val="00416D99"/>
    <w:rsid w:val="0041705B"/>
    <w:rsid w:val="004174F9"/>
    <w:rsid w:val="00417D8D"/>
    <w:rsid w:val="00421698"/>
    <w:rsid w:val="004219DB"/>
    <w:rsid w:val="00421BEF"/>
    <w:rsid w:val="004246AD"/>
    <w:rsid w:val="004274AE"/>
    <w:rsid w:val="004274F3"/>
    <w:rsid w:val="004308AF"/>
    <w:rsid w:val="004312D1"/>
    <w:rsid w:val="00432F55"/>
    <w:rsid w:val="00433383"/>
    <w:rsid w:val="00433BC3"/>
    <w:rsid w:val="004354B4"/>
    <w:rsid w:val="00435925"/>
    <w:rsid w:val="004364EE"/>
    <w:rsid w:val="00436F7C"/>
    <w:rsid w:val="004405B6"/>
    <w:rsid w:val="00442F14"/>
    <w:rsid w:val="0044301A"/>
    <w:rsid w:val="00444195"/>
    <w:rsid w:val="0044519C"/>
    <w:rsid w:val="00446039"/>
    <w:rsid w:val="00447271"/>
    <w:rsid w:val="0044779D"/>
    <w:rsid w:val="00447A88"/>
    <w:rsid w:val="0045122B"/>
    <w:rsid w:val="004512E8"/>
    <w:rsid w:val="004514EB"/>
    <w:rsid w:val="00453EDE"/>
    <w:rsid w:val="00454D23"/>
    <w:rsid w:val="00455353"/>
    <w:rsid w:val="0045644C"/>
    <w:rsid w:val="0046020E"/>
    <w:rsid w:val="00461593"/>
    <w:rsid w:val="00461CA8"/>
    <w:rsid w:val="0046314F"/>
    <w:rsid w:val="004662E4"/>
    <w:rsid w:val="00466EFD"/>
    <w:rsid w:val="00470966"/>
    <w:rsid w:val="0047099B"/>
    <w:rsid w:val="00472DCB"/>
    <w:rsid w:val="00474423"/>
    <w:rsid w:val="004747BD"/>
    <w:rsid w:val="00474B8C"/>
    <w:rsid w:val="0047505E"/>
    <w:rsid w:val="00476B11"/>
    <w:rsid w:val="00480A44"/>
    <w:rsid w:val="00481102"/>
    <w:rsid w:val="004812EB"/>
    <w:rsid w:val="00481C73"/>
    <w:rsid w:val="00482269"/>
    <w:rsid w:val="004828C2"/>
    <w:rsid w:val="00482FDB"/>
    <w:rsid w:val="00485A89"/>
    <w:rsid w:val="00486758"/>
    <w:rsid w:val="00490660"/>
    <w:rsid w:val="004927E0"/>
    <w:rsid w:val="004928FB"/>
    <w:rsid w:val="004934E8"/>
    <w:rsid w:val="00493C8B"/>
    <w:rsid w:val="00493E48"/>
    <w:rsid w:val="00497500"/>
    <w:rsid w:val="00497AC2"/>
    <w:rsid w:val="004A03F6"/>
    <w:rsid w:val="004A080F"/>
    <w:rsid w:val="004A0C26"/>
    <w:rsid w:val="004A0E1E"/>
    <w:rsid w:val="004A0E28"/>
    <w:rsid w:val="004A11BD"/>
    <w:rsid w:val="004A20E3"/>
    <w:rsid w:val="004A2698"/>
    <w:rsid w:val="004A303B"/>
    <w:rsid w:val="004A3397"/>
    <w:rsid w:val="004A381C"/>
    <w:rsid w:val="004A6889"/>
    <w:rsid w:val="004A74A0"/>
    <w:rsid w:val="004A7664"/>
    <w:rsid w:val="004A778A"/>
    <w:rsid w:val="004B1242"/>
    <w:rsid w:val="004B1853"/>
    <w:rsid w:val="004B656A"/>
    <w:rsid w:val="004B7326"/>
    <w:rsid w:val="004B765B"/>
    <w:rsid w:val="004B7B67"/>
    <w:rsid w:val="004C0840"/>
    <w:rsid w:val="004C1AED"/>
    <w:rsid w:val="004C415D"/>
    <w:rsid w:val="004C44D0"/>
    <w:rsid w:val="004C55EF"/>
    <w:rsid w:val="004C7C90"/>
    <w:rsid w:val="004D0B5C"/>
    <w:rsid w:val="004D21B2"/>
    <w:rsid w:val="004D375A"/>
    <w:rsid w:val="004D473E"/>
    <w:rsid w:val="004D4D53"/>
    <w:rsid w:val="004D6F29"/>
    <w:rsid w:val="004D7070"/>
    <w:rsid w:val="004E0A3C"/>
    <w:rsid w:val="004E1194"/>
    <w:rsid w:val="004E2809"/>
    <w:rsid w:val="004E54BE"/>
    <w:rsid w:val="004E7487"/>
    <w:rsid w:val="004F1784"/>
    <w:rsid w:val="004F2818"/>
    <w:rsid w:val="004F2877"/>
    <w:rsid w:val="004F3411"/>
    <w:rsid w:val="004F5269"/>
    <w:rsid w:val="004F55B8"/>
    <w:rsid w:val="00501896"/>
    <w:rsid w:val="00502689"/>
    <w:rsid w:val="00502D63"/>
    <w:rsid w:val="00502DED"/>
    <w:rsid w:val="00502F8E"/>
    <w:rsid w:val="005069EF"/>
    <w:rsid w:val="00506E0A"/>
    <w:rsid w:val="00506FE1"/>
    <w:rsid w:val="0050758C"/>
    <w:rsid w:val="00507E98"/>
    <w:rsid w:val="00511A1F"/>
    <w:rsid w:val="005120BA"/>
    <w:rsid w:val="00512E74"/>
    <w:rsid w:val="005139C3"/>
    <w:rsid w:val="00516B3C"/>
    <w:rsid w:val="00516F5C"/>
    <w:rsid w:val="00517699"/>
    <w:rsid w:val="00517776"/>
    <w:rsid w:val="00517C9C"/>
    <w:rsid w:val="00523113"/>
    <w:rsid w:val="005247B7"/>
    <w:rsid w:val="005256D8"/>
    <w:rsid w:val="00530FC7"/>
    <w:rsid w:val="00531649"/>
    <w:rsid w:val="00532BBE"/>
    <w:rsid w:val="00533DEF"/>
    <w:rsid w:val="00534008"/>
    <w:rsid w:val="00535B04"/>
    <w:rsid w:val="005367B7"/>
    <w:rsid w:val="005368AA"/>
    <w:rsid w:val="0054060E"/>
    <w:rsid w:val="005409B2"/>
    <w:rsid w:val="00540B5A"/>
    <w:rsid w:val="005418F1"/>
    <w:rsid w:val="00543B2A"/>
    <w:rsid w:val="005456FC"/>
    <w:rsid w:val="005503DC"/>
    <w:rsid w:val="005534E1"/>
    <w:rsid w:val="00553CD1"/>
    <w:rsid w:val="00554181"/>
    <w:rsid w:val="00555358"/>
    <w:rsid w:val="00555476"/>
    <w:rsid w:val="00555F54"/>
    <w:rsid w:val="005560B8"/>
    <w:rsid w:val="00556C35"/>
    <w:rsid w:val="00556E2E"/>
    <w:rsid w:val="0056154C"/>
    <w:rsid w:val="005617DD"/>
    <w:rsid w:val="0056398F"/>
    <w:rsid w:val="00563BB6"/>
    <w:rsid w:val="00564F8A"/>
    <w:rsid w:val="00565867"/>
    <w:rsid w:val="005664FD"/>
    <w:rsid w:val="00571B61"/>
    <w:rsid w:val="00572290"/>
    <w:rsid w:val="005733D4"/>
    <w:rsid w:val="00573569"/>
    <w:rsid w:val="00574AB1"/>
    <w:rsid w:val="00575A6E"/>
    <w:rsid w:val="00577E08"/>
    <w:rsid w:val="00583331"/>
    <w:rsid w:val="00583746"/>
    <w:rsid w:val="0058395F"/>
    <w:rsid w:val="0058419F"/>
    <w:rsid w:val="005844AA"/>
    <w:rsid w:val="00585A4F"/>
    <w:rsid w:val="00586B09"/>
    <w:rsid w:val="00587AE6"/>
    <w:rsid w:val="005919A2"/>
    <w:rsid w:val="00593493"/>
    <w:rsid w:val="00593730"/>
    <w:rsid w:val="00595012"/>
    <w:rsid w:val="00596CA3"/>
    <w:rsid w:val="0059724A"/>
    <w:rsid w:val="00597C8C"/>
    <w:rsid w:val="005A06DC"/>
    <w:rsid w:val="005A116D"/>
    <w:rsid w:val="005A17D8"/>
    <w:rsid w:val="005A2A39"/>
    <w:rsid w:val="005A2CB0"/>
    <w:rsid w:val="005A2E4E"/>
    <w:rsid w:val="005A31B7"/>
    <w:rsid w:val="005A464C"/>
    <w:rsid w:val="005A4DA5"/>
    <w:rsid w:val="005A5AB0"/>
    <w:rsid w:val="005A5C0C"/>
    <w:rsid w:val="005B4A12"/>
    <w:rsid w:val="005B5FD0"/>
    <w:rsid w:val="005B6390"/>
    <w:rsid w:val="005B7947"/>
    <w:rsid w:val="005C0881"/>
    <w:rsid w:val="005C0981"/>
    <w:rsid w:val="005C36A2"/>
    <w:rsid w:val="005C5CBC"/>
    <w:rsid w:val="005C6608"/>
    <w:rsid w:val="005D0385"/>
    <w:rsid w:val="005D0903"/>
    <w:rsid w:val="005D26DA"/>
    <w:rsid w:val="005D2741"/>
    <w:rsid w:val="005D4E82"/>
    <w:rsid w:val="005D5D84"/>
    <w:rsid w:val="005D6F54"/>
    <w:rsid w:val="005D7CCB"/>
    <w:rsid w:val="005E0331"/>
    <w:rsid w:val="005E0950"/>
    <w:rsid w:val="005E1BD7"/>
    <w:rsid w:val="005E2880"/>
    <w:rsid w:val="005E5A7B"/>
    <w:rsid w:val="005E5AE0"/>
    <w:rsid w:val="005E6700"/>
    <w:rsid w:val="005F048E"/>
    <w:rsid w:val="005F0D9A"/>
    <w:rsid w:val="005F36E2"/>
    <w:rsid w:val="005F3A65"/>
    <w:rsid w:val="005F43C2"/>
    <w:rsid w:val="005F50D4"/>
    <w:rsid w:val="005F5A4E"/>
    <w:rsid w:val="00601733"/>
    <w:rsid w:val="00601760"/>
    <w:rsid w:val="006024B5"/>
    <w:rsid w:val="00602FAD"/>
    <w:rsid w:val="00603C84"/>
    <w:rsid w:val="006048E1"/>
    <w:rsid w:val="00605E0F"/>
    <w:rsid w:val="00606F22"/>
    <w:rsid w:val="00607782"/>
    <w:rsid w:val="00610C97"/>
    <w:rsid w:val="00611D20"/>
    <w:rsid w:val="006120CA"/>
    <w:rsid w:val="006120D9"/>
    <w:rsid w:val="00612822"/>
    <w:rsid w:val="00612E4B"/>
    <w:rsid w:val="006130BA"/>
    <w:rsid w:val="006133DD"/>
    <w:rsid w:val="00613F3E"/>
    <w:rsid w:val="0061656B"/>
    <w:rsid w:val="0061788D"/>
    <w:rsid w:val="00617C0C"/>
    <w:rsid w:val="0062165B"/>
    <w:rsid w:val="00622057"/>
    <w:rsid w:val="00623F40"/>
    <w:rsid w:val="0062507C"/>
    <w:rsid w:val="00625EA2"/>
    <w:rsid w:val="006305E3"/>
    <w:rsid w:val="0063368F"/>
    <w:rsid w:val="006337C2"/>
    <w:rsid w:val="00634192"/>
    <w:rsid w:val="006346FC"/>
    <w:rsid w:val="0063492B"/>
    <w:rsid w:val="00636E02"/>
    <w:rsid w:val="006411BB"/>
    <w:rsid w:val="006416B8"/>
    <w:rsid w:val="006418EF"/>
    <w:rsid w:val="006433DF"/>
    <w:rsid w:val="006456D8"/>
    <w:rsid w:val="006468A0"/>
    <w:rsid w:val="0064764D"/>
    <w:rsid w:val="0064775D"/>
    <w:rsid w:val="006508F2"/>
    <w:rsid w:val="00651703"/>
    <w:rsid w:val="006521A9"/>
    <w:rsid w:val="00654497"/>
    <w:rsid w:val="006551C3"/>
    <w:rsid w:val="006555D3"/>
    <w:rsid w:val="00656361"/>
    <w:rsid w:val="0066209F"/>
    <w:rsid w:val="00666F48"/>
    <w:rsid w:val="00670270"/>
    <w:rsid w:val="00672A45"/>
    <w:rsid w:val="00672F28"/>
    <w:rsid w:val="00673C28"/>
    <w:rsid w:val="00675249"/>
    <w:rsid w:val="006759C7"/>
    <w:rsid w:val="0067642A"/>
    <w:rsid w:val="0067733A"/>
    <w:rsid w:val="0068282E"/>
    <w:rsid w:val="00683A14"/>
    <w:rsid w:val="006844F3"/>
    <w:rsid w:val="0068588F"/>
    <w:rsid w:val="006858FA"/>
    <w:rsid w:val="00685E84"/>
    <w:rsid w:val="006874CC"/>
    <w:rsid w:val="006876CB"/>
    <w:rsid w:val="00690C77"/>
    <w:rsid w:val="00692025"/>
    <w:rsid w:val="00695251"/>
    <w:rsid w:val="006A0BE3"/>
    <w:rsid w:val="006A21ED"/>
    <w:rsid w:val="006A2E80"/>
    <w:rsid w:val="006A3A8F"/>
    <w:rsid w:val="006A4BE0"/>
    <w:rsid w:val="006A519C"/>
    <w:rsid w:val="006A58BE"/>
    <w:rsid w:val="006A62BA"/>
    <w:rsid w:val="006B1568"/>
    <w:rsid w:val="006B26D0"/>
    <w:rsid w:val="006B43D6"/>
    <w:rsid w:val="006B50D1"/>
    <w:rsid w:val="006B5F49"/>
    <w:rsid w:val="006C2782"/>
    <w:rsid w:val="006C56DF"/>
    <w:rsid w:val="006D2C6F"/>
    <w:rsid w:val="006D38C7"/>
    <w:rsid w:val="006D45CE"/>
    <w:rsid w:val="006D5F5A"/>
    <w:rsid w:val="006E008C"/>
    <w:rsid w:val="006E0608"/>
    <w:rsid w:val="006E1542"/>
    <w:rsid w:val="006E218A"/>
    <w:rsid w:val="006E3932"/>
    <w:rsid w:val="006E3E94"/>
    <w:rsid w:val="006E4906"/>
    <w:rsid w:val="006E4FDD"/>
    <w:rsid w:val="006F1C5A"/>
    <w:rsid w:val="006F1EEB"/>
    <w:rsid w:val="006F2261"/>
    <w:rsid w:val="006F370E"/>
    <w:rsid w:val="006F4365"/>
    <w:rsid w:val="006F481A"/>
    <w:rsid w:val="006F692D"/>
    <w:rsid w:val="007006B4"/>
    <w:rsid w:val="00700BC6"/>
    <w:rsid w:val="00701011"/>
    <w:rsid w:val="0070111C"/>
    <w:rsid w:val="00701741"/>
    <w:rsid w:val="0070439E"/>
    <w:rsid w:val="007052CA"/>
    <w:rsid w:val="00706B31"/>
    <w:rsid w:val="00706BF8"/>
    <w:rsid w:val="007075F9"/>
    <w:rsid w:val="00707ECB"/>
    <w:rsid w:val="00711240"/>
    <w:rsid w:val="007118EE"/>
    <w:rsid w:val="00711B7E"/>
    <w:rsid w:val="0071261F"/>
    <w:rsid w:val="00712BD6"/>
    <w:rsid w:val="007154F2"/>
    <w:rsid w:val="007164F9"/>
    <w:rsid w:val="00716E07"/>
    <w:rsid w:val="00717960"/>
    <w:rsid w:val="00717F4A"/>
    <w:rsid w:val="00720328"/>
    <w:rsid w:val="00721780"/>
    <w:rsid w:val="00721C92"/>
    <w:rsid w:val="00725A1A"/>
    <w:rsid w:val="007267AB"/>
    <w:rsid w:val="00726A81"/>
    <w:rsid w:val="00727000"/>
    <w:rsid w:val="00727F34"/>
    <w:rsid w:val="007305EC"/>
    <w:rsid w:val="007306FD"/>
    <w:rsid w:val="00730983"/>
    <w:rsid w:val="00730C03"/>
    <w:rsid w:val="00732542"/>
    <w:rsid w:val="00732869"/>
    <w:rsid w:val="00733C2A"/>
    <w:rsid w:val="00735AAF"/>
    <w:rsid w:val="00736604"/>
    <w:rsid w:val="00737D76"/>
    <w:rsid w:val="00740A78"/>
    <w:rsid w:val="00743527"/>
    <w:rsid w:val="0074424A"/>
    <w:rsid w:val="00745260"/>
    <w:rsid w:val="00745DBC"/>
    <w:rsid w:val="00747307"/>
    <w:rsid w:val="00747F02"/>
    <w:rsid w:val="00750A64"/>
    <w:rsid w:val="00750F63"/>
    <w:rsid w:val="00752646"/>
    <w:rsid w:val="00754086"/>
    <w:rsid w:val="00755783"/>
    <w:rsid w:val="0075580D"/>
    <w:rsid w:val="00755936"/>
    <w:rsid w:val="00757592"/>
    <w:rsid w:val="007575ED"/>
    <w:rsid w:val="0076031C"/>
    <w:rsid w:val="00760649"/>
    <w:rsid w:val="00763F20"/>
    <w:rsid w:val="007642B0"/>
    <w:rsid w:val="0076441F"/>
    <w:rsid w:val="007646BF"/>
    <w:rsid w:val="00764939"/>
    <w:rsid w:val="0076511E"/>
    <w:rsid w:val="0076655D"/>
    <w:rsid w:val="00766D33"/>
    <w:rsid w:val="007679D2"/>
    <w:rsid w:val="0077105D"/>
    <w:rsid w:val="00771652"/>
    <w:rsid w:val="007727BA"/>
    <w:rsid w:val="007742C8"/>
    <w:rsid w:val="00775467"/>
    <w:rsid w:val="0077601F"/>
    <w:rsid w:val="0078109D"/>
    <w:rsid w:val="0078157D"/>
    <w:rsid w:val="007818A9"/>
    <w:rsid w:val="00781A7B"/>
    <w:rsid w:val="0078306F"/>
    <w:rsid w:val="00785C05"/>
    <w:rsid w:val="00786027"/>
    <w:rsid w:val="0078603C"/>
    <w:rsid w:val="007865D3"/>
    <w:rsid w:val="00786604"/>
    <w:rsid w:val="00787D6C"/>
    <w:rsid w:val="007908C2"/>
    <w:rsid w:val="00791A9D"/>
    <w:rsid w:val="00794227"/>
    <w:rsid w:val="00794A2C"/>
    <w:rsid w:val="00794FF4"/>
    <w:rsid w:val="00795066"/>
    <w:rsid w:val="007958C5"/>
    <w:rsid w:val="007961B3"/>
    <w:rsid w:val="00796EE3"/>
    <w:rsid w:val="00796FA8"/>
    <w:rsid w:val="007A08B0"/>
    <w:rsid w:val="007A3C18"/>
    <w:rsid w:val="007A64BB"/>
    <w:rsid w:val="007A746F"/>
    <w:rsid w:val="007A792E"/>
    <w:rsid w:val="007A7C1E"/>
    <w:rsid w:val="007B0702"/>
    <w:rsid w:val="007B0D04"/>
    <w:rsid w:val="007B0FEB"/>
    <w:rsid w:val="007B116E"/>
    <w:rsid w:val="007B194E"/>
    <w:rsid w:val="007B553B"/>
    <w:rsid w:val="007B5671"/>
    <w:rsid w:val="007B678E"/>
    <w:rsid w:val="007B679B"/>
    <w:rsid w:val="007B755F"/>
    <w:rsid w:val="007B7BF7"/>
    <w:rsid w:val="007C05F1"/>
    <w:rsid w:val="007C13B8"/>
    <w:rsid w:val="007C2746"/>
    <w:rsid w:val="007C3CC3"/>
    <w:rsid w:val="007C53A2"/>
    <w:rsid w:val="007C5B06"/>
    <w:rsid w:val="007C6137"/>
    <w:rsid w:val="007C7979"/>
    <w:rsid w:val="007C7C74"/>
    <w:rsid w:val="007C7D9F"/>
    <w:rsid w:val="007D0F98"/>
    <w:rsid w:val="007D2563"/>
    <w:rsid w:val="007D44E4"/>
    <w:rsid w:val="007D57CE"/>
    <w:rsid w:val="007D67AA"/>
    <w:rsid w:val="007D681F"/>
    <w:rsid w:val="007E0CD6"/>
    <w:rsid w:val="007E1283"/>
    <w:rsid w:val="007E15CA"/>
    <w:rsid w:val="007E44B3"/>
    <w:rsid w:val="007E739D"/>
    <w:rsid w:val="007E7C44"/>
    <w:rsid w:val="007F1C57"/>
    <w:rsid w:val="007F30A8"/>
    <w:rsid w:val="007F32F7"/>
    <w:rsid w:val="007F3931"/>
    <w:rsid w:val="007F7CEC"/>
    <w:rsid w:val="008008F6"/>
    <w:rsid w:val="0080148F"/>
    <w:rsid w:val="00801F18"/>
    <w:rsid w:val="00801F1E"/>
    <w:rsid w:val="008025A2"/>
    <w:rsid w:val="00802FA7"/>
    <w:rsid w:val="00803214"/>
    <w:rsid w:val="008045FE"/>
    <w:rsid w:val="008047E7"/>
    <w:rsid w:val="008054CB"/>
    <w:rsid w:val="0080724E"/>
    <w:rsid w:val="00807A75"/>
    <w:rsid w:val="008107FD"/>
    <w:rsid w:val="0081145D"/>
    <w:rsid w:val="00811747"/>
    <w:rsid w:val="008133AD"/>
    <w:rsid w:val="008165BD"/>
    <w:rsid w:val="0081679F"/>
    <w:rsid w:val="008175CF"/>
    <w:rsid w:val="0081776B"/>
    <w:rsid w:val="00817B68"/>
    <w:rsid w:val="0082136A"/>
    <w:rsid w:val="00822037"/>
    <w:rsid w:val="0082294D"/>
    <w:rsid w:val="008249CC"/>
    <w:rsid w:val="00825B9C"/>
    <w:rsid w:val="00827F85"/>
    <w:rsid w:val="0083092A"/>
    <w:rsid w:val="00830B7E"/>
    <w:rsid w:val="00831485"/>
    <w:rsid w:val="00832BC3"/>
    <w:rsid w:val="008332F9"/>
    <w:rsid w:val="008365F6"/>
    <w:rsid w:val="00836D6D"/>
    <w:rsid w:val="00837CAC"/>
    <w:rsid w:val="0083D533"/>
    <w:rsid w:val="00840AC2"/>
    <w:rsid w:val="00841D6A"/>
    <w:rsid w:val="008424A2"/>
    <w:rsid w:val="00842633"/>
    <w:rsid w:val="00842C11"/>
    <w:rsid w:val="00844ABA"/>
    <w:rsid w:val="00844D9C"/>
    <w:rsid w:val="00845193"/>
    <w:rsid w:val="00845809"/>
    <w:rsid w:val="00845BEB"/>
    <w:rsid w:val="00845E58"/>
    <w:rsid w:val="00846DD5"/>
    <w:rsid w:val="00847B06"/>
    <w:rsid w:val="00847BF1"/>
    <w:rsid w:val="00850416"/>
    <w:rsid w:val="00851380"/>
    <w:rsid w:val="00852B19"/>
    <w:rsid w:val="008534EA"/>
    <w:rsid w:val="008535AE"/>
    <w:rsid w:val="008551AB"/>
    <w:rsid w:val="0086051E"/>
    <w:rsid w:val="008607E2"/>
    <w:rsid w:val="00862146"/>
    <w:rsid w:val="008636D1"/>
    <w:rsid w:val="00863F5D"/>
    <w:rsid w:val="008659D0"/>
    <w:rsid w:val="00865B5F"/>
    <w:rsid w:val="00865C8A"/>
    <w:rsid w:val="00867513"/>
    <w:rsid w:val="008675C9"/>
    <w:rsid w:val="008706AD"/>
    <w:rsid w:val="0087267A"/>
    <w:rsid w:val="008779B5"/>
    <w:rsid w:val="008833A3"/>
    <w:rsid w:val="00884545"/>
    <w:rsid w:val="00885EFA"/>
    <w:rsid w:val="008861A7"/>
    <w:rsid w:val="008867DD"/>
    <w:rsid w:val="008873CE"/>
    <w:rsid w:val="00890F3A"/>
    <w:rsid w:val="00891CF6"/>
    <w:rsid w:val="00891F25"/>
    <w:rsid w:val="00894383"/>
    <w:rsid w:val="0089451E"/>
    <w:rsid w:val="008948B9"/>
    <w:rsid w:val="00894EE2"/>
    <w:rsid w:val="0089587B"/>
    <w:rsid w:val="008A0AF7"/>
    <w:rsid w:val="008A2A39"/>
    <w:rsid w:val="008A4D0C"/>
    <w:rsid w:val="008A5165"/>
    <w:rsid w:val="008A53AA"/>
    <w:rsid w:val="008B022E"/>
    <w:rsid w:val="008B14A4"/>
    <w:rsid w:val="008B26E9"/>
    <w:rsid w:val="008B3BCD"/>
    <w:rsid w:val="008B41B1"/>
    <w:rsid w:val="008B54E8"/>
    <w:rsid w:val="008B6036"/>
    <w:rsid w:val="008B6CD2"/>
    <w:rsid w:val="008C0FD0"/>
    <w:rsid w:val="008C1D9A"/>
    <w:rsid w:val="008C29B4"/>
    <w:rsid w:val="008C391F"/>
    <w:rsid w:val="008C4514"/>
    <w:rsid w:val="008C4DD3"/>
    <w:rsid w:val="008C60B7"/>
    <w:rsid w:val="008C77E7"/>
    <w:rsid w:val="008D0711"/>
    <w:rsid w:val="008D3E45"/>
    <w:rsid w:val="008D6873"/>
    <w:rsid w:val="008E24CA"/>
    <w:rsid w:val="008E3BF5"/>
    <w:rsid w:val="008E3F02"/>
    <w:rsid w:val="008E5085"/>
    <w:rsid w:val="008E77F5"/>
    <w:rsid w:val="008F0FA1"/>
    <w:rsid w:val="008F1F5F"/>
    <w:rsid w:val="008F205E"/>
    <w:rsid w:val="008F298E"/>
    <w:rsid w:val="008F4B2A"/>
    <w:rsid w:val="008F5D85"/>
    <w:rsid w:val="008F64D9"/>
    <w:rsid w:val="00901932"/>
    <w:rsid w:val="0090279E"/>
    <w:rsid w:val="00902A87"/>
    <w:rsid w:val="0090453B"/>
    <w:rsid w:val="0090669B"/>
    <w:rsid w:val="0090708B"/>
    <w:rsid w:val="00907274"/>
    <w:rsid w:val="00911C12"/>
    <w:rsid w:val="00912DF3"/>
    <w:rsid w:val="0091425E"/>
    <w:rsid w:val="00917922"/>
    <w:rsid w:val="00917984"/>
    <w:rsid w:val="00922B23"/>
    <w:rsid w:val="00923158"/>
    <w:rsid w:val="00924A90"/>
    <w:rsid w:val="00925D7A"/>
    <w:rsid w:val="00925E8C"/>
    <w:rsid w:val="00927B02"/>
    <w:rsid w:val="00927B94"/>
    <w:rsid w:val="009334A0"/>
    <w:rsid w:val="00934309"/>
    <w:rsid w:val="009349BC"/>
    <w:rsid w:val="0093613B"/>
    <w:rsid w:val="00936A61"/>
    <w:rsid w:val="0094039C"/>
    <w:rsid w:val="00940878"/>
    <w:rsid w:val="009415B3"/>
    <w:rsid w:val="00941F73"/>
    <w:rsid w:val="0094340F"/>
    <w:rsid w:val="009434E0"/>
    <w:rsid w:val="009460ED"/>
    <w:rsid w:val="009512D7"/>
    <w:rsid w:val="0095266A"/>
    <w:rsid w:val="009563BD"/>
    <w:rsid w:val="00956F6E"/>
    <w:rsid w:val="00961A73"/>
    <w:rsid w:val="00962063"/>
    <w:rsid w:val="00964EC7"/>
    <w:rsid w:val="0097324C"/>
    <w:rsid w:val="009737DF"/>
    <w:rsid w:val="00974547"/>
    <w:rsid w:val="00974E12"/>
    <w:rsid w:val="0097571D"/>
    <w:rsid w:val="00975D44"/>
    <w:rsid w:val="00976946"/>
    <w:rsid w:val="00977772"/>
    <w:rsid w:val="00977D34"/>
    <w:rsid w:val="009806A7"/>
    <w:rsid w:val="009807BA"/>
    <w:rsid w:val="00981090"/>
    <w:rsid w:val="0098202E"/>
    <w:rsid w:val="00982183"/>
    <w:rsid w:val="0098270D"/>
    <w:rsid w:val="00983A3C"/>
    <w:rsid w:val="00985FB0"/>
    <w:rsid w:val="00992649"/>
    <w:rsid w:val="00992A90"/>
    <w:rsid w:val="009933A5"/>
    <w:rsid w:val="009946DD"/>
    <w:rsid w:val="00994F36"/>
    <w:rsid w:val="00995B84"/>
    <w:rsid w:val="0099609F"/>
    <w:rsid w:val="0099696B"/>
    <w:rsid w:val="0099728E"/>
    <w:rsid w:val="009979DB"/>
    <w:rsid w:val="009A01C0"/>
    <w:rsid w:val="009A0BB9"/>
    <w:rsid w:val="009A1B31"/>
    <w:rsid w:val="009A4C83"/>
    <w:rsid w:val="009A519E"/>
    <w:rsid w:val="009A5AD0"/>
    <w:rsid w:val="009A6C39"/>
    <w:rsid w:val="009A6CEE"/>
    <w:rsid w:val="009A7C49"/>
    <w:rsid w:val="009A7F16"/>
    <w:rsid w:val="009B01DC"/>
    <w:rsid w:val="009B1AAC"/>
    <w:rsid w:val="009B1F5E"/>
    <w:rsid w:val="009B1FD4"/>
    <w:rsid w:val="009B2CCB"/>
    <w:rsid w:val="009B2E84"/>
    <w:rsid w:val="009B4280"/>
    <w:rsid w:val="009B48FE"/>
    <w:rsid w:val="009B4DF4"/>
    <w:rsid w:val="009B57DD"/>
    <w:rsid w:val="009B5FA1"/>
    <w:rsid w:val="009B6B20"/>
    <w:rsid w:val="009B7133"/>
    <w:rsid w:val="009B7DAB"/>
    <w:rsid w:val="009C1AD2"/>
    <w:rsid w:val="009C3553"/>
    <w:rsid w:val="009C4545"/>
    <w:rsid w:val="009C5027"/>
    <w:rsid w:val="009C6823"/>
    <w:rsid w:val="009C758B"/>
    <w:rsid w:val="009C7847"/>
    <w:rsid w:val="009C7FF9"/>
    <w:rsid w:val="009D1671"/>
    <w:rsid w:val="009D3BCF"/>
    <w:rsid w:val="009D3D15"/>
    <w:rsid w:val="009D578B"/>
    <w:rsid w:val="009D6627"/>
    <w:rsid w:val="009D6CCB"/>
    <w:rsid w:val="009E0505"/>
    <w:rsid w:val="009E10B3"/>
    <w:rsid w:val="009E1BB9"/>
    <w:rsid w:val="009E3F85"/>
    <w:rsid w:val="009E5463"/>
    <w:rsid w:val="009E5AA0"/>
    <w:rsid w:val="009E5AEB"/>
    <w:rsid w:val="009E6B37"/>
    <w:rsid w:val="009F0078"/>
    <w:rsid w:val="009F0F01"/>
    <w:rsid w:val="009F1862"/>
    <w:rsid w:val="009F2254"/>
    <w:rsid w:val="009F259D"/>
    <w:rsid w:val="009F294C"/>
    <w:rsid w:val="009F2FDE"/>
    <w:rsid w:val="009F331A"/>
    <w:rsid w:val="009F7CAA"/>
    <w:rsid w:val="00A009AD"/>
    <w:rsid w:val="00A022B9"/>
    <w:rsid w:val="00A03A6F"/>
    <w:rsid w:val="00A06336"/>
    <w:rsid w:val="00A0647C"/>
    <w:rsid w:val="00A06B8A"/>
    <w:rsid w:val="00A070CF"/>
    <w:rsid w:val="00A0751D"/>
    <w:rsid w:val="00A1017D"/>
    <w:rsid w:val="00A10DF1"/>
    <w:rsid w:val="00A130EE"/>
    <w:rsid w:val="00A13AE0"/>
    <w:rsid w:val="00A13F8E"/>
    <w:rsid w:val="00A151F4"/>
    <w:rsid w:val="00A16A22"/>
    <w:rsid w:val="00A249F3"/>
    <w:rsid w:val="00A2505F"/>
    <w:rsid w:val="00A25D5B"/>
    <w:rsid w:val="00A26788"/>
    <w:rsid w:val="00A27FD7"/>
    <w:rsid w:val="00A310E6"/>
    <w:rsid w:val="00A31BC0"/>
    <w:rsid w:val="00A3234D"/>
    <w:rsid w:val="00A323B1"/>
    <w:rsid w:val="00A3342D"/>
    <w:rsid w:val="00A34234"/>
    <w:rsid w:val="00A36822"/>
    <w:rsid w:val="00A37362"/>
    <w:rsid w:val="00A37C00"/>
    <w:rsid w:val="00A410C4"/>
    <w:rsid w:val="00A410C5"/>
    <w:rsid w:val="00A41535"/>
    <w:rsid w:val="00A42681"/>
    <w:rsid w:val="00A439B7"/>
    <w:rsid w:val="00A44217"/>
    <w:rsid w:val="00A456BC"/>
    <w:rsid w:val="00A458CF"/>
    <w:rsid w:val="00A45DCD"/>
    <w:rsid w:val="00A462C3"/>
    <w:rsid w:val="00A466FE"/>
    <w:rsid w:val="00A47489"/>
    <w:rsid w:val="00A50268"/>
    <w:rsid w:val="00A509FA"/>
    <w:rsid w:val="00A51E7A"/>
    <w:rsid w:val="00A51ECA"/>
    <w:rsid w:val="00A52679"/>
    <w:rsid w:val="00A537C7"/>
    <w:rsid w:val="00A537F2"/>
    <w:rsid w:val="00A53C68"/>
    <w:rsid w:val="00A54A43"/>
    <w:rsid w:val="00A54ED8"/>
    <w:rsid w:val="00A56A18"/>
    <w:rsid w:val="00A56A22"/>
    <w:rsid w:val="00A56F73"/>
    <w:rsid w:val="00A571CC"/>
    <w:rsid w:val="00A5770B"/>
    <w:rsid w:val="00A61E3A"/>
    <w:rsid w:val="00A62DAC"/>
    <w:rsid w:val="00A63ED4"/>
    <w:rsid w:val="00A64941"/>
    <w:rsid w:val="00A65A7E"/>
    <w:rsid w:val="00A66BD7"/>
    <w:rsid w:val="00A70714"/>
    <w:rsid w:val="00A71019"/>
    <w:rsid w:val="00A71CDC"/>
    <w:rsid w:val="00A71D33"/>
    <w:rsid w:val="00A735BC"/>
    <w:rsid w:val="00A7499E"/>
    <w:rsid w:val="00A74EBE"/>
    <w:rsid w:val="00A7561D"/>
    <w:rsid w:val="00A76AAE"/>
    <w:rsid w:val="00A81D9F"/>
    <w:rsid w:val="00A83B4A"/>
    <w:rsid w:val="00A85A36"/>
    <w:rsid w:val="00A86C50"/>
    <w:rsid w:val="00A87725"/>
    <w:rsid w:val="00A87F0B"/>
    <w:rsid w:val="00A90FE1"/>
    <w:rsid w:val="00A92011"/>
    <w:rsid w:val="00A923B6"/>
    <w:rsid w:val="00A928FD"/>
    <w:rsid w:val="00A93812"/>
    <w:rsid w:val="00A93E6F"/>
    <w:rsid w:val="00A947BF"/>
    <w:rsid w:val="00A96F4B"/>
    <w:rsid w:val="00A97A00"/>
    <w:rsid w:val="00AA0261"/>
    <w:rsid w:val="00AA2C23"/>
    <w:rsid w:val="00AA4A81"/>
    <w:rsid w:val="00AA5B28"/>
    <w:rsid w:val="00AA6A7F"/>
    <w:rsid w:val="00AA6AB4"/>
    <w:rsid w:val="00AA7A09"/>
    <w:rsid w:val="00AA7DE7"/>
    <w:rsid w:val="00AA7F60"/>
    <w:rsid w:val="00AB0102"/>
    <w:rsid w:val="00AB0D6E"/>
    <w:rsid w:val="00AB29A2"/>
    <w:rsid w:val="00AB4DD1"/>
    <w:rsid w:val="00AB58AC"/>
    <w:rsid w:val="00AB6017"/>
    <w:rsid w:val="00AB6449"/>
    <w:rsid w:val="00AC04ED"/>
    <w:rsid w:val="00AC0751"/>
    <w:rsid w:val="00AC18E7"/>
    <w:rsid w:val="00AC4387"/>
    <w:rsid w:val="00AC616E"/>
    <w:rsid w:val="00AC6441"/>
    <w:rsid w:val="00AC73C6"/>
    <w:rsid w:val="00AC7CF3"/>
    <w:rsid w:val="00AD00A8"/>
    <w:rsid w:val="00AD086F"/>
    <w:rsid w:val="00AD6DB9"/>
    <w:rsid w:val="00AD73D6"/>
    <w:rsid w:val="00AE0414"/>
    <w:rsid w:val="00AE100A"/>
    <w:rsid w:val="00AE291B"/>
    <w:rsid w:val="00AE2A91"/>
    <w:rsid w:val="00AE3292"/>
    <w:rsid w:val="00AE3451"/>
    <w:rsid w:val="00AE365B"/>
    <w:rsid w:val="00AE3D37"/>
    <w:rsid w:val="00AE3D3F"/>
    <w:rsid w:val="00AE63A0"/>
    <w:rsid w:val="00AE6611"/>
    <w:rsid w:val="00AE7120"/>
    <w:rsid w:val="00AE7E87"/>
    <w:rsid w:val="00AF082B"/>
    <w:rsid w:val="00AF0921"/>
    <w:rsid w:val="00AF0948"/>
    <w:rsid w:val="00AF2CAE"/>
    <w:rsid w:val="00AF3476"/>
    <w:rsid w:val="00AF4D0D"/>
    <w:rsid w:val="00AF759C"/>
    <w:rsid w:val="00AF7683"/>
    <w:rsid w:val="00B0021F"/>
    <w:rsid w:val="00B00F2A"/>
    <w:rsid w:val="00B02E89"/>
    <w:rsid w:val="00B11D4C"/>
    <w:rsid w:val="00B127E2"/>
    <w:rsid w:val="00B13190"/>
    <w:rsid w:val="00B159FF"/>
    <w:rsid w:val="00B17EC8"/>
    <w:rsid w:val="00B217CC"/>
    <w:rsid w:val="00B22907"/>
    <w:rsid w:val="00B22E34"/>
    <w:rsid w:val="00B2385E"/>
    <w:rsid w:val="00B24677"/>
    <w:rsid w:val="00B24CEF"/>
    <w:rsid w:val="00B266CB"/>
    <w:rsid w:val="00B26B13"/>
    <w:rsid w:val="00B26D2F"/>
    <w:rsid w:val="00B3067F"/>
    <w:rsid w:val="00B31069"/>
    <w:rsid w:val="00B334AB"/>
    <w:rsid w:val="00B40165"/>
    <w:rsid w:val="00B42607"/>
    <w:rsid w:val="00B42A16"/>
    <w:rsid w:val="00B44770"/>
    <w:rsid w:val="00B46827"/>
    <w:rsid w:val="00B47BFD"/>
    <w:rsid w:val="00B500BF"/>
    <w:rsid w:val="00B50951"/>
    <w:rsid w:val="00B52821"/>
    <w:rsid w:val="00B52E68"/>
    <w:rsid w:val="00B547E0"/>
    <w:rsid w:val="00B55733"/>
    <w:rsid w:val="00B57579"/>
    <w:rsid w:val="00B61501"/>
    <w:rsid w:val="00B62F2B"/>
    <w:rsid w:val="00B63FA9"/>
    <w:rsid w:val="00B6495C"/>
    <w:rsid w:val="00B653DD"/>
    <w:rsid w:val="00B6554D"/>
    <w:rsid w:val="00B66ABB"/>
    <w:rsid w:val="00B67318"/>
    <w:rsid w:val="00B673DE"/>
    <w:rsid w:val="00B713D9"/>
    <w:rsid w:val="00B7165E"/>
    <w:rsid w:val="00B72E07"/>
    <w:rsid w:val="00B7326A"/>
    <w:rsid w:val="00B7340D"/>
    <w:rsid w:val="00B744FD"/>
    <w:rsid w:val="00B76072"/>
    <w:rsid w:val="00B768B7"/>
    <w:rsid w:val="00B80A93"/>
    <w:rsid w:val="00B80BB4"/>
    <w:rsid w:val="00B8127C"/>
    <w:rsid w:val="00B81B28"/>
    <w:rsid w:val="00B8427D"/>
    <w:rsid w:val="00B8442F"/>
    <w:rsid w:val="00B855AF"/>
    <w:rsid w:val="00B85B22"/>
    <w:rsid w:val="00B907CC"/>
    <w:rsid w:val="00B91C84"/>
    <w:rsid w:val="00B945D3"/>
    <w:rsid w:val="00B94D21"/>
    <w:rsid w:val="00B96AD2"/>
    <w:rsid w:val="00B971AA"/>
    <w:rsid w:val="00B97FE4"/>
    <w:rsid w:val="00BA1330"/>
    <w:rsid w:val="00BA1E07"/>
    <w:rsid w:val="00BA3421"/>
    <w:rsid w:val="00BA36CA"/>
    <w:rsid w:val="00BA3703"/>
    <w:rsid w:val="00BA49A3"/>
    <w:rsid w:val="00BB6115"/>
    <w:rsid w:val="00BB62C3"/>
    <w:rsid w:val="00BB71E1"/>
    <w:rsid w:val="00BC0784"/>
    <w:rsid w:val="00BC1249"/>
    <w:rsid w:val="00BC179B"/>
    <w:rsid w:val="00BC33C0"/>
    <w:rsid w:val="00BC5566"/>
    <w:rsid w:val="00BC67B9"/>
    <w:rsid w:val="00BD27DC"/>
    <w:rsid w:val="00BE01BC"/>
    <w:rsid w:val="00BE0B3F"/>
    <w:rsid w:val="00BE0D86"/>
    <w:rsid w:val="00BE207D"/>
    <w:rsid w:val="00BE255F"/>
    <w:rsid w:val="00BE480A"/>
    <w:rsid w:val="00BE4E27"/>
    <w:rsid w:val="00BE59A3"/>
    <w:rsid w:val="00BE7B28"/>
    <w:rsid w:val="00BF02F4"/>
    <w:rsid w:val="00BF0B0B"/>
    <w:rsid w:val="00BF1DAF"/>
    <w:rsid w:val="00BF2157"/>
    <w:rsid w:val="00BF2BFB"/>
    <w:rsid w:val="00BF40E8"/>
    <w:rsid w:val="00BF5316"/>
    <w:rsid w:val="00BF64B1"/>
    <w:rsid w:val="00BF6D8F"/>
    <w:rsid w:val="00C000B7"/>
    <w:rsid w:val="00C00923"/>
    <w:rsid w:val="00C02873"/>
    <w:rsid w:val="00C033BA"/>
    <w:rsid w:val="00C0377E"/>
    <w:rsid w:val="00C046DB"/>
    <w:rsid w:val="00C063BF"/>
    <w:rsid w:val="00C072C1"/>
    <w:rsid w:val="00C0749F"/>
    <w:rsid w:val="00C077E3"/>
    <w:rsid w:val="00C07E57"/>
    <w:rsid w:val="00C12C51"/>
    <w:rsid w:val="00C12E0B"/>
    <w:rsid w:val="00C153F8"/>
    <w:rsid w:val="00C1550C"/>
    <w:rsid w:val="00C158A6"/>
    <w:rsid w:val="00C166F1"/>
    <w:rsid w:val="00C21AD3"/>
    <w:rsid w:val="00C2206E"/>
    <w:rsid w:val="00C22DD0"/>
    <w:rsid w:val="00C23AC5"/>
    <w:rsid w:val="00C261B2"/>
    <w:rsid w:val="00C27B1C"/>
    <w:rsid w:val="00C32477"/>
    <w:rsid w:val="00C34889"/>
    <w:rsid w:val="00C35E67"/>
    <w:rsid w:val="00C37199"/>
    <w:rsid w:val="00C40456"/>
    <w:rsid w:val="00C41531"/>
    <w:rsid w:val="00C42228"/>
    <w:rsid w:val="00C43811"/>
    <w:rsid w:val="00C44E10"/>
    <w:rsid w:val="00C53E28"/>
    <w:rsid w:val="00C55DE2"/>
    <w:rsid w:val="00C57566"/>
    <w:rsid w:val="00C57D9B"/>
    <w:rsid w:val="00C60EF1"/>
    <w:rsid w:val="00C6337F"/>
    <w:rsid w:val="00C650CE"/>
    <w:rsid w:val="00C66C83"/>
    <w:rsid w:val="00C6757D"/>
    <w:rsid w:val="00C67A6D"/>
    <w:rsid w:val="00C70ABC"/>
    <w:rsid w:val="00C718D6"/>
    <w:rsid w:val="00C720B0"/>
    <w:rsid w:val="00C74288"/>
    <w:rsid w:val="00C7638E"/>
    <w:rsid w:val="00C76695"/>
    <w:rsid w:val="00C778D2"/>
    <w:rsid w:val="00C77D8B"/>
    <w:rsid w:val="00C80B0C"/>
    <w:rsid w:val="00C81FE7"/>
    <w:rsid w:val="00C835CA"/>
    <w:rsid w:val="00C83E44"/>
    <w:rsid w:val="00C86E44"/>
    <w:rsid w:val="00C90B59"/>
    <w:rsid w:val="00C95E96"/>
    <w:rsid w:val="00C963FD"/>
    <w:rsid w:val="00C965BF"/>
    <w:rsid w:val="00C968D5"/>
    <w:rsid w:val="00C972EA"/>
    <w:rsid w:val="00C974C2"/>
    <w:rsid w:val="00C979B0"/>
    <w:rsid w:val="00CA2FFF"/>
    <w:rsid w:val="00CA630C"/>
    <w:rsid w:val="00CB06AC"/>
    <w:rsid w:val="00CB07A0"/>
    <w:rsid w:val="00CB4120"/>
    <w:rsid w:val="00CB5BDF"/>
    <w:rsid w:val="00CB6095"/>
    <w:rsid w:val="00CB6877"/>
    <w:rsid w:val="00CC0A77"/>
    <w:rsid w:val="00CC2028"/>
    <w:rsid w:val="00CC2479"/>
    <w:rsid w:val="00CC2E83"/>
    <w:rsid w:val="00CC364C"/>
    <w:rsid w:val="00CC4734"/>
    <w:rsid w:val="00CC61B0"/>
    <w:rsid w:val="00CC652A"/>
    <w:rsid w:val="00CC75D0"/>
    <w:rsid w:val="00CD0242"/>
    <w:rsid w:val="00CD0590"/>
    <w:rsid w:val="00CD1601"/>
    <w:rsid w:val="00CD2B16"/>
    <w:rsid w:val="00CD6642"/>
    <w:rsid w:val="00CE01AE"/>
    <w:rsid w:val="00CE0E10"/>
    <w:rsid w:val="00CE2CFC"/>
    <w:rsid w:val="00CE3510"/>
    <w:rsid w:val="00CE40E2"/>
    <w:rsid w:val="00CE5641"/>
    <w:rsid w:val="00CE591D"/>
    <w:rsid w:val="00CE71F6"/>
    <w:rsid w:val="00CE76E0"/>
    <w:rsid w:val="00CF223A"/>
    <w:rsid w:val="00CF507C"/>
    <w:rsid w:val="00CF7DD6"/>
    <w:rsid w:val="00D00CA4"/>
    <w:rsid w:val="00D018B2"/>
    <w:rsid w:val="00D05112"/>
    <w:rsid w:val="00D05461"/>
    <w:rsid w:val="00D06EF7"/>
    <w:rsid w:val="00D077D0"/>
    <w:rsid w:val="00D0798E"/>
    <w:rsid w:val="00D07D03"/>
    <w:rsid w:val="00D10E09"/>
    <w:rsid w:val="00D11400"/>
    <w:rsid w:val="00D1432E"/>
    <w:rsid w:val="00D14810"/>
    <w:rsid w:val="00D1538F"/>
    <w:rsid w:val="00D16BE3"/>
    <w:rsid w:val="00D17012"/>
    <w:rsid w:val="00D17926"/>
    <w:rsid w:val="00D17DAC"/>
    <w:rsid w:val="00D20657"/>
    <w:rsid w:val="00D208CC"/>
    <w:rsid w:val="00D218EB"/>
    <w:rsid w:val="00D21D8D"/>
    <w:rsid w:val="00D2403F"/>
    <w:rsid w:val="00D24140"/>
    <w:rsid w:val="00D24F20"/>
    <w:rsid w:val="00D25FB7"/>
    <w:rsid w:val="00D30BE7"/>
    <w:rsid w:val="00D3188E"/>
    <w:rsid w:val="00D31D29"/>
    <w:rsid w:val="00D328DE"/>
    <w:rsid w:val="00D33AB7"/>
    <w:rsid w:val="00D34CB7"/>
    <w:rsid w:val="00D366E2"/>
    <w:rsid w:val="00D3753C"/>
    <w:rsid w:val="00D37F62"/>
    <w:rsid w:val="00D43BDB"/>
    <w:rsid w:val="00D43BF9"/>
    <w:rsid w:val="00D44164"/>
    <w:rsid w:val="00D44B9B"/>
    <w:rsid w:val="00D4624B"/>
    <w:rsid w:val="00D506C7"/>
    <w:rsid w:val="00D50A67"/>
    <w:rsid w:val="00D53237"/>
    <w:rsid w:val="00D54939"/>
    <w:rsid w:val="00D553B2"/>
    <w:rsid w:val="00D56F0C"/>
    <w:rsid w:val="00D5724A"/>
    <w:rsid w:val="00D604F7"/>
    <w:rsid w:val="00D610C7"/>
    <w:rsid w:val="00D616C9"/>
    <w:rsid w:val="00D61753"/>
    <w:rsid w:val="00D62B59"/>
    <w:rsid w:val="00D66063"/>
    <w:rsid w:val="00D66103"/>
    <w:rsid w:val="00D66553"/>
    <w:rsid w:val="00D7176B"/>
    <w:rsid w:val="00D72186"/>
    <w:rsid w:val="00D737E3"/>
    <w:rsid w:val="00D740B5"/>
    <w:rsid w:val="00D74F65"/>
    <w:rsid w:val="00D754B2"/>
    <w:rsid w:val="00D75CE8"/>
    <w:rsid w:val="00D75E07"/>
    <w:rsid w:val="00D770AA"/>
    <w:rsid w:val="00D80A51"/>
    <w:rsid w:val="00D81383"/>
    <w:rsid w:val="00D8211F"/>
    <w:rsid w:val="00D82D54"/>
    <w:rsid w:val="00D838FA"/>
    <w:rsid w:val="00D83E56"/>
    <w:rsid w:val="00D846B0"/>
    <w:rsid w:val="00D84707"/>
    <w:rsid w:val="00D85D72"/>
    <w:rsid w:val="00D86575"/>
    <w:rsid w:val="00D86749"/>
    <w:rsid w:val="00D90169"/>
    <w:rsid w:val="00D907D3"/>
    <w:rsid w:val="00D90C0D"/>
    <w:rsid w:val="00D928EB"/>
    <w:rsid w:val="00D9644A"/>
    <w:rsid w:val="00D97DB2"/>
    <w:rsid w:val="00DA04B6"/>
    <w:rsid w:val="00DA063D"/>
    <w:rsid w:val="00DA1A14"/>
    <w:rsid w:val="00DA4A21"/>
    <w:rsid w:val="00DB077B"/>
    <w:rsid w:val="00DB163F"/>
    <w:rsid w:val="00DB2D4A"/>
    <w:rsid w:val="00DB2E41"/>
    <w:rsid w:val="00DB30B7"/>
    <w:rsid w:val="00DB3470"/>
    <w:rsid w:val="00DB3A89"/>
    <w:rsid w:val="00DB3B48"/>
    <w:rsid w:val="00DB56C0"/>
    <w:rsid w:val="00DB587C"/>
    <w:rsid w:val="00DB64AB"/>
    <w:rsid w:val="00DB6D88"/>
    <w:rsid w:val="00DB71BF"/>
    <w:rsid w:val="00DB7D15"/>
    <w:rsid w:val="00DC111F"/>
    <w:rsid w:val="00DC16DC"/>
    <w:rsid w:val="00DC17BA"/>
    <w:rsid w:val="00DC1874"/>
    <w:rsid w:val="00DC1A21"/>
    <w:rsid w:val="00DC4050"/>
    <w:rsid w:val="00DC5408"/>
    <w:rsid w:val="00DC561B"/>
    <w:rsid w:val="00DC6584"/>
    <w:rsid w:val="00DC6BB9"/>
    <w:rsid w:val="00DC7B17"/>
    <w:rsid w:val="00DD12BE"/>
    <w:rsid w:val="00DD3399"/>
    <w:rsid w:val="00DD3724"/>
    <w:rsid w:val="00DD53A4"/>
    <w:rsid w:val="00DD5433"/>
    <w:rsid w:val="00DE27D4"/>
    <w:rsid w:val="00DE286B"/>
    <w:rsid w:val="00DE2973"/>
    <w:rsid w:val="00DE31B8"/>
    <w:rsid w:val="00DE4F29"/>
    <w:rsid w:val="00DE6415"/>
    <w:rsid w:val="00DE685C"/>
    <w:rsid w:val="00DF0BD7"/>
    <w:rsid w:val="00DF1F41"/>
    <w:rsid w:val="00DF20B3"/>
    <w:rsid w:val="00DF287D"/>
    <w:rsid w:val="00DF28FB"/>
    <w:rsid w:val="00DF2986"/>
    <w:rsid w:val="00DF3759"/>
    <w:rsid w:val="00DF5AE2"/>
    <w:rsid w:val="00DF5CD8"/>
    <w:rsid w:val="00DF6E93"/>
    <w:rsid w:val="00DF7823"/>
    <w:rsid w:val="00DF7E66"/>
    <w:rsid w:val="00E00BF9"/>
    <w:rsid w:val="00E028DE"/>
    <w:rsid w:val="00E02FE9"/>
    <w:rsid w:val="00E0315F"/>
    <w:rsid w:val="00E03EDF"/>
    <w:rsid w:val="00E0734F"/>
    <w:rsid w:val="00E07782"/>
    <w:rsid w:val="00E11FED"/>
    <w:rsid w:val="00E121ED"/>
    <w:rsid w:val="00E13218"/>
    <w:rsid w:val="00E16686"/>
    <w:rsid w:val="00E23174"/>
    <w:rsid w:val="00E265C3"/>
    <w:rsid w:val="00E271F1"/>
    <w:rsid w:val="00E31AC0"/>
    <w:rsid w:val="00E335D6"/>
    <w:rsid w:val="00E35DAE"/>
    <w:rsid w:val="00E37AA3"/>
    <w:rsid w:val="00E404CF"/>
    <w:rsid w:val="00E41972"/>
    <w:rsid w:val="00E436CB"/>
    <w:rsid w:val="00E439C3"/>
    <w:rsid w:val="00E43E8B"/>
    <w:rsid w:val="00E43EDB"/>
    <w:rsid w:val="00E44C5D"/>
    <w:rsid w:val="00E47D86"/>
    <w:rsid w:val="00E50561"/>
    <w:rsid w:val="00E604B7"/>
    <w:rsid w:val="00E61773"/>
    <w:rsid w:val="00E640BD"/>
    <w:rsid w:val="00E64576"/>
    <w:rsid w:val="00E650DF"/>
    <w:rsid w:val="00E6571E"/>
    <w:rsid w:val="00E66A40"/>
    <w:rsid w:val="00E66F78"/>
    <w:rsid w:val="00E71263"/>
    <w:rsid w:val="00E72061"/>
    <w:rsid w:val="00E724ED"/>
    <w:rsid w:val="00E73057"/>
    <w:rsid w:val="00E73731"/>
    <w:rsid w:val="00E73A21"/>
    <w:rsid w:val="00E744D6"/>
    <w:rsid w:val="00E768B2"/>
    <w:rsid w:val="00E7797D"/>
    <w:rsid w:val="00E77FD2"/>
    <w:rsid w:val="00E8136D"/>
    <w:rsid w:val="00E836C8"/>
    <w:rsid w:val="00E85E7F"/>
    <w:rsid w:val="00E911AE"/>
    <w:rsid w:val="00E92130"/>
    <w:rsid w:val="00E94C1D"/>
    <w:rsid w:val="00E964C4"/>
    <w:rsid w:val="00E9768E"/>
    <w:rsid w:val="00EA3614"/>
    <w:rsid w:val="00EA4A7E"/>
    <w:rsid w:val="00EA5FA9"/>
    <w:rsid w:val="00EA666A"/>
    <w:rsid w:val="00EA7C28"/>
    <w:rsid w:val="00EB0407"/>
    <w:rsid w:val="00EB0742"/>
    <w:rsid w:val="00EB1891"/>
    <w:rsid w:val="00EB3C30"/>
    <w:rsid w:val="00EB3CD8"/>
    <w:rsid w:val="00EB4122"/>
    <w:rsid w:val="00EB520F"/>
    <w:rsid w:val="00EB5740"/>
    <w:rsid w:val="00EB5FE5"/>
    <w:rsid w:val="00EB6CD9"/>
    <w:rsid w:val="00EC1975"/>
    <w:rsid w:val="00EC293F"/>
    <w:rsid w:val="00EC2DC7"/>
    <w:rsid w:val="00EC333A"/>
    <w:rsid w:val="00EC3C28"/>
    <w:rsid w:val="00EC50B6"/>
    <w:rsid w:val="00EC6D69"/>
    <w:rsid w:val="00ED28DC"/>
    <w:rsid w:val="00ED39A7"/>
    <w:rsid w:val="00ED4C18"/>
    <w:rsid w:val="00ED4E36"/>
    <w:rsid w:val="00ED5F01"/>
    <w:rsid w:val="00ED7491"/>
    <w:rsid w:val="00ED7D91"/>
    <w:rsid w:val="00EE05A3"/>
    <w:rsid w:val="00EE0F72"/>
    <w:rsid w:val="00EE18FF"/>
    <w:rsid w:val="00EE1AA9"/>
    <w:rsid w:val="00EE3151"/>
    <w:rsid w:val="00EE3303"/>
    <w:rsid w:val="00EE33FD"/>
    <w:rsid w:val="00EE40F0"/>
    <w:rsid w:val="00EE4AC4"/>
    <w:rsid w:val="00EE5272"/>
    <w:rsid w:val="00EE60C7"/>
    <w:rsid w:val="00EE6FAC"/>
    <w:rsid w:val="00EE73B8"/>
    <w:rsid w:val="00EF2385"/>
    <w:rsid w:val="00EF6618"/>
    <w:rsid w:val="00EF79E3"/>
    <w:rsid w:val="00EF7EF0"/>
    <w:rsid w:val="00F00745"/>
    <w:rsid w:val="00F00C8D"/>
    <w:rsid w:val="00F02A87"/>
    <w:rsid w:val="00F031F7"/>
    <w:rsid w:val="00F03BEC"/>
    <w:rsid w:val="00F04046"/>
    <w:rsid w:val="00F052E7"/>
    <w:rsid w:val="00F0611C"/>
    <w:rsid w:val="00F064D6"/>
    <w:rsid w:val="00F06EA4"/>
    <w:rsid w:val="00F107AB"/>
    <w:rsid w:val="00F10A53"/>
    <w:rsid w:val="00F10CF3"/>
    <w:rsid w:val="00F12D2B"/>
    <w:rsid w:val="00F13804"/>
    <w:rsid w:val="00F147FC"/>
    <w:rsid w:val="00F148DF"/>
    <w:rsid w:val="00F14C2B"/>
    <w:rsid w:val="00F15463"/>
    <w:rsid w:val="00F206FA"/>
    <w:rsid w:val="00F210D2"/>
    <w:rsid w:val="00F23185"/>
    <w:rsid w:val="00F26826"/>
    <w:rsid w:val="00F26C6F"/>
    <w:rsid w:val="00F27493"/>
    <w:rsid w:val="00F30FCA"/>
    <w:rsid w:val="00F310B3"/>
    <w:rsid w:val="00F31407"/>
    <w:rsid w:val="00F3173A"/>
    <w:rsid w:val="00F3197B"/>
    <w:rsid w:val="00F31E8C"/>
    <w:rsid w:val="00F32091"/>
    <w:rsid w:val="00F3394F"/>
    <w:rsid w:val="00F3438F"/>
    <w:rsid w:val="00F34765"/>
    <w:rsid w:val="00F34B8A"/>
    <w:rsid w:val="00F35CAB"/>
    <w:rsid w:val="00F362E9"/>
    <w:rsid w:val="00F37A9E"/>
    <w:rsid w:val="00F40627"/>
    <w:rsid w:val="00F40A72"/>
    <w:rsid w:val="00F43182"/>
    <w:rsid w:val="00F4346A"/>
    <w:rsid w:val="00F43843"/>
    <w:rsid w:val="00F43B71"/>
    <w:rsid w:val="00F44E8C"/>
    <w:rsid w:val="00F46D86"/>
    <w:rsid w:val="00F4730B"/>
    <w:rsid w:val="00F47BEA"/>
    <w:rsid w:val="00F530CD"/>
    <w:rsid w:val="00F546E3"/>
    <w:rsid w:val="00F548CC"/>
    <w:rsid w:val="00F5622E"/>
    <w:rsid w:val="00F56972"/>
    <w:rsid w:val="00F570D7"/>
    <w:rsid w:val="00F60CAD"/>
    <w:rsid w:val="00F6214F"/>
    <w:rsid w:val="00F6293A"/>
    <w:rsid w:val="00F63211"/>
    <w:rsid w:val="00F63D32"/>
    <w:rsid w:val="00F645DA"/>
    <w:rsid w:val="00F67964"/>
    <w:rsid w:val="00F67CCB"/>
    <w:rsid w:val="00F7044E"/>
    <w:rsid w:val="00F70836"/>
    <w:rsid w:val="00F72449"/>
    <w:rsid w:val="00F72A67"/>
    <w:rsid w:val="00F73E32"/>
    <w:rsid w:val="00F7531B"/>
    <w:rsid w:val="00F7567D"/>
    <w:rsid w:val="00F759F5"/>
    <w:rsid w:val="00F76312"/>
    <w:rsid w:val="00F763B4"/>
    <w:rsid w:val="00F76BB2"/>
    <w:rsid w:val="00F77451"/>
    <w:rsid w:val="00F8010C"/>
    <w:rsid w:val="00F81E25"/>
    <w:rsid w:val="00F822FC"/>
    <w:rsid w:val="00F8306D"/>
    <w:rsid w:val="00F84AFA"/>
    <w:rsid w:val="00F856FC"/>
    <w:rsid w:val="00F858E6"/>
    <w:rsid w:val="00F911D7"/>
    <w:rsid w:val="00F9291C"/>
    <w:rsid w:val="00F93234"/>
    <w:rsid w:val="00F94BA4"/>
    <w:rsid w:val="00FA0F64"/>
    <w:rsid w:val="00FA1D7F"/>
    <w:rsid w:val="00FA31C0"/>
    <w:rsid w:val="00FA323F"/>
    <w:rsid w:val="00FA32BA"/>
    <w:rsid w:val="00FA355D"/>
    <w:rsid w:val="00FA46F7"/>
    <w:rsid w:val="00FA4F0D"/>
    <w:rsid w:val="00FA5F97"/>
    <w:rsid w:val="00FA6099"/>
    <w:rsid w:val="00FA7FFB"/>
    <w:rsid w:val="00FAC24E"/>
    <w:rsid w:val="00FB191F"/>
    <w:rsid w:val="00FB1FF5"/>
    <w:rsid w:val="00FB3676"/>
    <w:rsid w:val="00FB39F7"/>
    <w:rsid w:val="00FB463A"/>
    <w:rsid w:val="00FB516F"/>
    <w:rsid w:val="00FB5615"/>
    <w:rsid w:val="00FB7C04"/>
    <w:rsid w:val="00FB7F10"/>
    <w:rsid w:val="00FC349A"/>
    <w:rsid w:val="00FC46B9"/>
    <w:rsid w:val="00FC481B"/>
    <w:rsid w:val="00FC5E78"/>
    <w:rsid w:val="00FC6CC8"/>
    <w:rsid w:val="00FC6F09"/>
    <w:rsid w:val="00FC77FA"/>
    <w:rsid w:val="00FD07D8"/>
    <w:rsid w:val="00FD0C15"/>
    <w:rsid w:val="00FD0DE9"/>
    <w:rsid w:val="00FD24A1"/>
    <w:rsid w:val="00FD48F4"/>
    <w:rsid w:val="00FD5164"/>
    <w:rsid w:val="00FD53FC"/>
    <w:rsid w:val="00FD755D"/>
    <w:rsid w:val="00FD781A"/>
    <w:rsid w:val="00FD7FA0"/>
    <w:rsid w:val="00FE1685"/>
    <w:rsid w:val="00FE253F"/>
    <w:rsid w:val="00FE2A9F"/>
    <w:rsid w:val="00FE3747"/>
    <w:rsid w:val="00FE3992"/>
    <w:rsid w:val="00FE3BC0"/>
    <w:rsid w:val="00FE3E41"/>
    <w:rsid w:val="00FE423F"/>
    <w:rsid w:val="00FE5418"/>
    <w:rsid w:val="00FF10C4"/>
    <w:rsid w:val="00FF3314"/>
    <w:rsid w:val="00FF50FE"/>
    <w:rsid w:val="00FF5F60"/>
    <w:rsid w:val="00FF66D8"/>
    <w:rsid w:val="0146A793"/>
    <w:rsid w:val="01522ADA"/>
    <w:rsid w:val="01D9D902"/>
    <w:rsid w:val="01DB5A90"/>
    <w:rsid w:val="0205DDA1"/>
    <w:rsid w:val="028BA0E8"/>
    <w:rsid w:val="033F4AF1"/>
    <w:rsid w:val="036B535C"/>
    <w:rsid w:val="03957FEE"/>
    <w:rsid w:val="03E6F5D3"/>
    <w:rsid w:val="0414A5E4"/>
    <w:rsid w:val="04A63686"/>
    <w:rsid w:val="04CDC188"/>
    <w:rsid w:val="04E0623E"/>
    <w:rsid w:val="051D9FB2"/>
    <w:rsid w:val="055DD68D"/>
    <w:rsid w:val="058FE2FD"/>
    <w:rsid w:val="059F7D76"/>
    <w:rsid w:val="06C42667"/>
    <w:rsid w:val="077245AA"/>
    <w:rsid w:val="07D76D88"/>
    <w:rsid w:val="07E33A7D"/>
    <w:rsid w:val="07FA96FC"/>
    <w:rsid w:val="080EC8CB"/>
    <w:rsid w:val="08332EB3"/>
    <w:rsid w:val="08342A57"/>
    <w:rsid w:val="0836CF2F"/>
    <w:rsid w:val="08F4DAC9"/>
    <w:rsid w:val="08F91F6C"/>
    <w:rsid w:val="099FC302"/>
    <w:rsid w:val="0AA01B98"/>
    <w:rsid w:val="0AE5413F"/>
    <w:rsid w:val="0B85C5E5"/>
    <w:rsid w:val="0B9A5A52"/>
    <w:rsid w:val="0C69C16D"/>
    <w:rsid w:val="0C7A7819"/>
    <w:rsid w:val="0C8F145C"/>
    <w:rsid w:val="0CA5571D"/>
    <w:rsid w:val="0CD8416A"/>
    <w:rsid w:val="0CE6CECE"/>
    <w:rsid w:val="0D19A97F"/>
    <w:rsid w:val="0D3343D9"/>
    <w:rsid w:val="0DB89230"/>
    <w:rsid w:val="0DC9BD1F"/>
    <w:rsid w:val="0DD5AC45"/>
    <w:rsid w:val="0E026AE2"/>
    <w:rsid w:val="0EB56E6E"/>
    <w:rsid w:val="0EC32C0D"/>
    <w:rsid w:val="0EC72455"/>
    <w:rsid w:val="0EE06D29"/>
    <w:rsid w:val="0EFC2673"/>
    <w:rsid w:val="0F18F23F"/>
    <w:rsid w:val="0F74157E"/>
    <w:rsid w:val="0F8BA4BA"/>
    <w:rsid w:val="0FCA70CA"/>
    <w:rsid w:val="10348EDF"/>
    <w:rsid w:val="104C9164"/>
    <w:rsid w:val="116374A6"/>
    <w:rsid w:val="11927E46"/>
    <w:rsid w:val="11B398D4"/>
    <w:rsid w:val="11F6221D"/>
    <w:rsid w:val="12564176"/>
    <w:rsid w:val="13002729"/>
    <w:rsid w:val="13281B05"/>
    <w:rsid w:val="13CCC603"/>
    <w:rsid w:val="13D6590D"/>
    <w:rsid w:val="13D71443"/>
    <w:rsid w:val="13E243C9"/>
    <w:rsid w:val="14CFA8E4"/>
    <w:rsid w:val="14E342DD"/>
    <w:rsid w:val="14F06289"/>
    <w:rsid w:val="14FD83AD"/>
    <w:rsid w:val="15BF2C59"/>
    <w:rsid w:val="1609F16B"/>
    <w:rsid w:val="162D9D66"/>
    <w:rsid w:val="16431AEA"/>
    <w:rsid w:val="1723C2F1"/>
    <w:rsid w:val="1728C06F"/>
    <w:rsid w:val="17362BDC"/>
    <w:rsid w:val="17D943AB"/>
    <w:rsid w:val="17EE63A3"/>
    <w:rsid w:val="183B5302"/>
    <w:rsid w:val="18A55C1E"/>
    <w:rsid w:val="18F835CA"/>
    <w:rsid w:val="195765F3"/>
    <w:rsid w:val="19D365B4"/>
    <w:rsid w:val="1A5E6743"/>
    <w:rsid w:val="1A6ACBE4"/>
    <w:rsid w:val="1A8657F1"/>
    <w:rsid w:val="1A8CCB48"/>
    <w:rsid w:val="1AD78DAB"/>
    <w:rsid w:val="1B12A7BD"/>
    <w:rsid w:val="1B233DB0"/>
    <w:rsid w:val="1B4C71E9"/>
    <w:rsid w:val="1B889534"/>
    <w:rsid w:val="1BF662A9"/>
    <w:rsid w:val="1C0D01D1"/>
    <w:rsid w:val="1C18EA80"/>
    <w:rsid w:val="1C42C96A"/>
    <w:rsid w:val="1D550A12"/>
    <w:rsid w:val="1D58DBB2"/>
    <w:rsid w:val="1DAE13E9"/>
    <w:rsid w:val="1E29E822"/>
    <w:rsid w:val="1E500E85"/>
    <w:rsid w:val="1EE35A72"/>
    <w:rsid w:val="1EFE85AB"/>
    <w:rsid w:val="1F2B27A3"/>
    <w:rsid w:val="1F6CA8AB"/>
    <w:rsid w:val="201D7E71"/>
    <w:rsid w:val="20586049"/>
    <w:rsid w:val="20826B6A"/>
    <w:rsid w:val="208F92FF"/>
    <w:rsid w:val="20A00996"/>
    <w:rsid w:val="20A2E07C"/>
    <w:rsid w:val="2109736F"/>
    <w:rsid w:val="21A4C85F"/>
    <w:rsid w:val="22262A71"/>
    <w:rsid w:val="225F5391"/>
    <w:rsid w:val="23F64CBF"/>
    <w:rsid w:val="23FFD2CA"/>
    <w:rsid w:val="242BA2DE"/>
    <w:rsid w:val="245A2062"/>
    <w:rsid w:val="2460C109"/>
    <w:rsid w:val="249474A0"/>
    <w:rsid w:val="24B522D0"/>
    <w:rsid w:val="251E75D6"/>
    <w:rsid w:val="2544D340"/>
    <w:rsid w:val="254AE0D4"/>
    <w:rsid w:val="25F73412"/>
    <w:rsid w:val="2697F23F"/>
    <w:rsid w:val="27470C20"/>
    <w:rsid w:val="27C01ACB"/>
    <w:rsid w:val="27C65B9A"/>
    <w:rsid w:val="27CC2786"/>
    <w:rsid w:val="28429A3C"/>
    <w:rsid w:val="2874FD73"/>
    <w:rsid w:val="28D77819"/>
    <w:rsid w:val="2965FD71"/>
    <w:rsid w:val="29711607"/>
    <w:rsid w:val="2980C8CF"/>
    <w:rsid w:val="29BEA79B"/>
    <w:rsid w:val="2A0192DE"/>
    <w:rsid w:val="2A0CE973"/>
    <w:rsid w:val="2A8EE5B2"/>
    <w:rsid w:val="2A92812F"/>
    <w:rsid w:val="2A975171"/>
    <w:rsid w:val="2B498420"/>
    <w:rsid w:val="2B792FCC"/>
    <w:rsid w:val="2B8C1F07"/>
    <w:rsid w:val="2C5FCD3D"/>
    <w:rsid w:val="2C6987F3"/>
    <w:rsid w:val="2C7C4D0F"/>
    <w:rsid w:val="2CAD711C"/>
    <w:rsid w:val="2CCCA8AE"/>
    <w:rsid w:val="2CF048C4"/>
    <w:rsid w:val="2D32B3EF"/>
    <w:rsid w:val="2D49D7BF"/>
    <w:rsid w:val="2D6DA1BF"/>
    <w:rsid w:val="2DDC4BFD"/>
    <w:rsid w:val="2DEB0CBF"/>
    <w:rsid w:val="2E22A823"/>
    <w:rsid w:val="2E3DEDC9"/>
    <w:rsid w:val="2E450DAC"/>
    <w:rsid w:val="2E9AA0E6"/>
    <w:rsid w:val="2EB22C48"/>
    <w:rsid w:val="2F22B8E1"/>
    <w:rsid w:val="2F3927B9"/>
    <w:rsid w:val="2F9C888C"/>
    <w:rsid w:val="2FA0A26F"/>
    <w:rsid w:val="2FCFE999"/>
    <w:rsid w:val="301F8F66"/>
    <w:rsid w:val="30411775"/>
    <w:rsid w:val="3063FB23"/>
    <w:rsid w:val="308EB4A6"/>
    <w:rsid w:val="30B51CC3"/>
    <w:rsid w:val="31713E08"/>
    <w:rsid w:val="31AF6366"/>
    <w:rsid w:val="31F827C2"/>
    <w:rsid w:val="3202205D"/>
    <w:rsid w:val="320EBAB4"/>
    <w:rsid w:val="3227C4CB"/>
    <w:rsid w:val="323DD05B"/>
    <w:rsid w:val="328E5031"/>
    <w:rsid w:val="330E6B37"/>
    <w:rsid w:val="33133F1E"/>
    <w:rsid w:val="3319A0B3"/>
    <w:rsid w:val="331CC482"/>
    <w:rsid w:val="331FA469"/>
    <w:rsid w:val="3370B89D"/>
    <w:rsid w:val="33B12B01"/>
    <w:rsid w:val="33FE2F84"/>
    <w:rsid w:val="342D707A"/>
    <w:rsid w:val="34605444"/>
    <w:rsid w:val="34613853"/>
    <w:rsid w:val="34A7BAC3"/>
    <w:rsid w:val="34E74D1D"/>
    <w:rsid w:val="3552609F"/>
    <w:rsid w:val="35D80299"/>
    <w:rsid w:val="366A805A"/>
    <w:rsid w:val="367A2892"/>
    <w:rsid w:val="36B2B6AF"/>
    <w:rsid w:val="373C644F"/>
    <w:rsid w:val="3746FB68"/>
    <w:rsid w:val="37473F46"/>
    <w:rsid w:val="3802A99F"/>
    <w:rsid w:val="3851EE4B"/>
    <w:rsid w:val="39CE6CC3"/>
    <w:rsid w:val="39D19D64"/>
    <w:rsid w:val="39DAA2F7"/>
    <w:rsid w:val="3A731CFD"/>
    <w:rsid w:val="3AB2015A"/>
    <w:rsid w:val="3AD73BFA"/>
    <w:rsid w:val="3B3FDC3E"/>
    <w:rsid w:val="3B7FEC15"/>
    <w:rsid w:val="3BACFA26"/>
    <w:rsid w:val="3C514142"/>
    <w:rsid w:val="3C5962EC"/>
    <w:rsid w:val="3CDCE771"/>
    <w:rsid w:val="3CF1FA8B"/>
    <w:rsid w:val="3D06D3BB"/>
    <w:rsid w:val="3D495CAD"/>
    <w:rsid w:val="3D5E683B"/>
    <w:rsid w:val="3E5DBC3A"/>
    <w:rsid w:val="3E7960B6"/>
    <w:rsid w:val="3EF9E03C"/>
    <w:rsid w:val="3FB09EB5"/>
    <w:rsid w:val="3FB108DF"/>
    <w:rsid w:val="40033327"/>
    <w:rsid w:val="40275458"/>
    <w:rsid w:val="405EBFD2"/>
    <w:rsid w:val="409F75A7"/>
    <w:rsid w:val="40A581BD"/>
    <w:rsid w:val="413A5B78"/>
    <w:rsid w:val="4140B016"/>
    <w:rsid w:val="414122EE"/>
    <w:rsid w:val="4153B084"/>
    <w:rsid w:val="41638723"/>
    <w:rsid w:val="416A7646"/>
    <w:rsid w:val="4196E1C2"/>
    <w:rsid w:val="419AB235"/>
    <w:rsid w:val="41A76BCD"/>
    <w:rsid w:val="41ABE2D2"/>
    <w:rsid w:val="41CBEC60"/>
    <w:rsid w:val="41DA9C57"/>
    <w:rsid w:val="41F23F89"/>
    <w:rsid w:val="425C5CCF"/>
    <w:rsid w:val="4279CAF0"/>
    <w:rsid w:val="42CC38FE"/>
    <w:rsid w:val="42EA305B"/>
    <w:rsid w:val="432994EE"/>
    <w:rsid w:val="439DBB92"/>
    <w:rsid w:val="441CC53F"/>
    <w:rsid w:val="442E2AEB"/>
    <w:rsid w:val="446EF421"/>
    <w:rsid w:val="44815D08"/>
    <w:rsid w:val="44851AE5"/>
    <w:rsid w:val="44B8A236"/>
    <w:rsid w:val="44CCF57D"/>
    <w:rsid w:val="44E989B2"/>
    <w:rsid w:val="4500A25D"/>
    <w:rsid w:val="4511BC2E"/>
    <w:rsid w:val="4512EECE"/>
    <w:rsid w:val="4524A5D5"/>
    <w:rsid w:val="45669078"/>
    <w:rsid w:val="456AFDA9"/>
    <w:rsid w:val="45A446F0"/>
    <w:rsid w:val="45BCCFCA"/>
    <w:rsid w:val="46ED837F"/>
    <w:rsid w:val="47BCE42A"/>
    <w:rsid w:val="48006850"/>
    <w:rsid w:val="4832B495"/>
    <w:rsid w:val="483A3860"/>
    <w:rsid w:val="48874E73"/>
    <w:rsid w:val="48DEAFBE"/>
    <w:rsid w:val="49180FC6"/>
    <w:rsid w:val="49595415"/>
    <w:rsid w:val="49A331BA"/>
    <w:rsid w:val="49A68272"/>
    <w:rsid w:val="49F3362C"/>
    <w:rsid w:val="4A44A81B"/>
    <w:rsid w:val="4A4CF6C0"/>
    <w:rsid w:val="4A83C641"/>
    <w:rsid w:val="4B687061"/>
    <w:rsid w:val="4BE504E9"/>
    <w:rsid w:val="4CA8B233"/>
    <w:rsid w:val="4E2F3E50"/>
    <w:rsid w:val="4E31718A"/>
    <w:rsid w:val="4E79AC48"/>
    <w:rsid w:val="4ECB65AC"/>
    <w:rsid w:val="4EF53A14"/>
    <w:rsid w:val="4F699406"/>
    <w:rsid w:val="4F781CAA"/>
    <w:rsid w:val="4FB22F2E"/>
    <w:rsid w:val="5063C128"/>
    <w:rsid w:val="506A9277"/>
    <w:rsid w:val="50DA0F88"/>
    <w:rsid w:val="51475859"/>
    <w:rsid w:val="514C4821"/>
    <w:rsid w:val="517B82ED"/>
    <w:rsid w:val="517F68E3"/>
    <w:rsid w:val="51810E21"/>
    <w:rsid w:val="519BFFB0"/>
    <w:rsid w:val="5248741E"/>
    <w:rsid w:val="52ABDE93"/>
    <w:rsid w:val="52C3738C"/>
    <w:rsid w:val="5338DD81"/>
    <w:rsid w:val="53BDF947"/>
    <w:rsid w:val="53DF4FC2"/>
    <w:rsid w:val="53FDC3D2"/>
    <w:rsid w:val="541AB5CD"/>
    <w:rsid w:val="5465435A"/>
    <w:rsid w:val="54A32F3C"/>
    <w:rsid w:val="54B84925"/>
    <w:rsid w:val="554B8CD9"/>
    <w:rsid w:val="555724E1"/>
    <w:rsid w:val="5570E2E6"/>
    <w:rsid w:val="55866A70"/>
    <w:rsid w:val="55D9D33D"/>
    <w:rsid w:val="55ED8C84"/>
    <w:rsid w:val="5600740C"/>
    <w:rsid w:val="561E20DE"/>
    <w:rsid w:val="565632F4"/>
    <w:rsid w:val="5670A9A8"/>
    <w:rsid w:val="569B8CEA"/>
    <w:rsid w:val="569F4F10"/>
    <w:rsid w:val="56AC0B6E"/>
    <w:rsid w:val="56F5A1C0"/>
    <w:rsid w:val="574603EE"/>
    <w:rsid w:val="57478EB6"/>
    <w:rsid w:val="575F0197"/>
    <w:rsid w:val="5785C019"/>
    <w:rsid w:val="57972E32"/>
    <w:rsid w:val="57974BAD"/>
    <w:rsid w:val="57DDBD8C"/>
    <w:rsid w:val="57EA2A4F"/>
    <w:rsid w:val="581338D4"/>
    <w:rsid w:val="586199A9"/>
    <w:rsid w:val="5864B518"/>
    <w:rsid w:val="588B72F0"/>
    <w:rsid w:val="59ECCE4F"/>
    <w:rsid w:val="59F75E72"/>
    <w:rsid w:val="5A3BD38A"/>
    <w:rsid w:val="5A793F01"/>
    <w:rsid w:val="5AA64FE0"/>
    <w:rsid w:val="5AB1EF49"/>
    <w:rsid w:val="5B2BFF0A"/>
    <w:rsid w:val="5B8556FB"/>
    <w:rsid w:val="5BCA14E1"/>
    <w:rsid w:val="5C609751"/>
    <w:rsid w:val="5C668B1E"/>
    <w:rsid w:val="5C6E8146"/>
    <w:rsid w:val="5CD85EBB"/>
    <w:rsid w:val="5CE6B7B3"/>
    <w:rsid w:val="5D03AF07"/>
    <w:rsid w:val="5D2B0CEA"/>
    <w:rsid w:val="5D2DDF2A"/>
    <w:rsid w:val="5E0397B6"/>
    <w:rsid w:val="5E1E0FB7"/>
    <w:rsid w:val="5E3F6DDE"/>
    <w:rsid w:val="5EF55641"/>
    <w:rsid w:val="5F10E1D0"/>
    <w:rsid w:val="5F1C9F70"/>
    <w:rsid w:val="5FEC7CD2"/>
    <w:rsid w:val="6034BC00"/>
    <w:rsid w:val="60EB476F"/>
    <w:rsid w:val="6100CC5F"/>
    <w:rsid w:val="61307D04"/>
    <w:rsid w:val="6148000B"/>
    <w:rsid w:val="61E823D2"/>
    <w:rsid w:val="6241A139"/>
    <w:rsid w:val="6381E361"/>
    <w:rsid w:val="63F933B6"/>
    <w:rsid w:val="6400AAE1"/>
    <w:rsid w:val="64129DDE"/>
    <w:rsid w:val="6490F391"/>
    <w:rsid w:val="649AC933"/>
    <w:rsid w:val="6521484C"/>
    <w:rsid w:val="652938D6"/>
    <w:rsid w:val="65347DBE"/>
    <w:rsid w:val="656CA3E6"/>
    <w:rsid w:val="65DE2096"/>
    <w:rsid w:val="65DF96C6"/>
    <w:rsid w:val="65E59518"/>
    <w:rsid w:val="663A0506"/>
    <w:rsid w:val="663CA7A3"/>
    <w:rsid w:val="664303B1"/>
    <w:rsid w:val="66616A89"/>
    <w:rsid w:val="666E1C66"/>
    <w:rsid w:val="66BADED8"/>
    <w:rsid w:val="66E69EF8"/>
    <w:rsid w:val="672747AD"/>
    <w:rsid w:val="67459524"/>
    <w:rsid w:val="6773879C"/>
    <w:rsid w:val="67B175C0"/>
    <w:rsid w:val="67E01712"/>
    <w:rsid w:val="684C73D5"/>
    <w:rsid w:val="6865C70D"/>
    <w:rsid w:val="68897523"/>
    <w:rsid w:val="689F5BC2"/>
    <w:rsid w:val="68CC58BA"/>
    <w:rsid w:val="694B64CA"/>
    <w:rsid w:val="694D8540"/>
    <w:rsid w:val="695959DD"/>
    <w:rsid w:val="69813268"/>
    <w:rsid w:val="69832D68"/>
    <w:rsid w:val="69B66AD4"/>
    <w:rsid w:val="69BB2920"/>
    <w:rsid w:val="69F832ED"/>
    <w:rsid w:val="6A039744"/>
    <w:rsid w:val="6A312338"/>
    <w:rsid w:val="6A7758A5"/>
    <w:rsid w:val="6AA9D6DA"/>
    <w:rsid w:val="6B05FEA0"/>
    <w:rsid w:val="6B2D843A"/>
    <w:rsid w:val="6B369F50"/>
    <w:rsid w:val="6B61B80C"/>
    <w:rsid w:val="6B7446B5"/>
    <w:rsid w:val="6BCFD66E"/>
    <w:rsid w:val="6CB383C7"/>
    <w:rsid w:val="6D350543"/>
    <w:rsid w:val="6D5EE0F2"/>
    <w:rsid w:val="6DAACF32"/>
    <w:rsid w:val="6DAE41D7"/>
    <w:rsid w:val="6DBE1DA7"/>
    <w:rsid w:val="6DC61D55"/>
    <w:rsid w:val="6E53423A"/>
    <w:rsid w:val="6E5B47FF"/>
    <w:rsid w:val="6E75BCA8"/>
    <w:rsid w:val="6ED71CDC"/>
    <w:rsid w:val="6EF4732D"/>
    <w:rsid w:val="6F02E526"/>
    <w:rsid w:val="6F076103"/>
    <w:rsid w:val="6F56DE44"/>
    <w:rsid w:val="6F93BA19"/>
    <w:rsid w:val="706ACC1C"/>
    <w:rsid w:val="70EDEFA3"/>
    <w:rsid w:val="714EFB0B"/>
    <w:rsid w:val="71B79411"/>
    <w:rsid w:val="71B8EAD4"/>
    <w:rsid w:val="721A6380"/>
    <w:rsid w:val="7237C6E8"/>
    <w:rsid w:val="7258149A"/>
    <w:rsid w:val="728219CA"/>
    <w:rsid w:val="72A1ABC2"/>
    <w:rsid w:val="73087855"/>
    <w:rsid w:val="7310511A"/>
    <w:rsid w:val="7320157B"/>
    <w:rsid w:val="73252B2D"/>
    <w:rsid w:val="73353BE4"/>
    <w:rsid w:val="73939F3A"/>
    <w:rsid w:val="740B6DCF"/>
    <w:rsid w:val="74A88FD3"/>
    <w:rsid w:val="74CB3D92"/>
    <w:rsid w:val="74CF28BE"/>
    <w:rsid w:val="74CFA1C0"/>
    <w:rsid w:val="75AC6D0C"/>
    <w:rsid w:val="7612ADD8"/>
    <w:rsid w:val="762FB350"/>
    <w:rsid w:val="7642858B"/>
    <w:rsid w:val="765E2F8F"/>
    <w:rsid w:val="7667BCC0"/>
    <w:rsid w:val="7674825C"/>
    <w:rsid w:val="76E901F1"/>
    <w:rsid w:val="778B1BB7"/>
    <w:rsid w:val="77A257CF"/>
    <w:rsid w:val="7838CE4F"/>
    <w:rsid w:val="787F68A1"/>
    <w:rsid w:val="78819483"/>
    <w:rsid w:val="78E2CE97"/>
    <w:rsid w:val="7961A0E7"/>
    <w:rsid w:val="799FA2BE"/>
    <w:rsid w:val="79BC657A"/>
    <w:rsid w:val="7A049A89"/>
    <w:rsid w:val="7A19487D"/>
    <w:rsid w:val="7A42C68E"/>
    <w:rsid w:val="7B6C95BB"/>
    <w:rsid w:val="7B819807"/>
    <w:rsid w:val="7BF371DB"/>
    <w:rsid w:val="7C29C649"/>
    <w:rsid w:val="7C85BEBA"/>
    <w:rsid w:val="7CAA117B"/>
    <w:rsid w:val="7CBF02FE"/>
    <w:rsid w:val="7CCB7E86"/>
    <w:rsid w:val="7CD3A96B"/>
    <w:rsid w:val="7D05AAF7"/>
    <w:rsid w:val="7D2B215A"/>
    <w:rsid w:val="7D361FC0"/>
    <w:rsid w:val="7D9D60E3"/>
    <w:rsid w:val="7DBE3E60"/>
    <w:rsid w:val="7DC59A82"/>
    <w:rsid w:val="7DE33701"/>
    <w:rsid w:val="7E110498"/>
    <w:rsid w:val="7EB2558F"/>
    <w:rsid w:val="7EB43D15"/>
    <w:rsid w:val="7EBBC163"/>
    <w:rsid w:val="7F21F4D9"/>
    <w:rsid w:val="7F44AFF3"/>
    <w:rsid w:val="7FCAD8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3F9E"/>
  <w15:chartTrackingRefBased/>
  <w15:docId w15:val="{62B988B1-AB78-46C7-9000-D7632E4C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6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6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6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6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24B"/>
    <w:rPr>
      <w:rFonts w:eastAsiaTheme="majorEastAsia" w:cstheme="majorBidi"/>
      <w:color w:val="272727" w:themeColor="text1" w:themeTint="D8"/>
    </w:rPr>
  </w:style>
  <w:style w:type="paragraph" w:styleId="Title">
    <w:name w:val="Title"/>
    <w:basedOn w:val="Normal"/>
    <w:next w:val="Normal"/>
    <w:link w:val="TitleChar"/>
    <w:uiPriority w:val="10"/>
    <w:qFormat/>
    <w:rsid w:val="00D46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24B"/>
    <w:pPr>
      <w:spacing w:before="160"/>
      <w:jc w:val="center"/>
    </w:pPr>
    <w:rPr>
      <w:i/>
      <w:iCs/>
      <w:color w:val="404040" w:themeColor="text1" w:themeTint="BF"/>
    </w:rPr>
  </w:style>
  <w:style w:type="character" w:customStyle="1" w:styleId="QuoteChar">
    <w:name w:val="Quote Char"/>
    <w:basedOn w:val="DefaultParagraphFont"/>
    <w:link w:val="Quote"/>
    <w:uiPriority w:val="29"/>
    <w:rsid w:val="00D4624B"/>
    <w:rPr>
      <w:i/>
      <w:iCs/>
      <w:color w:val="404040" w:themeColor="text1" w:themeTint="BF"/>
    </w:rPr>
  </w:style>
  <w:style w:type="paragraph" w:styleId="ListParagraph">
    <w:name w:val="List Paragraph"/>
    <w:basedOn w:val="Normal"/>
    <w:uiPriority w:val="34"/>
    <w:qFormat/>
    <w:rsid w:val="00D4624B"/>
    <w:pPr>
      <w:ind w:left="720"/>
      <w:contextualSpacing/>
    </w:pPr>
  </w:style>
  <w:style w:type="character" w:styleId="IntenseEmphasis">
    <w:name w:val="Intense Emphasis"/>
    <w:basedOn w:val="DefaultParagraphFont"/>
    <w:uiPriority w:val="21"/>
    <w:qFormat/>
    <w:rsid w:val="00D4624B"/>
    <w:rPr>
      <w:i/>
      <w:iCs/>
      <w:color w:val="0F4761" w:themeColor="accent1" w:themeShade="BF"/>
    </w:rPr>
  </w:style>
  <w:style w:type="paragraph" w:styleId="IntenseQuote">
    <w:name w:val="Intense Quote"/>
    <w:basedOn w:val="Normal"/>
    <w:next w:val="Normal"/>
    <w:link w:val="IntenseQuoteChar"/>
    <w:uiPriority w:val="30"/>
    <w:qFormat/>
    <w:rsid w:val="00D46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24B"/>
    <w:rPr>
      <w:i/>
      <w:iCs/>
      <w:color w:val="0F4761" w:themeColor="accent1" w:themeShade="BF"/>
    </w:rPr>
  </w:style>
  <w:style w:type="character" w:styleId="IntenseReference">
    <w:name w:val="Intense Reference"/>
    <w:basedOn w:val="DefaultParagraphFont"/>
    <w:uiPriority w:val="32"/>
    <w:qFormat/>
    <w:rsid w:val="00D4624B"/>
    <w:rPr>
      <w:b/>
      <w:bCs/>
      <w:smallCaps/>
      <w:color w:val="0F4761" w:themeColor="accent1" w:themeShade="BF"/>
      <w:spacing w:val="5"/>
    </w:rPr>
  </w:style>
  <w:style w:type="character" w:styleId="Hyperlink">
    <w:name w:val="Hyperlink"/>
    <w:basedOn w:val="DefaultParagraphFont"/>
    <w:uiPriority w:val="99"/>
    <w:unhideWhenUsed/>
    <w:rsid w:val="00D4624B"/>
    <w:rPr>
      <w:color w:val="467886" w:themeColor="hyperlink"/>
      <w:u w:val="single"/>
    </w:rPr>
  </w:style>
  <w:style w:type="character" w:styleId="UnresolvedMention">
    <w:name w:val="Unresolved Mention"/>
    <w:basedOn w:val="DefaultParagraphFont"/>
    <w:uiPriority w:val="99"/>
    <w:semiHidden/>
    <w:unhideWhenUsed/>
    <w:rsid w:val="00D4624B"/>
    <w:rPr>
      <w:color w:val="605E5C"/>
      <w:shd w:val="clear" w:color="auto" w:fill="E1DFDD"/>
    </w:rPr>
  </w:style>
  <w:style w:type="character" w:styleId="CommentReference">
    <w:name w:val="annotation reference"/>
    <w:basedOn w:val="DefaultParagraphFont"/>
    <w:uiPriority w:val="99"/>
    <w:semiHidden/>
    <w:unhideWhenUsed/>
    <w:qFormat/>
    <w:rsid w:val="0062507C"/>
    <w:rPr>
      <w:sz w:val="16"/>
      <w:szCs w:val="16"/>
    </w:rPr>
  </w:style>
  <w:style w:type="paragraph" w:styleId="CommentText">
    <w:name w:val="annotation text"/>
    <w:basedOn w:val="Normal"/>
    <w:link w:val="CommentTextChar"/>
    <w:uiPriority w:val="99"/>
    <w:unhideWhenUsed/>
    <w:qFormat/>
    <w:rsid w:val="0062507C"/>
    <w:pPr>
      <w:spacing w:line="240" w:lineRule="auto"/>
    </w:pPr>
    <w:rPr>
      <w:sz w:val="20"/>
      <w:szCs w:val="20"/>
    </w:rPr>
  </w:style>
  <w:style w:type="character" w:customStyle="1" w:styleId="CommentTextChar">
    <w:name w:val="Comment Text Char"/>
    <w:basedOn w:val="DefaultParagraphFont"/>
    <w:link w:val="CommentText"/>
    <w:uiPriority w:val="99"/>
    <w:rsid w:val="0062507C"/>
    <w:rPr>
      <w:sz w:val="20"/>
      <w:szCs w:val="20"/>
    </w:rPr>
  </w:style>
  <w:style w:type="paragraph" w:styleId="CommentSubject">
    <w:name w:val="annotation subject"/>
    <w:basedOn w:val="CommentText"/>
    <w:next w:val="CommentText"/>
    <w:link w:val="CommentSubjectChar"/>
    <w:uiPriority w:val="99"/>
    <w:semiHidden/>
    <w:unhideWhenUsed/>
    <w:rsid w:val="0062507C"/>
    <w:rPr>
      <w:b/>
      <w:bCs/>
    </w:rPr>
  </w:style>
  <w:style w:type="character" w:customStyle="1" w:styleId="CommentSubjectChar">
    <w:name w:val="Comment Subject Char"/>
    <w:basedOn w:val="CommentTextChar"/>
    <w:link w:val="CommentSubject"/>
    <w:uiPriority w:val="99"/>
    <w:semiHidden/>
    <w:rsid w:val="0062507C"/>
    <w:rPr>
      <w:b/>
      <w:bCs/>
      <w:sz w:val="20"/>
      <w:szCs w:val="20"/>
    </w:rPr>
  </w:style>
  <w:style w:type="character" w:styleId="FollowedHyperlink">
    <w:name w:val="FollowedHyperlink"/>
    <w:basedOn w:val="DefaultParagraphFont"/>
    <w:uiPriority w:val="99"/>
    <w:semiHidden/>
    <w:unhideWhenUsed/>
    <w:rsid w:val="000318FB"/>
    <w:rPr>
      <w:color w:val="96607D" w:themeColor="followedHyperlink"/>
      <w:u w:val="single"/>
    </w:rPr>
  </w:style>
  <w:style w:type="paragraph" w:styleId="EndnoteText">
    <w:name w:val="endnote text"/>
    <w:basedOn w:val="Normal"/>
    <w:link w:val="EndnoteTextChar"/>
    <w:uiPriority w:val="99"/>
    <w:semiHidden/>
    <w:unhideWhenUsed/>
    <w:rsid w:val="000318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FB"/>
    <w:rPr>
      <w:sz w:val="20"/>
      <w:szCs w:val="20"/>
    </w:rPr>
  </w:style>
  <w:style w:type="character" w:styleId="EndnoteReference">
    <w:name w:val="endnote reference"/>
    <w:basedOn w:val="DefaultParagraphFont"/>
    <w:uiPriority w:val="99"/>
    <w:semiHidden/>
    <w:unhideWhenUsed/>
    <w:rsid w:val="000318FB"/>
    <w:rPr>
      <w:vertAlign w:val="superscript"/>
    </w:rPr>
  </w:style>
  <w:style w:type="character" w:styleId="Strong">
    <w:name w:val="Strong"/>
    <w:basedOn w:val="DefaultParagraphFont"/>
    <w:uiPriority w:val="22"/>
    <w:qFormat/>
    <w:rsid w:val="00DE685C"/>
    <w:rPr>
      <w:b/>
      <w:bCs/>
    </w:rPr>
  </w:style>
  <w:style w:type="paragraph" w:styleId="FootnoteText">
    <w:name w:val="footnote text"/>
    <w:basedOn w:val="Normal"/>
    <w:link w:val="FootnoteTextChar"/>
    <w:uiPriority w:val="99"/>
    <w:semiHidden/>
    <w:unhideWhenUsed/>
    <w:rsid w:val="00EE73B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E73B8"/>
    <w:rPr>
      <w:sz w:val="20"/>
      <w:szCs w:val="20"/>
      <w:lang w:val="en-GB"/>
    </w:rPr>
  </w:style>
  <w:style w:type="character" w:styleId="FootnoteReference">
    <w:name w:val="footnote reference"/>
    <w:basedOn w:val="DefaultParagraphFont"/>
    <w:uiPriority w:val="99"/>
    <w:semiHidden/>
    <w:unhideWhenUsed/>
    <w:rsid w:val="00EE73B8"/>
    <w:rPr>
      <w:vertAlign w:val="superscript"/>
    </w:rPr>
  </w:style>
  <w:style w:type="paragraph" w:styleId="Revision">
    <w:name w:val="Revision"/>
    <w:hidden/>
    <w:uiPriority w:val="99"/>
    <w:semiHidden/>
    <w:rsid w:val="008B26E9"/>
    <w:pPr>
      <w:spacing w:after="0" w:line="240" w:lineRule="auto"/>
    </w:pPr>
  </w:style>
  <w:style w:type="character" w:styleId="Mention">
    <w:name w:val="Mention"/>
    <w:basedOn w:val="DefaultParagraphFont"/>
    <w:uiPriority w:val="99"/>
    <w:unhideWhenUsed/>
    <w:rsid w:val="00CB06AC"/>
    <w:rPr>
      <w:color w:val="2B579A"/>
      <w:shd w:val="clear" w:color="auto" w:fill="E1DFDD"/>
    </w:rPr>
  </w:style>
  <w:style w:type="paragraph" w:styleId="Header">
    <w:name w:val="header"/>
    <w:basedOn w:val="Normal"/>
    <w:link w:val="HeaderChar"/>
    <w:uiPriority w:val="99"/>
    <w:unhideWhenUsed/>
    <w:rsid w:val="008C2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B4"/>
  </w:style>
  <w:style w:type="paragraph" w:styleId="Footer">
    <w:name w:val="footer"/>
    <w:basedOn w:val="Normal"/>
    <w:link w:val="FooterChar"/>
    <w:uiPriority w:val="99"/>
    <w:unhideWhenUsed/>
    <w:rsid w:val="008C2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4769">
      <w:bodyDiv w:val="1"/>
      <w:marLeft w:val="0"/>
      <w:marRight w:val="0"/>
      <w:marTop w:val="0"/>
      <w:marBottom w:val="0"/>
      <w:divBdr>
        <w:top w:val="none" w:sz="0" w:space="0" w:color="auto"/>
        <w:left w:val="none" w:sz="0" w:space="0" w:color="auto"/>
        <w:bottom w:val="none" w:sz="0" w:space="0" w:color="auto"/>
        <w:right w:val="none" w:sz="0" w:space="0" w:color="auto"/>
      </w:divBdr>
    </w:div>
    <w:div w:id="931358068">
      <w:bodyDiv w:val="1"/>
      <w:marLeft w:val="0"/>
      <w:marRight w:val="0"/>
      <w:marTop w:val="0"/>
      <w:marBottom w:val="0"/>
      <w:divBdr>
        <w:top w:val="none" w:sz="0" w:space="0" w:color="auto"/>
        <w:left w:val="none" w:sz="0" w:space="0" w:color="auto"/>
        <w:bottom w:val="none" w:sz="0" w:space="0" w:color="auto"/>
        <w:right w:val="none" w:sz="0" w:space="0" w:color="auto"/>
      </w:divBdr>
    </w:div>
    <w:div w:id="1045566310">
      <w:bodyDiv w:val="1"/>
      <w:marLeft w:val="0"/>
      <w:marRight w:val="0"/>
      <w:marTop w:val="0"/>
      <w:marBottom w:val="0"/>
      <w:divBdr>
        <w:top w:val="none" w:sz="0" w:space="0" w:color="auto"/>
        <w:left w:val="none" w:sz="0" w:space="0" w:color="auto"/>
        <w:bottom w:val="none" w:sz="0" w:space="0" w:color="auto"/>
        <w:right w:val="none" w:sz="0" w:space="0" w:color="auto"/>
      </w:divBdr>
      <w:divsChild>
        <w:div w:id="92895514">
          <w:marLeft w:val="0"/>
          <w:marRight w:val="0"/>
          <w:marTop w:val="0"/>
          <w:marBottom w:val="0"/>
          <w:divBdr>
            <w:top w:val="none" w:sz="0" w:space="0" w:color="auto"/>
            <w:left w:val="none" w:sz="0" w:space="0" w:color="auto"/>
            <w:bottom w:val="none" w:sz="0" w:space="0" w:color="auto"/>
            <w:right w:val="none" w:sz="0" w:space="0" w:color="auto"/>
          </w:divBdr>
        </w:div>
        <w:div w:id="155465860">
          <w:marLeft w:val="0"/>
          <w:marRight w:val="0"/>
          <w:marTop w:val="0"/>
          <w:marBottom w:val="0"/>
          <w:divBdr>
            <w:top w:val="none" w:sz="0" w:space="0" w:color="auto"/>
            <w:left w:val="none" w:sz="0" w:space="0" w:color="auto"/>
            <w:bottom w:val="none" w:sz="0" w:space="0" w:color="auto"/>
            <w:right w:val="none" w:sz="0" w:space="0" w:color="auto"/>
          </w:divBdr>
        </w:div>
        <w:div w:id="1051807643">
          <w:marLeft w:val="0"/>
          <w:marRight w:val="0"/>
          <w:marTop w:val="0"/>
          <w:marBottom w:val="0"/>
          <w:divBdr>
            <w:top w:val="none" w:sz="0" w:space="0" w:color="auto"/>
            <w:left w:val="none" w:sz="0" w:space="0" w:color="auto"/>
            <w:bottom w:val="none" w:sz="0" w:space="0" w:color="auto"/>
            <w:right w:val="none" w:sz="0" w:space="0" w:color="auto"/>
          </w:divBdr>
        </w:div>
      </w:divsChild>
    </w:div>
    <w:div w:id="1113400948">
      <w:bodyDiv w:val="1"/>
      <w:marLeft w:val="0"/>
      <w:marRight w:val="0"/>
      <w:marTop w:val="0"/>
      <w:marBottom w:val="0"/>
      <w:divBdr>
        <w:top w:val="none" w:sz="0" w:space="0" w:color="auto"/>
        <w:left w:val="none" w:sz="0" w:space="0" w:color="auto"/>
        <w:bottom w:val="none" w:sz="0" w:space="0" w:color="auto"/>
        <w:right w:val="none" w:sz="0" w:space="0" w:color="auto"/>
      </w:divBdr>
      <w:divsChild>
        <w:div w:id="1064642317">
          <w:marLeft w:val="0"/>
          <w:marRight w:val="0"/>
          <w:marTop w:val="0"/>
          <w:marBottom w:val="0"/>
          <w:divBdr>
            <w:top w:val="none" w:sz="0" w:space="0" w:color="auto"/>
            <w:left w:val="none" w:sz="0" w:space="0" w:color="auto"/>
            <w:bottom w:val="none" w:sz="0" w:space="0" w:color="auto"/>
            <w:right w:val="none" w:sz="0" w:space="0" w:color="auto"/>
          </w:divBdr>
        </w:div>
        <w:div w:id="1486706703">
          <w:marLeft w:val="0"/>
          <w:marRight w:val="0"/>
          <w:marTop w:val="0"/>
          <w:marBottom w:val="0"/>
          <w:divBdr>
            <w:top w:val="none" w:sz="0" w:space="0" w:color="auto"/>
            <w:left w:val="none" w:sz="0" w:space="0" w:color="auto"/>
            <w:bottom w:val="none" w:sz="0" w:space="0" w:color="auto"/>
            <w:right w:val="none" w:sz="0" w:space="0" w:color="auto"/>
          </w:divBdr>
        </w:div>
        <w:div w:id="1825930155">
          <w:marLeft w:val="0"/>
          <w:marRight w:val="0"/>
          <w:marTop w:val="0"/>
          <w:marBottom w:val="0"/>
          <w:divBdr>
            <w:top w:val="none" w:sz="0" w:space="0" w:color="auto"/>
            <w:left w:val="none" w:sz="0" w:space="0" w:color="auto"/>
            <w:bottom w:val="none" w:sz="0" w:space="0" w:color="auto"/>
            <w:right w:val="none" w:sz="0" w:space="0" w:color="auto"/>
          </w:divBdr>
        </w:div>
      </w:divsChild>
    </w:div>
    <w:div w:id="1213885732">
      <w:bodyDiv w:val="1"/>
      <w:marLeft w:val="0"/>
      <w:marRight w:val="0"/>
      <w:marTop w:val="0"/>
      <w:marBottom w:val="0"/>
      <w:divBdr>
        <w:top w:val="none" w:sz="0" w:space="0" w:color="auto"/>
        <w:left w:val="none" w:sz="0" w:space="0" w:color="auto"/>
        <w:bottom w:val="none" w:sz="0" w:space="0" w:color="auto"/>
        <w:right w:val="none" w:sz="0" w:space="0" w:color="auto"/>
      </w:divBdr>
    </w:div>
    <w:div w:id="1225025535">
      <w:bodyDiv w:val="1"/>
      <w:marLeft w:val="0"/>
      <w:marRight w:val="0"/>
      <w:marTop w:val="0"/>
      <w:marBottom w:val="0"/>
      <w:divBdr>
        <w:top w:val="none" w:sz="0" w:space="0" w:color="auto"/>
        <w:left w:val="none" w:sz="0" w:space="0" w:color="auto"/>
        <w:bottom w:val="none" w:sz="0" w:space="0" w:color="auto"/>
        <w:right w:val="none" w:sz="0" w:space="0" w:color="auto"/>
      </w:divBdr>
    </w:div>
    <w:div w:id="1615096339">
      <w:bodyDiv w:val="1"/>
      <w:marLeft w:val="0"/>
      <w:marRight w:val="0"/>
      <w:marTop w:val="0"/>
      <w:marBottom w:val="0"/>
      <w:divBdr>
        <w:top w:val="none" w:sz="0" w:space="0" w:color="auto"/>
        <w:left w:val="none" w:sz="0" w:space="0" w:color="auto"/>
        <w:bottom w:val="none" w:sz="0" w:space="0" w:color="auto"/>
        <w:right w:val="none" w:sz="0" w:space="0" w:color="auto"/>
      </w:divBdr>
    </w:div>
    <w:div w:id="1766149887">
      <w:bodyDiv w:val="1"/>
      <w:marLeft w:val="0"/>
      <w:marRight w:val="0"/>
      <w:marTop w:val="0"/>
      <w:marBottom w:val="0"/>
      <w:divBdr>
        <w:top w:val="none" w:sz="0" w:space="0" w:color="auto"/>
        <w:left w:val="none" w:sz="0" w:space="0" w:color="auto"/>
        <w:bottom w:val="none" w:sz="0" w:space="0" w:color="auto"/>
        <w:right w:val="none" w:sz="0" w:space="0" w:color="auto"/>
      </w:divBdr>
      <w:divsChild>
        <w:div w:id="124742732">
          <w:marLeft w:val="0"/>
          <w:marRight w:val="0"/>
          <w:marTop w:val="0"/>
          <w:marBottom w:val="0"/>
          <w:divBdr>
            <w:top w:val="none" w:sz="0" w:space="0" w:color="auto"/>
            <w:left w:val="none" w:sz="0" w:space="0" w:color="auto"/>
            <w:bottom w:val="none" w:sz="0" w:space="0" w:color="auto"/>
            <w:right w:val="none" w:sz="0" w:space="0" w:color="auto"/>
          </w:divBdr>
        </w:div>
        <w:div w:id="282926704">
          <w:marLeft w:val="0"/>
          <w:marRight w:val="0"/>
          <w:marTop w:val="0"/>
          <w:marBottom w:val="0"/>
          <w:divBdr>
            <w:top w:val="none" w:sz="0" w:space="0" w:color="auto"/>
            <w:left w:val="none" w:sz="0" w:space="0" w:color="auto"/>
            <w:bottom w:val="none" w:sz="0" w:space="0" w:color="auto"/>
            <w:right w:val="none" w:sz="0" w:space="0" w:color="auto"/>
          </w:divBdr>
        </w:div>
        <w:div w:id="590625288">
          <w:marLeft w:val="0"/>
          <w:marRight w:val="0"/>
          <w:marTop w:val="0"/>
          <w:marBottom w:val="0"/>
          <w:divBdr>
            <w:top w:val="none" w:sz="0" w:space="0" w:color="auto"/>
            <w:left w:val="none" w:sz="0" w:space="0" w:color="auto"/>
            <w:bottom w:val="none" w:sz="0" w:space="0" w:color="auto"/>
            <w:right w:val="none" w:sz="0" w:space="0" w:color="auto"/>
          </w:divBdr>
        </w:div>
        <w:div w:id="730621761">
          <w:marLeft w:val="0"/>
          <w:marRight w:val="0"/>
          <w:marTop w:val="0"/>
          <w:marBottom w:val="0"/>
          <w:divBdr>
            <w:top w:val="none" w:sz="0" w:space="0" w:color="auto"/>
            <w:left w:val="none" w:sz="0" w:space="0" w:color="auto"/>
            <w:bottom w:val="none" w:sz="0" w:space="0" w:color="auto"/>
            <w:right w:val="none" w:sz="0" w:space="0" w:color="auto"/>
          </w:divBdr>
        </w:div>
        <w:div w:id="1061056321">
          <w:marLeft w:val="0"/>
          <w:marRight w:val="0"/>
          <w:marTop w:val="0"/>
          <w:marBottom w:val="0"/>
          <w:divBdr>
            <w:top w:val="none" w:sz="0" w:space="0" w:color="auto"/>
            <w:left w:val="none" w:sz="0" w:space="0" w:color="auto"/>
            <w:bottom w:val="none" w:sz="0" w:space="0" w:color="auto"/>
            <w:right w:val="none" w:sz="0" w:space="0" w:color="auto"/>
          </w:divBdr>
        </w:div>
        <w:div w:id="1069965033">
          <w:marLeft w:val="0"/>
          <w:marRight w:val="0"/>
          <w:marTop w:val="0"/>
          <w:marBottom w:val="0"/>
          <w:divBdr>
            <w:top w:val="none" w:sz="0" w:space="0" w:color="auto"/>
            <w:left w:val="none" w:sz="0" w:space="0" w:color="auto"/>
            <w:bottom w:val="none" w:sz="0" w:space="0" w:color="auto"/>
            <w:right w:val="none" w:sz="0" w:space="0" w:color="auto"/>
          </w:divBdr>
        </w:div>
        <w:div w:id="1298149969">
          <w:marLeft w:val="0"/>
          <w:marRight w:val="0"/>
          <w:marTop w:val="0"/>
          <w:marBottom w:val="0"/>
          <w:divBdr>
            <w:top w:val="none" w:sz="0" w:space="0" w:color="auto"/>
            <w:left w:val="none" w:sz="0" w:space="0" w:color="auto"/>
            <w:bottom w:val="none" w:sz="0" w:space="0" w:color="auto"/>
            <w:right w:val="none" w:sz="0" w:space="0" w:color="auto"/>
          </w:divBdr>
        </w:div>
        <w:div w:id="1586449607">
          <w:marLeft w:val="0"/>
          <w:marRight w:val="0"/>
          <w:marTop w:val="0"/>
          <w:marBottom w:val="0"/>
          <w:divBdr>
            <w:top w:val="none" w:sz="0" w:space="0" w:color="auto"/>
            <w:left w:val="none" w:sz="0" w:space="0" w:color="auto"/>
            <w:bottom w:val="none" w:sz="0" w:space="0" w:color="auto"/>
            <w:right w:val="none" w:sz="0" w:space="0" w:color="auto"/>
          </w:divBdr>
        </w:div>
      </w:divsChild>
    </w:div>
    <w:div w:id="1940286444">
      <w:bodyDiv w:val="1"/>
      <w:marLeft w:val="0"/>
      <w:marRight w:val="0"/>
      <w:marTop w:val="0"/>
      <w:marBottom w:val="0"/>
      <w:divBdr>
        <w:top w:val="none" w:sz="0" w:space="0" w:color="auto"/>
        <w:left w:val="none" w:sz="0" w:space="0" w:color="auto"/>
        <w:bottom w:val="none" w:sz="0" w:space="0" w:color="auto"/>
        <w:right w:val="none" w:sz="0" w:space="0" w:color="auto"/>
      </w:divBdr>
    </w:div>
    <w:div w:id="1998487387">
      <w:bodyDiv w:val="1"/>
      <w:marLeft w:val="0"/>
      <w:marRight w:val="0"/>
      <w:marTop w:val="0"/>
      <w:marBottom w:val="0"/>
      <w:divBdr>
        <w:top w:val="none" w:sz="0" w:space="0" w:color="auto"/>
        <w:left w:val="none" w:sz="0" w:space="0" w:color="auto"/>
        <w:bottom w:val="none" w:sz="0" w:space="0" w:color="auto"/>
        <w:right w:val="none" w:sz="0" w:space="0" w:color="auto"/>
      </w:divBdr>
      <w:divsChild>
        <w:div w:id="200434194">
          <w:marLeft w:val="0"/>
          <w:marRight w:val="0"/>
          <w:marTop w:val="0"/>
          <w:marBottom w:val="0"/>
          <w:divBdr>
            <w:top w:val="none" w:sz="0" w:space="0" w:color="auto"/>
            <w:left w:val="none" w:sz="0" w:space="0" w:color="auto"/>
            <w:bottom w:val="none" w:sz="0" w:space="0" w:color="auto"/>
            <w:right w:val="none" w:sz="0" w:space="0" w:color="auto"/>
          </w:divBdr>
        </w:div>
        <w:div w:id="1023243788">
          <w:marLeft w:val="0"/>
          <w:marRight w:val="0"/>
          <w:marTop w:val="0"/>
          <w:marBottom w:val="0"/>
          <w:divBdr>
            <w:top w:val="none" w:sz="0" w:space="0" w:color="auto"/>
            <w:left w:val="none" w:sz="0" w:space="0" w:color="auto"/>
            <w:bottom w:val="none" w:sz="0" w:space="0" w:color="auto"/>
            <w:right w:val="none" w:sz="0" w:space="0" w:color="auto"/>
          </w:divBdr>
        </w:div>
        <w:div w:id="1086003000">
          <w:marLeft w:val="0"/>
          <w:marRight w:val="0"/>
          <w:marTop w:val="0"/>
          <w:marBottom w:val="0"/>
          <w:divBdr>
            <w:top w:val="none" w:sz="0" w:space="0" w:color="auto"/>
            <w:left w:val="none" w:sz="0" w:space="0" w:color="auto"/>
            <w:bottom w:val="none" w:sz="0" w:space="0" w:color="auto"/>
            <w:right w:val="none" w:sz="0" w:space="0" w:color="auto"/>
          </w:divBdr>
        </w:div>
        <w:div w:id="1373194932">
          <w:marLeft w:val="0"/>
          <w:marRight w:val="0"/>
          <w:marTop w:val="0"/>
          <w:marBottom w:val="0"/>
          <w:divBdr>
            <w:top w:val="none" w:sz="0" w:space="0" w:color="auto"/>
            <w:left w:val="none" w:sz="0" w:space="0" w:color="auto"/>
            <w:bottom w:val="none" w:sz="0" w:space="0" w:color="auto"/>
            <w:right w:val="none" w:sz="0" w:space="0" w:color="auto"/>
          </w:divBdr>
        </w:div>
        <w:div w:id="1492598287">
          <w:marLeft w:val="0"/>
          <w:marRight w:val="0"/>
          <w:marTop w:val="0"/>
          <w:marBottom w:val="0"/>
          <w:divBdr>
            <w:top w:val="none" w:sz="0" w:space="0" w:color="auto"/>
            <w:left w:val="none" w:sz="0" w:space="0" w:color="auto"/>
            <w:bottom w:val="none" w:sz="0" w:space="0" w:color="auto"/>
            <w:right w:val="none" w:sz="0" w:space="0" w:color="auto"/>
          </w:divBdr>
        </w:div>
        <w:div w:id="1558322445">
          <w:marLeft w:val="0"/>
          <w:marRight w:val="0"/>
          <w:marTop w:val="0"/>
          <w:marBottom w:val="0"/>
          <w:divBdr>
            <w:top w:val="none" w:sz="0" w:space="0" w:color="auto"/>
            <w:left w:val="none" w:sz="0" w:space="0" w:color="auto"/>
            <w:bottom w:val="none" w:sz="0" w:space="0" w:color="auto"/>
            <w:right w:val="none" w:sz="0" w:space="0" w:color="auto"/>
          </w:divBdr>
        </w:div>
        <w:div w:id="1756316282">
          <w:marLeft w:val="0"/>
          <w:marRight w:val="0"/>
          <w:marTop w:val="0"/>
          <w:marBottom w:val="0"/>
          <w:divBdr>
            <w:top w:val="none" w:sz="0" w:space="0" w:color="auto"/>
            <w:left w:val="none" w:sz="0" w:space="0" w:color="auto"/>
            <w:bottom w:val="none" w:sz="0" w:space="0" w:color="auto"/>
            <w:right w:val="none" w:sz="0" w:space="0" w:color="auto"/>
          </w:divBdr>
        </w:div>
        <w:div w:id="2067487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who.int/news/item/24-04-2025-increases-in-vaccine-preventable-disease-outbreaks-threaten-years-of-progress--warn-who--unicef--gavi" TargetMode="External"/><Relationship Id="rId13" Type="http://schemas.openxmlformats.org/officeDocument/2006/relationships/hyperlink" Target="https://www.ema.europa.eu/en/ich-e21-guideline-inclusion-pregnant-breastfeeding-individuals-clinical-trials-scientific-guideline" TargetMode="External"/><Relationship Id="rId18" Type="http://schemas.openxmlformats.org/officeDocument/2006/relationships/hyperlink" Target="https://cdn.who.int/media/docs/default-source/consultation-rdb/3_dev_pfizer_who_-h5n1-19-march-2025.pdf?sfvrsn=5ab94b8d_3" TargetMode="External"/><Relationship Id="rId26" Type="http://schemas.openxmlformats.org/officeDocument/2006/relationships/hyperlink" Target="https://trialsearch.who.int/Trial2.aspx?TrialID=NCT05480800" TargetMode="External"/><Relationship Id="rId39" Type="http://schemas.openxmlformats.org/officeDocument/2006/relationships/hyperlink" Target="https://www.emjreviews.com/emj-gold/news/sanofis-chlamydia-vaccine-fast-tracked-by-fda/" TargetMode="External"/><Relationship Id="rId3" Type="http://schemas.openxmlformats.org/officeDocument/2006/relationships/hyperlink" Target="https://www.who.int/teams/immunization-vaccines-and-biologicals/product-and-delivery-research/roadmaps" TargetMode="External"/><Relationship Id="rId21" Type="http://schemas.openxmlformats.org/officeDocument/2006/relationships/hyperlink" Target="https://trialsearch.who.int/Trial2.aspx?TrialID=PACTR202112683307570" TargetMode="External"/><Relationship Id="rId34" Type="http://schemas.openxmlformats.org/officeDocument/2006/relationships/hyperlink" Target="https://www.gsk.com/en-gb/media/press-releases/price-of-world-s-first-malaria-vaccine-rts-s-for-children-in-endemic-countries-to-be-reduced/" TargetMode="External"/><Relationship Id="rId42" Type="http://schemas.openxmlformats.org/officeDocument/2006/relationships/hyperlink" Target="https://doi.org/10.1016/S1473-3099(21)00744-1" TargetMode="External"/><Relationship Id="rId7" Type="http://schemas.openxmlformats.org/officeDocument/2006/relationships/hyperlink" Target="https://www.immunizationagenda2030.org/images/documents/BLS20116_IA_Global_strategy_document_SP_7_002.pdf" TargetMode="External"/><Relationship Id="rId12" Type="http://schemas.openxmlformats.org/officeDocument/2006/relationships/hyperlink" Target="https://iris.who.int/handle/10665/378782" TargetMode="External"/><Relationship Id="rId17" Type="http://schemas.openxmlformats.org/officeDocument/2006/relationships/hyperlink" Target="https://feeds.issuerdirect.com/news-release.html?newsid=4899326521164266&amp;symbol=MRNA" TargetMode="External"/><Relationship Id="rId25" Type="http://schemas.openxmlformats.org/officeDocument/2006/relationships/hyperlink" Target="https://www.gavi.org/news/media-room/gavi-and-partners-commence-design-rsv-maternal-vaccine-programme" TargetMode="External"/><Relationship Id="rId33" Type="http://schemas.openxmlformats.org/officeDocument/2006/relationships/hyperlink" Target="https://www.malariaconsortium.org/news/ethiopia-becomes-the-23rd-country-in-africa-to-roll-out-the-malaria-vaccine" TargetMode="External"/><Relationship Id="rId38" Type="http://schemas.openxmlformats.org/officeDocument/2006/relationships/hyperlink" Target="https://www.who.int/teams/immunization-vaccines-and-biologicals/diseases/cholera" TargetMode="External"/><Relationship Id="rId46" Type="http://schemas.openxmlformats.org/officeDocument/2006/relationships/hyperlink" Target="https://feeds.issuerdirect.com/news-release.html?newsid=5904324204417374&amp;symbol=MRNA" TargetMode="External"/><Relationship Id="rId2" Type="http://schemas.openxmlformats.org/officeDocument/2006/relationships/hyperlink" Target="https://www.who.int/teams/immunization-vaccines-and-biologicals/product-and-delivery-research/ppcs" TargetMode="External"/><Relationship Id="rId16" Type="http://schemas.openxmlformats.org/officeDocument/2006/relationships/hyperlink" Target="https://www.who.int/groups/product-development-for-vaccines-advisory-committee/meetings" TargetMode="External"/><Relationship Id="rId20" Type="http://schemas.openxmlformats.org/officeDocument/2006/relationships/hyperlink" Target="https://trialsearch.who.int/Trial2.aspx?TrialID=NCT04871113" TargetMode="External"/><Relationship Id="rId29" Type="http://schemas.openxmlformats.org/officeDocument/2006/relationships/hyperlink" Target="https://cdn.who.int/media/docs/default-source/immunization/product-and-delivery-research/tors-tag-klebsiella-final.pdf?sfvrsn=53c97305_1" TargetMode="External"/><Relationship Id="rId41" Type="http://schemas.openxmlformats.org/officeDocument/2006/relationships/hyperlink" Target="https://doi.org/10.1093/cid/ciaf372" TargetMode="External"/><Relationship Id="rId1" Type="http://schemas.openxmlformats.org/officeDocument/2006/relationships/hyperlink" Target="https://www.who.int/groups/product-development-for-vaccines-advisory-committee/about" TargetMode="External"/><Relationship Id="rId6" Type="http://schemas.openxmlformats.org/officeDocument/2006/relationships/hyperlink" Target="https://www.thelancet.com/journals/ebiom/article/PIIS2352-3964(24)00460-2/fulltext" TargetMode="External"/><Relationship Id="rId11" Type="http://schemas.openxmlformats.org/officeDocument/2006/relationships/hyperlink" Target="https://iris.who.int/handle/10665/349841" TargetMode="External"/><Relationship Id="rId24" Type="http://schemas.openxmlformats.org/officeDocument/2006/relationships/hyperlink" Target="https://iris.who.int/handle/10665/381540" TargetMode="External"/><Relationship Id="rId32" Type="http://schemas.openxmlformats.org/officeDocument/2006/relationships/hyperlink" Target="https://www.sanofi.com/en/media-room/press-releases/2025/2025-02-13-06-00-00-3025576" TargetMode="External"/><Relationship Id="rId37" Type="http://schemas.openxmlformats.org/officeDocument/2006/relationships/hyperlink" Target="https://cdn.who.int/media/docs/default-source/immunization/pdvac/pdvac-2022/complete_report_final_december_2022.pdf" TargetMode="External"/><Relationship Id="rId40" Type="http://schemas.openxmlformats.org/officeDocument/2006/relationships/hyperlink" Target="https://www.who.int/publications/i/item/9789240027077" TargetMode="External"/><Relationship Id="rId45" Type="http://schemas.openxmlformats.org/officeDocument/2006/relationships/hyperlink" Target="https://iris.who.int/handle/10665/349841" TargetMode="External"/><Relationship Id="rId5" Type="http://schemas.openxmlformats.org/officeDocument/2006/relationships/hyperlink" Target="https://www.who.int/groups/product-development-for-vaccines-advisory-committee/meetings" TargetMode="External"/><Relationship Id="rId15" Type="http://schemas.openxmlformats.org/officeDocument/2006/relationships/hyperlink" Target="https://www.who.int/initiatives/mrna-technology-transfer-(mrna-tt)-programme" TargetMode="External"/><Relationship Id="rId23" Type="http://schemas.openxmlformats.org/officeDocument/2006/relationships/hyperlink" Target="https://www.who.int/news/item/19-03-2025-who-prequalifies-first-maternal-respiratory-syncytial-virus-vaccine" TargetMode="External"/><Relationship Id="rId28" Type="http://schemas.openxmlformats.org/officeDocument/2006/relationships/hyperlink" Target="https://trialsearch.who.int/Trial2.aspx?TrialID=EUCTR2023-000944-46-Outside-EU/EEA" TargetMode="External"/><Relationship Id="rId36" Type="http://schemas.openxmlformats.org/officeDocument/2006/relationships/hyperlink" Target="https://www.gavi.org/news/media-room/gavi-and-unicef-announce-equitable-pricing-deal-malaria-vaccine-protect-7-million" TargetMode="External"/><Relationship Id="rId10" Type="http://schemas.openxmlformats.org/officeDocument/2006/relationships/hyperlink" Target="https://healthpolicy-watch.news/gavi-cuts-staff-and-support-to-who-and-unicef-gives-more-freedom-to-countries-to-decide-vaccine-priorities/" TargetMode="External"/><Relationship Id="rId19" Type="http://schemas.openxmlformats.org/officeDocument/2006/relationships/hyperlink" Target="https://iris.who.int/handle/10665/384073" TargetMode="External"/><Relationship Id="rId31" Type="http://schemas.openxmlformats.org/officeDocument/2006/relationships/hyperlink" Target="https://iris.who.int/handle/10665/279392" TargetMode="External"/><Relationship Id="rId44" Type="http://schemas.openxmlformats.org/officeDocument/2006/relationships/hyperlink" Target="https://www.pfizerclinicaltrials.com/find-a-trial/nct07160244-healthy-trial" TargetMode="External"/><Relationship Id="rId4" Type="http://schemas.openxmlformats.org/officeDocument/2006/relationships/hyperlink" Target="https://www.who.int/teams/immunization-vaccines-and-biologicals/product-and-delivery-research/full-vaccine-value-assessments" TargetMode="External"/><Relationship Id="rId9" Type="http://schemas.openxmlformats.org/officeDocument/2006/relationships/hyperlink" Target="https://www.who.int/news-room/speeches/item/who-director-general-s-opening-remarks-at-the-member-state-briefing-on-the-prioritization-and-realignment-process---19-november-2025" TargetMode="External"/><Relationship Id="rId14" Type="http://schemas.openxmlformats.org/officeDocument/2006/relationships/hyperlink" Target="https://speacsafety.net/" TargetMode="External"/><Relationship Id="rId22" Type="http://schemas.openxmlformats.org/officeDocument/2006/relationships/hyperlink" Target="https://unitaid.org/news-blog/lenacapavir-for-hiv-prevention/" TargetMode="External"/><Relationship Id="rId27" Type="http://schemas.openxmlformats.org/officeDocument/2006/relationships/hyperlink" Target="https://trialsearch.who.int/Trial2.aspx?TrialID=PACTR202309532820945" TargetMode="External"/><Relationship Id="rId30" Type="http://schemas.openxmlformats.org/officeDocument/2006/relationships/hyperlink" Target="https://iris.who.int/handle/10665/279142" TargetMode="External"/><Relationship Id="rId35" Type="http://schemas.openxmlformats.org/officeDocument/2006/relationships/hyperlink" Target="https://www.who.int/observatories/global-observatory-on-health-research-and-development/monitoring/who-review-of-malaria-vaccine-clinical-development" TargetMode="External"/><Relationship Id="rId43" Type="http://schemas.openxmlformats.org/officeDocument/2006/relationships/hyperlink" Target="https://iris.who.int/handle/10665/37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0F8B68F20EDA44AE44E8CA61E2519D" ma:contentTypeVersion="14" ma:contentTypeDescription="Create a new document." ma:contentTypeScope="" ma:versionID="39bf51c21ae9d64d663ed504ec50058e">
  <xsd:schema xmlns:xsd="http://www.w3.org/2001/XMLSchema" xmlns:xs="http://www.w3.org/2001/XMLSchema" xmlns:p="http://schemas.microsoft.com/office/2006/metadata/properties" xmlns:ns2="624b6673-af81-4bb6-82f4-606ecd674da0" xmlns:ns3="98a4e20b-b1bf-474c-a637-04c80473a083" targetNamespace="http://schemas.microsoft.com/office/2006/metadata/properties" ma:root="true" ma:fieldsID="64f2fac367e2281c7f29368e57f34eeb" ns2:_="" ns3:_="">
    <xsd:import namespace="624b6673-af81-4bb6-82f4-606ecd674da0"/>
    <xsd:import namespace="98a4e20b-b1bf-474c-a637-04c80473a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b6673-af81-4bb6-82f4-606ecd674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4e20b-b1bf-474c-a637-04c80473a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61b03b-c0e5-41db-85cd-b1baf3068d02}" ma:internalName="TaxCatchAll" ma:showField="CatchAllData" ma:web="98a4e20b-b1bf-474c-a637-04c80473a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4b6673-af81-4bb6-82f4-606ecd674da0">
      <Terms xmlns="http://schemas.microsoft.com/office/infopath/2007/PartnerControls"/>
    </lcf76f155ced4ddcb4097134ff3c332f>
    <TaxCatchAll xmlns="98a4e20b-b1bf-474c-a637-04c80473a083" xsi:nil="true"/>
  </documentManagement>
</p:properties>
</file>

<file path=customXml/itemProps1.xml><?xml version="1.0" encoding="utf-8"?>
<ds:datastoreItem xmlns:ds="http://schemas.openxmlformats.org/officeDocument/2006/customXml" ds:itemID="{F8BEC48C-5E02-4795-9946-173676584029}">
  <ds:schemaRefs>
    <ds:schemaRef ds:uri="http://schemas.microsoft.com/sharepoint/v3/contenttype/forms"/>
  </ds:schemaRefs>
</ds:datastoreItem>
</file>

<file path=customXml/itemProps2.xml><?xml version="1.0" encoding="utf-8"?>
<ds:datastoreItem xmlns:ds="http://schemas.openxmlformats.org/officeDocument/2006/customXml" ds:itemID="{1221E9B4-8E60-4AF8-A238-63EBF312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b6673-af81-4bb6-82f4-606ecd674da0"/>
    <ds:schemaRef ds:uri="98a4e20b-b1bf-474c-a637-04c80473a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57349-A759-491E-9DCC-9F6D65364E37}">
  <ds:schemaRefs>
    <ds:schemaRef ds:uri="http://schemas.openxmlformats.org/officeDocument/2006/bibliography"/>
  </ds:schemaRefs>
</ds:datastoreItem>
</file>

<file path=customXml/itemProps4.xml><?xml version="1.0" encoding="utf-8"?>
<ds:datastoreItem xmlns:ds="http://schemas.openxmlformats.org/officeDocument/2006/customXml" ds:itemID="{E82BC04F-4420-47A1-817B-7639461AFDFA}">
  <ds:schemaRefs>
    <ds:schemaRef ds:uri="http://schemas.microsoft.com/office/2006/metadata/properties"/>
    <ds:schemaRef ds:uri="http://schemas.microsoft.com/office/infopath/2007/PartnerControls"/>
    <ds:schemaRef ds:uri="624b6673-af81-4bb6-82f4-606ecd674da0"/>
    <ds:schemaRef ds:uri="98a4e20b-b1bf-474c-a637-04c80473a08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8730</Words>
  <Characters>49765</Characters>
  <Application>Microsoft Office Word</Application>
  <DocSecurity>0</DocSecurity>
  <Lines>414</Lines>
  <Paragraphs>116</Paragraphs>
  <ScaleCrop>false</ScaleCrop>
  <Company/>
  <LinksUpToDate>false</LinksUpToDate>
  <CharactersWithSpaces>58379</CharactersWithSpaces>
  <SharedDoc>false</SharedDoc>
  <HLinks>
    <vt:vector size="300" baseType="variant">
      <vt:variant>
        <vt:i4>7471144</vt:i4>
      </vt:variant>
      <vt:variant>
        <vt:i4>3</vt:i4>
      </vt:variant>
      <vt:variant>
        <vt:i4>0</vt:i4>
      </vt:variant>
      <vt:variant>
        <vt:i4>5</vt:i4>
      </vt:variant>
      <vt:variant>
        <vt:lpwstr>https://www.nature.com/articles/s41541-026-01422-y</vt:lpwstr>
      </vt:variant>
      <vt:variant>
        <vt:lpwstr/>
      </vt:variant>
      <vt:variant>
        <vt:i4>7143545</vt:i4>
      </vt:variant>
      <vt:variant>
        <vt:i4>0</vt:i4>
      </vt:variant>
      <vt:variant>
        <vt:i4>0</vt:i4>
      </vt:variant>
      <vt:variant>
        <vt:i4>5</vt:i4>
      </vt:variant>
      <vt:variant>
        <vt:lpwstr>https://www.sciencedirect.com/science/article/pii/S1201971226005618</vt:lpwstr>
      </vt:variant>
      <vt:variant>
        <vt:lpwstr/>
      </vt:variant>
      <vt:variant>
        <vt:i4>5242948</vt:i4>
      </vt:variant>
      <vt:variant>
        <vt:i4>141</vt:i4>
      </vt:variant>
      <vt:variant>
        <vt:i4>0</vt:i4>
      </vt:variant>
      <vt:variant>
        <vt:i4>5</vt:i4>
      </vt:variant>
      <vt:variant>
        <vt:lpwstr>https://feeds.issuerdirect.com/news-release.html?newsid=5904324204417374&amp;symbol=MRNA</vt:lpwstr>
      </vt:variant>
      <vt:variant>
        <vt:lpwstr/>
      </vt:variant>
      <vt:variant>
        <vt:i4>4456453</vt:i4>
      </vt:variant>
      <vt:variant>
        <vt:i4>138</vt:i4>
      </vt:variant>
      <vt:variant>
        <vt:i4>0</vt:i4>
      </vt:variant>
      <vt:variant>
        <vt:i4>5</vt:i4>
      </vt:variant>
      <vt:variant>
        <vt:lpwstr>https://iris.who.int/handle/10665/349841</vt:lpwstr>
      </vt:variant>
      <vt:variant>
        <vt:lpwstr/>
      </vt:variant>
      <vt:variant>
        <vt:i4>6619192</vt:i4>
      </vt:variant>
      <vt:variant>
        <vt:i4>135</vt:i4>
      </vt:variant>
      <vt:variant>
        <vt:i4>0</vt:i4>
      </vt:variant>
      <vt:variant>
        <vt:i4>5</vt:i4>
      </vt:variant>
      <vt:variant>
        <vt:lpwstr>https://www.pfizerclinicaltrials.com/find-a-trial/nct07160244-healthy-trial</vt:lpwstr>
      </vt:variant>
      <vt:variant>
        <vt:lpwstr/>
      </vt:variant>
      <vt:variant>
        <vt:i4>4456450</vt:i4>
      </vt:variant>
      <vt:variant>
        <vt:i4>132</vt:i4>
      </vt:variant>
      <vt:variant>
        <vt:i4>0</vt:i4>
      </vt:variant>
      <vt:variant>
        <vt:i4>5</vt:i4>
      </vt:variant>
      <vt:variant>
        <vt:lpwstr>https://iris.who.int/handle/10665/379339</vt:lpwstr>
      </vt:variant>
      <vt:variant>
        <vt:lpwstr/>
      </vt:variant>
      <vt:variant>
        <vt:i4>131080</vt:i4>
      </vt:variant>
      <vt:variant>
        <vt:i4>129</vt:i4>
      </vt:variant>
      <vt:variant>
        <vt:i4>0</vt:i4>
      </vt:variant>
      <vt:variant>
        <vt:i4>5</vt:i4>
      </vt:variant>
      <vt:variant>
        <vt:lpwstr>https://doi.org/10.1016/S1473-3099(21)00744-1</vt:lpwstr>
      </vt:variant>
      <vt:variant>
        <vt:lpwstr/>
      </vt:variant>
      <vt:variant>
        <vt:i4>6553711</vt:i4>
      </vt:variant>
      <vt:variant>
        <vt:i4>126</vt:i4>
      </vt:variant>
      <vt:variant>
        <vt:i4>0</vt:i4>
      </vt:variant>
      <vt:variant>
        <vt:i4>5</vt:i4>
      </vt:variant>
      <vt:variant>
        <vt:lpwstr>https://doi.org/10.1093/cid/ciaf372</vt:lpwstr>
      </vt:variant>
      <vt:variant>
        <vt:lpwstr/>
      </vt:variant>
      <vt:variant>
        <vt:i4>1900608</vt:i4>
      </vt:variant>
      <vt:variant>
        <vt:i4>123</vt:i4>
      </vt:variant>
      <vt:variant>
        <vt:i4>0</vt:i4>
      </vt:variant>
      <vt:variant>
        <vt:i4>5</vt:i4>
      </vt:variant>
      <vt:variant>
        <vt:lpwstr>https://www.who.int/publications/i/item/9789240027077</vt:lpwstr>
      </vt:variant>
      <vt:variant>
        <vt:lpwstr/>
      </vt:variant>
      <vt:variant>
        <vt:i4>7143484</vt:i4>
      </vt:variant>
      <vt:variant>
        <vt:i4>120</vt:i4>
      </vt:variant>
      <vt:variant>
        <vt:i4>0</vt:i4>
      </vt:variant>
      <vt:variant>
        <vt:i4>5</vt:i4>
      </vt:variant>
      <vt:variant>
        <vt:lpwstr>https://www.emjreviews.com/emj-gold/news/sanofis-chlamydia-vaccine-fast-tracked-by-fda/</vt:lpwstr>
      </vt:variant>
      <vt:variant>
        <vt:lpwstr/>
      </vt:variant>
      <vt:variant>
        <vt:i4>393216</vt:i4>
      </vt:variant>
      <vt:variant>
        <vt:i4>117</vt:i4>
      </vt:variant>
      <vt:variant>
        <vt:i4>0</vt:i4>
      </vt:variant>
      <vt:variant>
        <vt:i4>5</vt:i4>
      </vt:variant>
      <vt:variant>
        <vt:lpwstr>https://pubmed.ncbi.nlm.nih.gov/38615673/</vt:lpwstr>
      </vt:variant>
      <vt:variant>
        <vt:lpwstr/>
      </vt:variant>
      <vt:variant>
        <vt:i4>5111884</vt:i4>
      </vt:variant>
      <vt:variant>
        <vt:i4>114</vt:i4>
      </vt:variant>
      <vt:variant>
        <vt:i4>0</vt:i4>
      </vt:variant>
      <vt:variant>
        <vt:i4>5</vt:i4>
      </vt:variant>
      <vt:variant>
        <vt:lpwstr>https://www.who.int/teams/immunization-vaccines-and-biologicals/diseases/cholera</vt:lpwstr>
      </vt:variant>
      <vt:variant>
        <vt:lpwstr/>
      </vt:variant>
      <vt:variant>
        <vt:i4>3080288</vt:i4>
      </vt:variant>
      <vt:variant>
        <vt:i4>111</vt:i4>
      </vt:variant>
      <vt:variant>
        <vt:i4>0</vt:i4>
      </vt:variant>
      <vt:variant>
        <vt:i4>5</vt:i4>
      </vt:variant>
      <vt:variant>
        <vt:lpwstr>https://cdn.who.int/media/docs/default-source/immunization/pdvac/pdvac-2022/complete_report_final_december_2022.pdf</vt:lpwstr>
      </vt:variant>
      <vt:variant>
        <vt:lpwstr/>
      </vt:variant>
      <vt:variant>
        <vt:i4>2752619</vt:i4>
      </vt:variant>
      <vt:variant>
        <vt:i4>108</vt:i4>
      </vt:variant>
      <vt:variant>
        <vt:i4>0</vt:i4>
      </vt:variant>
      <vt:variant>
        <vt:i4>5</vt:i4>
      </vt:variant>
      <vt:variant>
        <vt:lpwstr>https://www.gavi.org/news/media-room/gavi-and-unicef-announce-equitable-pricing-deal-malaria-vaccine-protect-7-million</vt:lpwstr>
      </vt:variant>
      <vt:variant>
        <vt:lpwstr/>
      </vt:variant>
      <vt:variant>
        <vt:i4>1638468</vt:i4>
      </vt:variant>
      <vt:variant>
        <vt:i4>105</vt:i4>
      </vt:variant>
      <vt:variant>
        <vt:i4>0</vt:i4>
      </vt:variant>
      <vt:variant>
        <vt:i4>5</vt:i4>
      </vt:variant>
      <vt:variant>
        <vt:lpwstr>https://www.who.int/observatories/global-observatory-on-health-research-and-development/monitoring/who-review-of-malaria-vaccine-clinical-development</vt:lpwstr>
      </vt:variant>
      <vt:variant>
        <vt:lpwstr/>
      </vt:variant>
      <vt:variant>
        <vt:i4>1507332</vt:i4>
      </vt:variant>
      <vt:variant>
        <vt:i4>102</vt:i4>
      </vt:variant>
      <vt:variant>
        <vt:i4>0</vt:i4>
      </vt:variant>
      <vt:variant>
        <vt:i4>5</vt:i4>
      </vt:variant>
      <vt:variant>
        <vt:lpwstr>https://www.gsk.com/en-gb/media/press-releases/price-of-world-s-first-malaria-vaccine-rts-s-for-children-in-endemic-countries-to-be-reduced/</vt:lpwstr>
      </vt:variant>
      <vt:variant>
        <vt:lpwstr/>
      </vt:variant>
      <vt:variant>
        <vt:i4>3866733</vt:i4>
      </vt:variant>
      <vt:variant>
        <vt:i4>99</vt:i4>
      </vt:variant>
      <vt:variant>
        <vt:i4>0</vt:i4>
      </vt:variant>
      <vt:variant>
        <vt:i4>5</vt:i4>
      </vt:variant>
      <vt:variant>
        <vt:lpwstr>https://www.malariaconsortium.org/news/ethiopia-becomes-the-23rd-country-in-africa-to-roll-out-the-malaria-vaccine</vt:lpwstr>
      </vt:variant>
      <vt:variant>
        <vt:lpwstr/>
      </vt:variant>
      <vt:variant>
        <vt:i4>262219</vt:i4>
      </vt:variant>
      <vt:variant>
        <vt:i4>96</vt:i4>
      </vt:variant>
      <vt:variant>
        <vt:i4>0</vt:i4>
      </vt:variant>
      <vt:variant>
        <vt:i4>5</vt:i4>
      </vt:variant>
      <vt:variant>
        <vt:lpwstr>https://www.sanofi.com/en/media-room/press-releases/2025/2025-02-13-06-00-00-3025576</vt:lpwstr>
      </vt:variant>
      <vt:variant>
        <vt:lpwstr/>
      </vt:variant>
      <vt:variant>
        <vt:i4>5177353</vt:i4>
      </vt:variant>
      <vt:variant>
        <vt:i4>93</vt:i4>
      </vt:variant>
      <vt:variant>
        <vt:i4>0</vt:i4>
      </vt:variant>
      <vt:variant>
        <vt:i4>5</vt:i4>
      </vt:variant>
      <vt:variant>
        <vt:lpwstr>https://iris.who.int/handle/10665/279392</vt:lpwstr>
      </vt:variant>
      <vt:variant>
        <vt:lpwstr/>
      </vt:variant>
      <vt:variant>
        <vt:i4>5046276</vt:i4>
      </vt:variant>
      <vt:variant>
        <vt:i4>90</vt:i4>
      </vt:variant>
      <vt:variant>
        <vt:i4>0</vt:i4>
      </vt:variant>
      <vt:variant>
        <vt:i4>5</vt:i4>
      </vt:variant>
      <vt:variant>
        <vt:lpwstr>https://iris.who.int/handle/10665/279142</vt:lpwstr>
      </vt:variant>
      <vt:variant>
        <vt:lpwstr/>
      </vt:variant>
      <vt:variant>
        <vt:i4>1310825</vt:i4>
      </vt:variant>
      <vt:variant>
        <vt:i4>87</vt:i4>
      </vt:variant>
      <vt:variant>
        <vt:i4>0</vt:i4>
      </vt:variant>
      <vt:variant>
        <vt:i4>5</vt:i4>
      </vt:variant>
      <vt:variant>
        <vt:lpwstr>https://cdn.who.int/media/docs/default-source/immunization/product-and-delivery-research/tors-tag-klebsiella-final.pdf?sfvrsn=53c97305_1</vt:lpwstr>
      </vt:variant>
      <vt:variant>
        <vt:lpwstr/>
      </vt:variant>
      <vt:variant>
        <vt:i4>2359402</vt:i4>
      </vt:variant>
      <vt:variant>
        <vt:i4>84</vt:i4>
      </vt:variant>
      <vt:variant>
        <vt:i4>0</vt:i4>
      </vt:variant>
      <vt:variant>
        <vt:i4>5</vt:i4>
      </vt:variant>
      <vt:variant>
        <vt:lpwstr>https://trialsearch.who.int/Trial2.aspx?TrialID=EUCTR2023-000944-46-Outside-EU/EEA</vt:lpwstr>
      </vt:variant>
      <vt:variant>
        <vt:lpwstr/>
      </vt:variant>
      <vt:variant>
        <vt:i4>917598</vt:i4>
      </vt:variant>
      <vt:variant>
        <vt:i4>81</vt:i4>
      </vt:variant>
      <vt:variant>
        <vt:i4>0</vt:i4>
      </vt:variant>
      <vt:variant>
        <vt:i4>5</vt:i4>
      </vt:variant>
      <vt:variant>
        <vt:lpwstr>https://trialsearch.who.int/Trial2.aspx?TrialID=PACTR202309532820945</vt:lpwstr>
      </vt:variant>
      <vt:variant>
        <vt:lpwstr/>
      </vt:variant>
      <vt:variant>
        <vt:i4>7667749</vt:i4>
      </vt:variant>
      <vt:variant>
        <vt:i4>78</vt:i4>
      </vt:variant>
      <vt:variant>
        <vt:i4>0</vt:i4>
      </vt:variant>
      <vt:variant>
        <vt:i4>5</vt:i4>
      </vt:variant>
      <vt:variant>
        <vt:lpwstr>https://trialsearch.who.int/Trial2.aspx?TrialID=NCT05480800</vt:lpwstr>
      </vt:variant>
      <vt:variant>
        <vt:lpwstr/>
      </vt:variant>
      <vt:variant>
        <vt:i4>1900613</vt:i4>
      </vt:variant>
      <vt:variant>
        <vt:i4>75</vt:i4>
      </vt:variant>
      <vt:variant>
        <vt:i4>0</vt:i4>
      </vt:variant>
      <vt:variant>
        <vt:i4>5</vt:i4>
      </vt:variant>
      <vt:variant>
        <vt:lpwstr>https://www.gavi.org/news/media-room/gavi-and-partners-commence-design-rsv-maternal-vaccine-programme</vt:lpwstr>
      </vt:variant>
      <vt:variant>
        <vt:lpwstr/>
      </vt:variant>
      <vt:variant>
        <vt:i4>4456461</vt:i4>
      </vt:variant>
      <vt:variant>
        <vt:i4>72</vt:i4>
      </vt:variant>
      <vt:variant>
        <vt:i4>0</vt:i4>
      </vt:variant>
      <vt:variant>
        <vt:i4>5</vt:i4>
      </vt:variant>
      <vt:variant>
        <vt:lpwstr>https://iris.who.int/handle/10665/381540</vt:lpwstr>
      </vt:variant>
      <vt:variant>
        <vt:lpwstr/>
      </vt:variant>
      <vt:variant>
        <vt:i4>4194376</vt:i4>
      </vt:variant>
      <vt:variant>
        <vt:i4>69</vt:i4>
      </vt:variant>
      <vt:variant>
        <vt:i4>0</vt:i4>
      </vt:variant>
      <vt:variant>
        <vt:i4>5</vt:i4>
      </vt:variant>
      <vt:variant>
        <vt:lpwstr>https://www.who.int/news/item/19-03-2025-who-prequalifies-first-maternal-respiratory-syncytial-virus-vaccine</vt:lpwstr>
      </vt:variant>
      <vt:variant>
        <vt:lpwstr/>
      </vt:variant>
      <vt:variant>
        <vt:i4>917530</vt:i4>
      </vt:variant>
      <vt:variant>
        <vt:i4>66</vt:i4>
      </vt:variant>
      <vt:variant>
        <vt:i4>0</vt:i4>
      </vt:variant>
      <vt:variant>
        <vt:i4>5</vt:i4>
      </vt:variant>
      <vt:variant>
        <vt:lpwstr>https://unitaid.org/news-blog/lenacapavir-for-hiv-prevention/</vt:lpwstr>
      </vt:variant>
      <vt:variant>
        <vt:lpwstr/>
      </vt:variant>
      <vt:variant>
        <vt:i4>393299</vt:i4>
      </vt:variant>
      <vt:variant>
        <vt:i4>63</vt:i4>
      </vt:variant>
      <vt:variant>
        <vt:i4>0</vt:i4>
      </vt:variant>
      <vt:variant>
        <vt:i4>5</vt:i4>
      </vt:variant>
      <vt:variant>
        <vt:lpwstr>https://trialsearch.who.int/Trial2.aspx?TrialID=PACTR202112683307570</vt:lpwstr>
      </vt:variant>
      <vt:variant>
        <vt:lpwstr/>
      </vt:variant>
      <vt:variant>
        <vt:i4>7929890</vt:i4>
      </vt:variant>
      <vt:variant>
        <vt:i4>60</vt:i4>
      </vt:variant>
      <vt:variant>
        <vt:i4>0</vt:i4>
      </vt:variant>
      <vt:variant>
        <vt:i4>5</vt:i4>
      </vt:variant>
      <vt:variant>
        <vt:lpwstr>https://trialsearch.who.int/Trial2.aspx?TrialID=NCT04871113</vt:lpwstr>
      </vt:variant>
      <vt:variant>
        <vt:lpwstr/>
      </vt:variant>
      <vt:variant>
        <vt:i4>4325387</vt:i4>
      </vt:variant>
      <vt:variant>
        <vt:i4>57</vt:i4>
      </vt:variant>
      <vt:variant>
        <vt:i4>0</vt:i4>
      </vt:variant>
      <vt:variant>
        <vt:i4>5</vt:i4>
      </vt:variant>
      <vt:variant>
        <vt:lpwstr>https://iris.who.int/handle/10665/384073</vt:lpwstr>
      </vt:variant>
      <vt:variant>
        <vt:lpwstr/>
      </vt:variant>
      <vt:variant>
        <vt:i4>7798859</vt:i4>
      </vt:variant>
      <vt:variant>
        <vt:i4>54</vt:i4>
      </vt:variant>
      <vt:variant>
        <vt:i4>0</vt:i4>
      </vt:variant>
      <vt:variant>
        <vt:i4>5</vt:i4>
      </vt:variant>
      <vt:variant>
        <vt:lpwstr>https://cdn.who.int/media/docs/default-source/consultation-rdb/3_dev_pfizer_who_-h5n1-19-march-2025.pdf?sfvrsn=5ab94b8d_3</vt:lpwstr>
      </vt:variant>
      <vt:variant>
        <vt:lpwstr/>
      </vt:variant>
      <vt:variant>
        <vt:i4>5898315</vt:i4>
      </vt:variant>
      <vt:variant>
        <vt:i4>51</vt:i4>
      </vt:variant>
      <vt:variant>
        <vt:i4>0</vt:i4>
      </vt:variant>
      <vt:variant>
        <vt:i4>5</vt:i4>
      </vt:variant>
      <vt:variant>
        <vt:lpwstr>https://feeds.issuerdirect.com/news-release.html?newsid=4899326521164266&amp;symbol=MRNA</vt:lpwstr>
      </vt:variant>
      <vt:variant>
        <vt:lpwstr/>
      </vt:variant>
      <vt:variant>
        <vt:i4>7405614</vt:i4>
      </vt:variant>
      <vt:variant>
        <vt:i4>48</vt:i4>
      </vt:variant>
      <vt:variant>
        <vt:i4>0</vt:i4>
      </vt:variant>
      <vt:variant>
        <vt:i4>5</vt:i4>
      </vt:variant>
      <vt:variant>
        <vt:lpwstr>https://www.who.int/groups/product-development-for-vaccines-advisory-committee/meetings</vt:lpwstr>
      </vt:variant>
      <vt:variant>
        <vt:lpwstr/>
      </vt:variant>
      <vt:variant>
        <vt:i4>2949245</vt:i4>
      </vt:variant>
      <vt:variant>
        <vt:i4>45</vt:i4>
      </vt:variant>
      <vt:variant>
        <vt:i4>0</vt:i4>
      </vt:variant>
      <vt:variant>
        <vt:i4>5</vt:i4>
      </vt:variant>
      <vt:variant>
        <vt:lpwstr>https://doi.org/10.1016/j.ebiom.2024.105424</vt:lpwstr>
      </vt:variant>
      <vt:variant>
        <vt:lpwstr/>
      </vt:variant>
      <vt:variant>
        <vt:i4>5242951</vt:i4>
      </vt:variant>
      <vt:variant>
        <vt:i4>42</vt:i4>
      </vt:variant>
      <vt:variant>
        <vt:i4>0</vt:i4>
      </vt:variant>
      <vt:variant>
        <vt:i4>5</vt:i4>
      </vt:variant>
      <vt:variant>
        <vt:lpwstr>https://www.who.int/initiatives/mrna-technology-transfer-(mrna-tt)-programme</vt:lpwstr>
      </vt:variant>
      <vt:variant>
        <vt:lpwstr/>
      </vt:variant>
      <vt:variant>
        <vt:i4>327762</vt:i4>
      </vt:variant>
      <vt:variant>
        <vt:i4>39</vt:i4>
      </vt:variant>
      <vt:variant>
        <vt:i4>0</vt:i4>
      </vt:variant>
      <vt:variant>
        <vt:i4>5</vt:i4>
      </vt:variant>
      <vt:variant>
        <vt:lpwstr>https://speacsafety.net/</vt:lpwstr>
      </vt:variant>
      <vt:variant>
        <vt:lpwstr/>
      </vt:variant>
      <vt:variant>
        <vt:i4>1572895</vt:i4>
      </vt:variant>
      <vt:variant>
        <vt:i4>36</vt:i4>
      </vt:variant>
      <vt:variant>
        <vt:i4>0</vt:i4>
      </vt:variant>
      <vt:variant>
        <vt:i4>5</vt:i4>
      </vt:variant>
      <vt:variant>
        <vt:lpwstr>https://www.ema.europa.eu/en/ich-e21-guideline-inclusion-pregnant-breastfeeding-individuals-clinical-trials-scientific-guideline</vt:lpwstr>
      </vt:variant>
      <vt:variant>
        <vt:lpwstr/>
      </vt:variant>
      <vt:variant>
        <vt:i4>4915208</vt:i4>
      </vt:variant>
      <vt:variant>
        <vt:i4>33</vt:i4>
      </vt:variant>
      <vt:variant>
        <vt:i4>0</vt:i4>
      </vt:variant>
      <vt:variant>
        <vt:i4>5</vt:i4>
      </vt:variant>
      <vt:variant>
        <vt:lpwstr>https://iris.who.int/handle/10665/378782</vt:lpwstr>
      </vt:variant>
      <vt:variant>
        <vt:lpwstr/>
      </vt:variant>
      <vt:variant>
        <vt:i4>4456453</vt:i4>
      </vt:variant>
      <vt:variant>
        <vt:i4>30</vt:i4>
      </vt:variant>
      <vt:variant>
        <vt:i4>0</vt:i4>
      </vt:variant>
      <vt:variant>
        <vt:i4>5</vt:i4>
      </vt:variant>
      <vt:variant>
        <vt:lpwstr>https://iris.who.int/handle/10665/349841</vt:lpwstr>
      </vt:variant>
      <vt:variant>
        <vt:lpwstr/>
      </vt:variant>
      <vt:variant>
        <vt:i4>2949235</vt:i4>
      </vt:variant>
      <vt:variant>
        <vt:i4>27</vt:i4>
      </vt:variant>
      <vt:variant>
        <vt:i4>0</vt:i4>
      </vt:variant>
      <vt:variant>
        <vt:i4>5</vt:i4>
      </vt:variant>
      <vt:variant>
        <vt:lpwstr>https://healthpolicy-watch.news/gavi-cuts-staff-and-support-to-who-and-unicef-gives-more-freedom-to-countries-to-decide-vaccine-priorities/</vt:lpwstr>
      </vt:variant>
      <vt:variant>
        <vt:lpwstr/>
      </vt:variant>
      <vt:variant>
        <vt:i4>1966147</vt:i4>
      </vt:variant>
      <vt:variant>
        <vt:i4>24</vt:i4>
      </vt:variant>
      <vt:variant>
        <vt:i4>0</vt:i4>
      </vt:variant>
      <vt:variant>
        <vt:i4>5</vt:i4>
      </vt:variant>
      <vt:variant>
        <vt:lpwstr>https://www.who.int/news-room/speeches/item/who-director-general-s-opening-remarks-at-the-member-state-briefing-on-the-prioritization-and-realignment-process---19-november-2025</vt:lpwstr>
      </vt:variant>
      <vt:variant>
        <vt:lpwstr/>
      </vt:variant>
      <vt:variant>
        <vt:i4>7602221</vt:i4>
      </vt:variant>
      <vt:variant>
        <vt:i4>21</vt:i4>
      </vt:variant>
      <vt:variant>
        <vt:i4>0</vt:i4>
      </vt:variant>
      <vt:variant>
        <vt:i4>5</vt:i4>
      </vt:variant>
      <vt:variant>
        <vt:lpwstr>https://www.who.int/news/item/24-04-2025-increases-in-vaccine-preventable-disease-outbreaks-threaten-years-of-progress--warn-who--unicef--gavi</vt:lpwstr>
      </vt:variant>
      <vt:variant>
        <vt:lpwstr/>
      </vt:variant>
      <vt:variant>
        <vt:i4>1769512</vt:i4>
      </vt:variant>
      <vt:variant>
        <vt:i4>18</vt:i4>
      </vt:variant>
      <vt:variant>
        <vt:i4>0</vt:i4>
      </vt:variant>
      <vt:variant>
        <vt:i4>5</vt:i4>
      </vt:variant>
      <vt:variant>
        <vt:lpwstr>https://www.immunizationagenda2030.org/images/documents/BLS20116_IA_Global_strategy_document_SP_7_002.pdf</vt:lpwstr>
      </vt:variant>
      <vt:variant>
        <vt:lpwstr/>
      </vt:variant>
      <vt:variant>
        <vt:i4>8192099</vt:i4>
      </vt:variant>
      <vt:variant>
        <vt:i4>15</vt:i4>
      </vt:variant>
      <vt:variant>
        <vt:i4>0</vt:i4>
      </vt:variant>
      <vt:variant>
        <vt:i4>5</vt:i4>
      </vt:variant>
      <vt:variant>
        <vt:lpwstr>https://www.thelancet.com/journals/ebiom/article/PIIS2352-3964(24)00460-2/fulltext</vt:lpwstr>
      </vt:variant>
      <vt:variant>
        <vt:lpwstr/>
      </vt:variant>
      <vt:variant>
        <vt:i4>7405614</vt:i4>
      </vt:variant>
      <vt:variant>
        <vt:i4>12</vt:i4>
      </vt:variant>
      <vt:variant>
        <vt:i4>0</vt:i4>
      </vt:variant>
      <vt:variant>
        <vt:i4>5</vt:i4>
      </vt:variant>
      <vt:variant>
        <vt:lpwstr>https://www.who.int/groups/product-development-for-vaccines-advisory-committee/meetings</vt:lpwstr>
      </vt:variant>
      <vt:variant>
        <vt:lpwstr/>
      </vt:variant>
      <vt:variant>
        <vt:i4>196621</vt:i4>
      </vt:variant>
      <vt:variant>
        <vt:i4>9</vt:i4>
      </vt:variant>
      <vt:variant>
        <vt:i4>0</vt:i4>
      </vt:variant>
      <vt:variant>
        <vt:i4>5</vt:i4>
      </vt:variant>
      <vt:variant>
        <vt:lpwstr>https://www.who.int/teams/immunization-vaccines-and-biologicals/product-and-delivery-research/full-vaccine-value-assessments</vt:lpwstr>
      </vt:variant>
      <vt:variant>
        <vt:lpwstr/>
      </vt:variant>
      <vt:variant>
        <vt:i4>7602216</vt:i4>
      </vt:variant>
      <vt:variant>
        <vt:i4>6</vt:i4>
      </vt:variant>
      <vt:variant>
        <vt:i4>0</vt:i4>
      </vt:variant>
      <vt:variant>
        <vt:i4>5</vt:i4>
      </vt:variant>
      <vt:variant>
        <vt:lpwstr>https://www.who.int/teams/immunization-vaccines-and-biologicals/product-and-delivery-research/roadmaps</vt:lpwstr>
      </vt:variant>
      <vt:variant>
        <vt:lpwstr/>
      </vt:variant>
      <vt:variant>
        <vt:i4>7209013</vt:i4>
      </vt:variant>
      <vt:variant>
        <vt:i4>3</vt:i4>
      </vt:variant>
      <vt:variant>
        <vt:i4>0</vt:i4>
      </vt:variant>
      <vt:variant>
        <vt:i4>5</vt:i4>
      </vt:variant>
      <vt:variant>
        <vt:lpwstr>https://www.who.int/teams/immunization-vaccines-and-biologicals/product-and-delivery-research/ppcs</vt:lpwstr>
      </vt:variant>
      <vt:variant>
        <vt:lpwstr/>
      </vt:variant>
      <vt:variant>
        <vt:i4>852038</vt:i4>
      </vt:variant>
      <vt:variant>
        <vt:i4>0</vt:i4>
      </vt:variant>
      <vt:variant>
        <vt:i4>0</vt:i4>
      </vt:variant>
      <vt:variant>
        <vt:i4>5</vt:i4>
      </vt:variant>
      <vt:variant>
        <vt:lpwstr>https://www.who.int/groups/product-development-for-vaccines-advisory-committee/about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Olwen Wilson</dc:creator>
  <cp:keywords/>
  <dc:description/>
  <cp:lastModifiedBy>SPARROW JONES, Erin Grace</cp:lastModifiedBy>
  <cp:revision>7</cp:revision>
  <dcterms:created xsi:type="dcterms:W3CDTF">2026-07-02T15:12:00Z</dcterms:created>
  <dcterms:modified xsi:type="dcterms:W3CDTF">2026-07-02T15:15:00Z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0x010100D20F8B68F20EDA44AE44E8CA61E2519D</vt:lpwstr>
  </property>
  <property fmtid="{D5CDD505-2E9C-101B-9397-08002B2CF9AE}" pid="3" name="MediaServiceImageTags">
    <vt:lpwstr/>
  </property>
</Properties>
</file>