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717A" w14:textId="7D4436B9" w:rsidR="004733F5" w:rsidRDefault="004733F5" w:rsidP="009E345F">
      <w:pPr>
        <w:tabs>
          <w:tab w:val="left" w:pos="2088"/>
          <w:tab w:val="left" w:pos="8118"/>
        </w:tabs>
        <w:spacing w:after="120"/>
        <w:ind w:left="113"/>
        <w:jc w:val="center"/>
        <w:rPr>
          <w:rFonts w:ascii="Source Sans Pro" w:hAnsi="Source Sans Pro" w:cs="Calibri"/>
          <w:b/>
          <w:bCs/>
          <w:color w:val="000000" w:themeColor="text1"/>
          <w:sz w:val="21"/>
          <w:szCs w:val="21"/>
        </w:rPr>
      </w:pPr>
      <w:r>
        <w:rPr>
          <w:rFonts w:ascii="Source Sans Pro" w:eastAsia="Calibri" w:hAnsi="Source Sans Pro" w:cs="Arial"/>
          <w:b/>
          <w:bCs/>
          <w:noProof/>
          <w:kern w:val="0"/>
          <w:sz w:val="22"/>
          <w:szCs w:val="22"/>
          <w:lang w:val="en-CA"/>
        </w:rPr>
        <mc:AlternateContent>
          <mc:Choice Requires="wpg">
            <w:drawing>
              <wp:anchor distT="0" distB="0" distL="114300" distR="114300" simplePos="0" relativeHeight="251659264" behindDoc="0" locked="0" layoutInCell="1" allowOverlap="1" wp14:anchorId="3CF45C81" wp14:editId="5C15956B">
                <wp:simplePos x="0" y="0"/>
                <wp:positionH relativeFrom="column">
                  <wp:posOffset>0</wp:posOffset>
                </wp:positionH>
                <wp:positionV relativeFrom="paragraph">
                  <wp:posOffset>127000</wp:posOffset>
                </wp:positionV>
                <wp:extent cx="5961380" cy="371475"/>
                <wp:effectExtent l="0" t="0" r="0" b="0"/>
                <wp:wrapTight wrapText="bothSides">
                  <wp:wrapPolygon edited="0">
                    <wp:start x="17854" y="0"/>
                    <wp:lineTo x="0" y="738"/>
                    <wp:lineTo x="0" y="16985"/>
                    <wp:lineTo x="322" y="20677"/>
                    <wp:lineTo x="18268" y="20677"/>
                    <wp:lineTo x="21536" y="18462"/>
                    <wp:lineTo x="21536" y="2215"/>
                    <wp:lineTo x="18130" y="0"/>
                    <wp:lineTo x="17854" y="0"/>
                  </wp:wrapPolygon>
                </wp:wrapTight>
                <wp:docPr id="2049600508" name="Group 1"/>
                <wp:cNvGraphicFramePr/>
                <a:graphic xmlns:a="http://schemas.openxmlformats.org/drawingml/2006/main">
                  <a:graphicData uri="http://schemas.microsoft.com/office/word/2010/wordprocessingGroup">
                    <wpg:wgp>
                      <wpg:cNvGrpSpPr/>
                      <wpg:grpSpPr>
                        <a:xfrm>
                          <a:off x="0" y="0"/>
                          <a:ext cx="5961380" cy="371475"/>
                          <a:chOff x="0" y="0"/>
                          <a:chExt cx="5961380" cy="371475"/>
                        </a:xfrm>
                      </wpg:grpSpPr>
                      <pic:pic xmlns:pic="http://schemas.openxmlformats.org/drawingml/2006/picture">
                        <pic:nvPicPr>
                          <pic:cNvPr id="422112057" name="Picture 1" descr="A logo of the united nation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733800" y="25400"/>
                            <a:ext cx="752475" cy="345440"/>
                          </a:xfrm>
                          <a:prstGeom prst="rect">
                            <a:avLst/>
                          </a:prstGeom>
                        </pic:spPr>
                      </pic:pic>
                      <pic:pic xmlns:pic="http://schemas.openxmlformats.org/drawingml/2006/picture">
                        <pic:nvPicPr>
                          <pic:cNvPr id="1269775324" name="Picture 1" descr="Blue text on a black backgroun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578100" y="25400"/>
                            <a:ext cx="829310" cy="345440"/>
                          </a:xfrm>
                          <a:prstGeom prst="rect">
                            <a:avLst/>
                          </a:prstGeom>
                        </pic:spPr>
                      </pic:pic>
                      <pic:pic xmlns:pic="http://schemas.openxmlformats.org/drawingml/2006/picture">
                        <pic:nvPicPr>
                          <pic:cNvPr id="222086815" name="Picture 1" descr="Blue text on a black background&#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333500" y="38100"/>
                            <a:ext cx="1016000" cy="324485"/>
                          </a:xfrm>
                          <a:prstGeom prst="rect">
                            <a:avLst/>
                          </a:prstGeom>
                        </pic:spPr>
                      </pic:pic>
                      <pic:pic xmlns:pic="http://schemas.openxmlformats.org/drawingml/2006/picture">
                        <pic:nvPicPr>
                          <pic:cNvPr id="871139078" name="Picture 1" descr="A close-up of a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25400"/>
                            <a:ext cx="990600" cy="346075"/>
                          </a:xfrm>
                          <a:prstGeom prst="rect">
                            <a:avLst/>
                          </a:prstGeom>
                        </pic:spPr>
                      </pic:pic>
                      <pic:pic xmlns:pic="http://schemas.openxmlformats.org/drawingml/2006/picture">
                        <pic:nvPicPr>
                          <pic:cNvPr id="2069504575" name="Picture 1" descr="A blue text on a black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762500" y="0"/>
                            <a:ext cx="1198880" cy="366395"/>
                          </a:xfrm>
                          <a:prstGeom prst="rect">
                            <a:avLst/>
                          </a:prstGeom>
                        </pic:spPr>
                      </pic:pic>
                    </wpg:wgp>
                  </a:graphicData>
                </a:graphic>
              </wp:anchor>
            </w:drawing>
          </mc:Choice>
          <mc:Fallback>
            <w:pict>
              <v:group w14:anchorId="62A7DD31" id="Group 1" o:spid="_x0000_s1026" style="position:absolute;margin-left:0;margin-top:10pt;width:469.4pt;height:29.25pt;z-index:251659264" coordsize="59613,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logo of the united nations&#10;&#10;AI-generated content may be incorrect." style="position:absolute;left:37338;top:254;width:7524;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">
                  <v:imagedata r:id="rId13" o:title="A logo of the united nations&#10;&#10;AI-generated content may be incorrect"/>
                </v:shape>
                <v:shape id="Picture 1" o:spid="_x0000_s1028" type="#_x0000_t75" alt="Blue text on a black background&#10;&#10;AI-generated content may be incorrect." style="position:absolute;left:25781;top:254;width:8293;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">
                  <v:imagedata r:id="rId14" o:title="Blue text on a black background&#10;&#10;AI-generated content may be incorrect"/>
                </v:shape>
                <v:shape id="Picture 1" o:spid="_x0000_s1029" type="#_x0000_t75" alt="Blue text on a black background&#10;&#10;AI-generated content may be incorrect." style="position:absolute;left:13335;top:381;width:10160;height:3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">
                  <v:imagedata r:id="rId15" o:title="Blue text on a black background&#10;&#10;AI-generated content may be incorrect"/>
                </v:shape>
                <v:shape id="Picture 1" o:spid="_x0000_s1030" type="#_x0000_t75" alt="A close-up of a logo&#10;&#10;AI-generated content may be incorrect." style="position:absolute;top:254;width:9906;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">
                  <v:imagedata r:id="rId16" o:title="A close-up of a logo&#10;&#10;AI-generated content may be incorrect"/>
                </v:shape>
                <v:shape id="Picture 1" o:spid="_x0000_s1031" type="#_x0000_t75" alt="A blue text on a black background&#10;&#10;AI-generated content may be incorrect." style="position:absolute;left:47625;width:11988;height: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">
                  <v:imagedata r:id="rId17" o:title="A blue text on a black background&#10;&#10;AI-generated content may be incorrect"/>
                </v:shape>
                <w10:wrap type="tight"/>
              </v:group>
            </w:pict>
          </mc:Fallback>
        </mc:AlternateContent>
      </w:r>
    </w:p>
    <w:p w14:paraId="2D4A99D6" w14:textId="2BEBA878" w:rsidR="009E345F" w:rsidRPr="004733F5" w:rsidRDefault="00F148E5" w:rsidP="004733F5">
      <w:pPr>
        <w:tabs>
          <w:tab w:val="left" w:pos="2088"/>
          <w:tab w:val="left" w:pos="8118"/>
        </w:tabs>
        <w:spacing w:after="120"/>
        <w:ind w:left="113"/>
        <w:jc w:val="center"/>
        <w:rPr>
          <w:rFonts w:ascii="Source Sans Pro" w:hAnsi="Source Sans Pro" w:cs="Calibri"/>
          <w:b/>
          <w:bCs/>
          <w:color w:val="000000" w:themeColor="text1"/>
          <w:sz w:val="21"/>
          <w:szCs w:val="21"/>
        </w:rPr>
      </w:pPr>
      <w:r w:rsidRPr="00C474D1">
        <w:rPr>
          <w:rFonts w:ascii="Source Sans Pro" w:hAnsi="Source Sans Pro" w:cs="Calibri"/>
          <w:b/>
          <w:bCs/>
          <w:color w:val="000000" w:themeColor="text1"/>
          <w:sz w:val="21"/>
          <w:szCs w:val="21"/>
        </w:rPr>
        <w:t>Considerations for implementing</w:t>
      </w:r>
      <w:r w:rsidR="009E345F" w:rsidRPr="00C474D1">
        <w:rPr>
          <w:rFonts w:ascii="Source Sans Pro" w:hAnsi="Source Sans Pro" w:cs="Calibri"/>
          <w:b/>
          <w:bCs/>
          <w:color w:val="000000" w:themeColor="text1"/>
          <w:sz w:val="21"/>
          <w:szCs w:val="21"/>
        </w:rPr>
        <w:t xml:space="preserve"> </w:t>
      </w:r>
      <w:r w:rsidR="00A27C8B" w:rsidRPr="00C474D1">
        <w:rPr>
          <w:rFonts w:ascii="Source Sans Pro" w:hAnsi="Source Sans Pro" w:cs="Calibri"/>
          <w:b/>
          <w:bCs/>
          <w:color w:val="000000" w:themeColor="text1"/>
          <w:sz w:val="21"/>
          <w:szCs w:val="21"/>
        </w:rPr>
        <w:t>r</w:t>
      </w:r>
      <w:r w:rsidR="009E345F" w:rsidRPr="00C474D1">
        <w:rPr>
          <w:rFonts w:ascii="Source Sans Pro" w:hAnsi="Source Sans Pro" w:cs="Calibri"/>
          <w:b/>
          <w:bCs/>
          <w:color w:val="000000" w:themeColor="text1"/>
          <w:sz w:val="21"/>
          <w:szCs w:val="21"/>
        </w:rPr>
        <w:t>ecommendations</w:t>
      </w:r>
      <w:r w:rsidR="00E92D6B" w:rsidRPr="00C474D1">
        <w:rPr>
          <w:rFonts w:ascii="Source Sans Pro" w:hAnsi="Source Sans Pro" w:cs="Calibri"/>
          <w:b/>
          <w:bCs/>
          <w:color w:val="000000" w:themeColor="text1"/>
          <w:sz w:val="21"/>
          <w:szCs w:val="21"/>
        </w:rPr>
        <w:t xml:space="preserve"> on the </w:t>
      </w:r>
      <w:r w:rsidR="00A27C8B" w:rsidRPr="00C474D1">
        <w:rPr>
          <w:rFonts w:ascii="Source Sans Pro" w:hAnsi="Source Sans Pro" w:cs="Calibri"/>
          <w:b/>
          <w:bCs/>
          <w:color w:val="000000" w:themeColor="text1"/>
          <w:sz w:val="21"/>
          <w:szCs w:val="21"/>
        </w:rPr>
        <w:t>p</w:t>
      </w:r>
      <w:r w:rsidR="00E92D6B" w:rsidRPr="00C474D1">
        <w:rPr>
          <w:rFonts w:ascii="Source Sans Pro" w:hAnsi="Source Sans Pro" w:cs="Calibri"/>
          <w:b/>
          <w:bCs/>
          <w:color w:val="000000" w:themeColor="text1"/>
          <w:sz w:val="21"/>
          <w:szCs w:val="21"/>
        </w:rPr>
        <w:t xml:space="preserve">revention, </w:t>
      </w:r>
      <w:r w:rsidR="00A27C8B" w:rsidRPr="00C474D1">
        <w:rPr>
          <w:rFonts w:ascii="Source Sans Pro" w:hAnsi="Source Sans Pro" w:cs="Calibri"/>
          <w:b/>
          <w:bCs/>
          <w:color w:val="000000" w:themeColor="text1"/>
          <w:sz w:val="21"/>
          <w:szCs w:val="21"/>
        </w:rPr>
        <w:t>d</w:t>
      </w:r>
      <w:r w:rsidR="00E92D6B" w:rsidRPr="00C474D1">
        <w:rPr>
          <w:rFonts w:ascii="Source Sans Pro" w:hAnsi="Source Sans Pro" w:cs="Calibri"/>
          <w:b/>
          <w:bCs/>
          <w:color w:val="000000" w:themeColor="text1"/>
          <w:sz w:val="21"/>
          <w:szCs w:val="21"/>
        </w:rPr>
        <w:t xml:space="preserve">iagnosis and </w:t>
      </w:r>
      <w:r w:rsidR="00A27C8B" w:rsidRPr="00C474D1">
        <w:rPr>
          <w:rFonts w:ascii="Source Sans Pro" w:hAnsi="Source Sans Pro" w:cs="Calibri"/>
          <w:b/>
          <w:bCs/>
          <w:color w:val="000000" w:themeColor="text1"/>
          <w:sz w:val="21"/>
          <w:szCs w:val="21"/>
        </w:rPr>
        <w:t>t</w:t>
      </w:r>
      <w:r w:rsidR="00E92D6B" w:rsidRPr="00C474D1">
        <w:rPr>
          <w:rFonts w:ascii="Source Sans Pro" w:hAnsi="Source Sans Pro" w:cs="Calibri"/>
          <w:b/>
          <w:bCs/>
          <w:color w:val="000000" w:themeColor="text1"/>
          <w:sz w:val="21"/>
          <w:szCs w:val="21"/>
        </w:rPr>
        <w:t xml:space="preserve">reatment of </w:t>
      </w:r>
      <w:r w:rsidR="00A27C8B" w:rsidRPr="00C474D1">
        <w:rPr>
          <w:rFonts w:ascii="Source Sans Pro" w:hAnsi="Source Sans Pro" w:cs="Calibri"/>
          <w:b/>
          <w:bCs/>
          <w:color w:val="000000" w:themeColor="text1"/>
          <w:sz w:val="21"/>
          <w:szCs w:val="21"/>
        </w:rPr>
        <w:t>p</w:t>
      </w:r>
      <w:r w:rsidR="00E92D6B" w:rsidRPr="00C474D1">
        <w:rPr>
          <w:rFonts w:ascii="Source Sans Pro" w:hAnsi="Source Sans Pro" w:cs="Calibri"/>
          <w:b/>
          <w:bCs/>
          <w:color w:val="000000" w:themeColor="text1"/>
          <w:sz w:val="21"/>
          <w:szCs w:val="21"/>
        </w:rPr>
        <w:t xml:space="preserve">ostpartum </w:t>
      </w:r>
      <w:proofErr w:type="spellStart"/>
      <w:r w:rsidR="00A27C8B" w:rsidRPr="00C474D1">
        <w:rPr>
          <w:rFonts w:ascii="Source Sans Pro" w:hAnsi="Source Sans Pro" w:cs="Calibri"/>
          <w:b/>
          <w:bCs/>
          <w:color w:val="000000" w:themeColor="text1"/>
          <w:sz w:val="21"/>
          <w:szCs w:val="21"/>
        </w:rPr>
        <w:t>h</w:t>
      </w:r>
      <w:r w:rsidR="00E92D6B" w:rsidRPr="00C474D1">
        <w:rPr>
          <w:rFonts w:ascii="Source Sans Pro" w:hAnsi="Source Sans Pro" w:cs="Calibri"/>
          <w:b/>
          <w:bCs/>
          <w:color w:val="000000" w:themeColor="text1"/>
          <w:sz w:val="21"/>
          <w:szCs w:val="21"/>
        </w:rPr>
        <w:t>aemorrhage</w:t>
      </w:r>
      <w:proofErr w:type="spellEnd"/>
      <w:r w:rsidR="009E345F" w:rsidRPr="00C474D1">
        <w:rPr>
          <w:rFonts w:ascii="Source Sans Pro" w:hAnsi="Source Sans Pro" w:cs="Calibri"/>
          <w:b/>
          <w:bCs/>
          <w:color w:val="000000" w:themeColor="text1"/>
          <w:sz w:val="21"/>
          <w:szCs w:val="21"/>
        </w:rPr>
        <w:t xml:space="preserve"> </w:t>
      </w:r>
      <w:r w:rsidR="00E92D6B" w:rsidRPr="00C474D1">
        <w:rPr>
          <w:rFonts w:ascii="Source Sans Pro" w:hAnsi="Source Sans Pro" w:cs="Calibri"/>
          <w:b/>
          <w:bCs/>
          <w:color w:val="000000" w:themeColor="text1"/>
          <w:sz w:val="21"/>
          <w:szCs w:val="21"/>
        </w:rPr>
        <w:t xml:space="preserve">in </w:t>
      </w:r>
      <w:r w:rsidR="00A27C8B" w:rsidRPr="00C474D1">
        <w:rPr>
          <w:rFonts w:ascii="Source Sans Pro" w:hAnsi="Source Sans Pro" w:cs="Calibri"/>
          <w:b/>
          <w:bCs/>
          <w:color w:val="000000" w:themeColor="text1"/>
          <w:sz w:val="21"/>
          <w:szCs w:val="21"/>
        </w:rPr>
        <w:t>h</w:t>
      </w:r>
      <w:r w:rsidR="009E345F" w:rsidRPr="00C474D1">
        <w:rPr>
          <w:rFonts w:ascii="Source Sans Pro" w:hAnsi="Source Sans Pro" w:cs="Calibri"/>
          <w:b/>
          <w:bCs/>
          <w:color w:val="000000" w:themeColor="text1"/>
          <w:sz w:val="21"/>
          <w:szCs w:val="21"/>
        </w:rPr>
        <w:t xml:space="preserve">umanitarian </w:t>
      </w:r>
      <w:r w:rsidRPr="00C474D1">
        <w:rPr>
          <w:rFonts w:ascii="Source Sans Pro" w:hAnsi="Source Sans Pro" w:cs="Calibri"/>
          <w:b/>
          <w:bCs/>
          <w:color w:val="000000" w:themeColor="text1"/>
          <w:sz w:val="21"/>
          <w:szCs w:val="21"/>
        </w:rPr>
        <w:t>settings</w:t>
      </w:r>
    </w:p>
    <w:p w14:paraId="4D90822D" w14:textId="77777777" w:rsidR="009E345F" w:rsidRPr="00C474D1" w:rsidRDefault="009E345F" w:rsidP="00C474D1">
      <w:pPr>
        <w:pBdr>
          <w:bottom w:val="single" w:sz="4" w:space="1" w:color="auto"/>
        </w:pBd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b/>
          <w:bCs/>
          <w:color w:val="000000" w:themeColor="text1"/>
          <w:sz w:val="20"/>
          <w:szCs w:val="20"/>
        </w:rPr>
        <w:t>Background</w:t>
      </w:r>
    </w:p>
    <w:p w14:paraId="385E2D09" w14:textId="4966F925" w:rsidR="001E2321" w:rsidRPr="00C474D1" w:rsidRDefault="001E2321" w:rsidP="00C474D1">
      <w:p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Humanitarian settings refer to environments where a crisis or series of events pose urgent threats to people’s lives, health, safety, security and wellbeing. Such emergencies can be rapid-onset like earthquakes or acute conflict, slow-onset such as droughts, or protracted emergencies that last years or decades, often linked to conflict and displacement</w:t>
      </w:r>
      <w:r w:rsidR="0048000C" w:rsidRPr="00C474D1">
        <w:rPr>
          <w:rFonts w:ascii="Source Sans Pro" w:hAnsi="Source Sans Pro" w:cs="Calibri"/>
          <w:color w:val="000000" w:themeColor="text1"/>
          <w:sz w:val="20"/>
          <w:szCs w:val="20"/>
        </w:rPr>
        <w:t xml:space="preserve"> </w:t>
      </w:r>
      <w:r w:rsidR="0048000C" w:rsidRPr="00374CE9">
        <w:rPr>
          <w:rFonts w:ascii="Source Sans Pro" w:hAnsi="Source Sans Pro" w:cs="Calibri"/>
          <w:i/>
          <w:iCs/>
          <w:noProof/>
          <w:color w:val="000000" w:themeColor="text1"/>
          <w:sz w:val="20"/>
          <w:szCs w:val="20"/>
        </w:rPr>
        <w:t>(1)</w:t>
      </w:r>
      <w:r w:rsidRPr="00C474D1">
        <w:rPr>
          <w:rFonts w:ascii="Source Sans Pro" w:hAnsi="Source Sans Pro" w:cs="Calibri"/>
          <w:color w:val="000000" w:themeColor="text1"/>
          <w:sz w:val="20"/>
          <w:szCs w:val="20"/>
        </w:rPr>
        <w:t>.</w:t>
      </w:r>
      <w:r w:rsidR="00663D75" w:rsidRPr="00C474D1">
        <w:rPr>
          <w:rFonts w:ascii="Source Sans Pro" w:hAnsi="Source Sans Pro" w:cs="Calibri"/>
          <w:color w:val="000000" w:themeColor="text1"/>
          <w:sz w:val="20"/>
          <w:szCs w:val="20"/>
        </w:rPr>
        <w:t xml:space="preserve"> </w:t>
      </w:r>
      <w:r w:rsidRPr="00C474D1">
        <w:rPr>
          <w:rFonts w:ascii="Source Sans Pro" w:hAnsi="Source Sans Pro" w:cs="Calibri"/>
          <w:color w:val="000000" w:themeColor="text1"/>
          <w:sz w:val="20"/>
          <w:szCs w:val="20"/>
        </w:rPr>
        <w:t xml:space="preserve">These situations are complex and often </w:t>
      </w:r>
      <w:r w:rsidR="00D43F30" w:rsidRPr="00C474D1">
        <w:rPr>
          <w:rFonts w:ascii="Source Sans Pro" w:hAnsi="Source Sans Pro" w:cs="Calibri"/>
          <w:color w:val="000000" w:themeColor="text1"/>
          <w:sz w:val="20"/>
          <w:szCs w:val="20"/>
        </w:rPr>
        <w:t>it is unclear who is responsible for guaranteeing women’s health rights –</w:t>
      </w:r>
      <w:r w:rsidRPr="00C474D1">
        <w:rPr>
          <w:rFonts w:ascii="Source Sans Pro" w:hAnsi="Source Sans Pro" w:cs="Calibri"/>
          <w:color w:val="000000" w:themeColor="text1"/>
          <w:sz w:val="20"/>
          <w:szCs w:val="20"/>
        </w:rPr>
        <w:t xml:space="preserve"> ensuring</w:t>
      </w:r>
      <w:r w:rsidR="00D43F30" w:rsidRPr="00C474D1">
        <w:rPr>
          <w:rFonts w:ascii="Source Sans Pro" w:hAnsi="Source Sans Pro" w:cs="Calibri"/>
          <w:color w:val="000000" w:themeColor="text1"/>
          <w:sz w:val="20"/>
          <w:szCs w:val="20"/>
        </w:rPr>
        <w:t xml:space="preserve"> </w:t>
      </w:r>
      <w:r w:rsidRPr="00C474D1">
        <w:rPr>
          <w:rFonts w:ascii="Source Sans Pro" w:hAnsi="Source Sans Pro" w:cs="Calibri"/>
          <w:color w:val="000000" w:themeColor="text1"/>
          <w:sz w:val="20"/>
          <w:szCs w:val="20"/>
        </w:rPr>
        <w:t xml:space="preserve">women’s access to evidence-based care for postpartum </w:t>
      </w:r>
      <w:proofErr w:type="spellStart"/>
      <w:r w:rsidRPr="00C474D1">
        <w:rPr>
          <w:rFonts w:ascii="Source Sans Pro" w:hAnsi="Source Sans Pro" w:cs="Calibri"/>
          <w:color w:val="000000" w:themeColor="text1"/>
          <w:sz w:val="20"/>
          <w:szCs w:val="20"/>
        </w:rPr>
        <w:t>haemorrhage</w:t>
      </w:r>
      <w:proofErr w:type="spellEnd"/>
      <w:r w:rsidRPr="00C474D1">
        <w:rPr>
          <w:rFonts w:ascii="Source Sans Pro" w:hAnsi="Source Sans Pro" w:cs="Calibri"/>
          <w:color w:val="000000" w:themeColor="text1"/>
          <w:sz w:val="20"/>
          <w:szCs w:val="20"/>
        </w:rPr>
        <w:t xml:space="preserve"> (PPH) prevention, diagnosis and treatment requires cooperation</w:t>
      </w:r>
      <w:r w:rsidR="00D43F30" w:rsidRPr="00C474D1">
        <w:rPr>
          <w:rFonts w:ascii="Source Sans Pro" w:hAnsi="Source Sans Pro" w:cs="Calibri"/>
          <w:color w:val="000000" w:themeColor="text1"/>
          <w:sz w:val="20"/>
          <w:szCs w:val="20"/>
        </w:rPr>
        <w:t>, early coordination and planning</w:t>
      </w:r>
      <w:r w:rsidRPr="00C474D1">
        <w:rPr>
          <w:rFonts w:ascii="Source Sans Pro" w:hAnsi="Source Sans Pro" w:cs="Calibri"/>
          <w:color w:val="000000" w:themeColor="text1"/>
          <w:sz w:val="20"/>
          <w:szCs w:val="20"/>
        </w:rPr>
        <w:t xml:space="preserve"> among many actors across different sectors and jurisdictions. </w:t>
      </w:r>
      <w:r w:rsidR="00663D75" w:rsidRPr="00C474D1">
        <w:rPr>
          <w:rFonts w:ascii="Source Sans Pro" w:hAnsi="Source Sans Pro" w:cs="Calibri"/>
          <w:color w:val="000000" w:themeColor="text1"/>
          <w:sz w:val="20"/>
          <w:szCs w:val="20"/>
        </w:rPr>
        <w:t>Humanitarian emergencies may overlap (for example, when communicable disease outbreaks occur following a natural disaster or conflict</w:t>
      </w:r>
      <w:r w:rsidR="00663D75" w:rsidRPr="00C474D1">
        <w:rPr>
          <w:rStyle w:val="FootnoteReference"/>
          <w:rFonts w:ascii="Source Sans Pro" w:hAnsi="Source Sans Pro" w:cs="Calibri"/>
          <w:color w:val="000000" w:themeColor="text1"/>
          <w:sz w:val="20"/>
          <w:szCs w:val="20"/>
        </w:rPr>
        <w:footnoteReference w:id="2"/>
      </w:r>
      <w:r w:rsidR="00663D75" w:rsidRPr="00C474D1">
        <w:rPr>
          <w:rFonts w:ascii="Source Sans Pro" w:hAnsi="Source Sans Pro" w:cs="Calibri"/>
          <w:color w:val="000000" w:themeColor="text1"/>
          <w:sz w:val="20"/>
          <w:szCs w:val="20"/>
        </w:rPr>
        <w:t xml:space="preserve">). </w:t>
      </w:r>
      <w:r w:rsidRPr="00C474D1">
        <w:rPr>
          <w:rFonts w:ascii="Source Sans Pro" w:hAnsi="Source Sans Pro" w:cs="Calibri"/>
          <w:color w:val="000000" w:themeColor="text1"/>
          <w:sz w:val="20"/>
          <w:szCs w:val="20"/>
        </w:rPr>
        <w:t>Though humanitarian settings have unique considerations, there are many learnings generated from these settings that have broader applicability, especially in low-resource contexts.</w:t>
      </w:r>
    </w:p>
    <w:p w14:paraId="1263DD30" w14:textId="7072A542" w:rsidR="00F03F95" w:rsidRPr="00C474D1" w:rsidRDefault="00F03F95" w:rsidP="00C474D1">
      <w:pPr>
        <w:tabs>
          <w:tab w:val="left" w:pos="2088"/>
          <w:tab w:val="left" w:pos="8118"/>
        </w:tabs>
        <w:spacing w:line="276" w:lineRule="auto"/>
        <w:rPr>
          <w:rFonts w:ascii="Source Sans Pro" w:hAnsi="Source Sans Pro" w:cs="Calibri"/>
          <w:color w:val="000000" w:themeColor="text1"/>
          <w:sz w:val="20"/>
          <w:szCs w:val="20"/>
        </w:rPr>
      </w:pPr>
    </w:p>
    <w:p w14:paraId="6CD2CC17" w14:textId="4573F8BA" w:rsidR="00F03F95" w:rsidRPr="00C474D1" w:rsidRDefault="00F03F95" w:rsidP="00C474D1">
      <w:p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Humanitarian health </w:t>
      </w:r>
      <w:r w:rsidR="000A3C11" w:rsidRPr="00C474D1">
        <w:rPr>
          <w:rFonts w:ascii="Source Sans Pro" w:hAnsi="Source Sans Pro" w:cs="Calibri"/>
          <w:color w:val="000000" w:themeColor="text1"/>
          <w:sz w:val="20"/>
          <w:szCs w:val="20"/>
        </w:rPr>
        <w:t xml:space="preserve">response </w:t>
      </w:r>
      <w:r w:rsidRPr="00C474D1">
        <w:rPr>
          <w:rFonts w:ascii="Source Sans Pro" w:hAnsi="Source Sans Pro" w:cs="Calibri"/>
          <w:color w:val="000000" w:themeColor="text1"/>
          <w:sz w:val="20"/>
          <w:szCs w:val="20"/>
        </w:rPr>
        <w:t>is organized around four cross-cutting principles:</w:t>
      </w:r>
    </w:p>
    <w:p w14:paraId="21CC798C" w14:textId="77777777" w:rsidR="00585F85" w:rsidRPr="00C474D1" w:rsidRDefault="00585F85" w:rsidP="00C474D1">
      <w:pPr>
        <w:pStyle w:val="ListParagraph"/>
        <w:numPr>
          <w:ilvl w:val="0"/>
          <w:numId w:val="22"/>
        </w:num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Humanity – Alleviate suffering and protect life and dignity wherever it is found.</w:t>
      </w:r>
    </w:p>
    <w:p w14:paraId="3C5FBB17" w14:textId="77777777" w:rsidR="00585F85" w:rsidRPr="00C474D1" w:rsidRDefault="00585F85" w:rsidP="00C474D1">
      <w:pPr>
        <w:pStyle w:val="ListParagraph"/>
        <w:numPr>
          <w:ilvl w:val="0"/>
          <w:numId w:val="22"/>
        </w:num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Impartiality – Provide care based on need alone, without discrimination.</w:t>
      </w:r>
    </w:p>
    <w:p w14:paraId="3F9922EB" w14:textId="77777777" w:rsidR="00585F85" w:rsidRPr="00C474D1" w:rsidRDefault="00585F85" w:rsidP="00C474D1">
      <w:pPr>
        <w:pStyle w:val="ListParagraph"/>
        <w:numPr>
          <w:ilvl w:val="0"/>
          <w:numId w:val="22"/>
        </w:num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Neutrality – Do not take sides in political, religious, or ideological conflicts.</w:t>
      </w:r>
    </w:p>
    <w:p w14:paraId="400AF1F5" w14:textId="77777777" w:rsidR="00585F85" w:rsidRPr="00C474D1" w:rsidRDefault="00585F85" w:rsidP="00C474D1">
      <w:pPr>
        <w:pStyle w:val="ListParagraph"/>
        <w:numPr>
          <w:ilvl w:val="0"/>
          <w:numId w:val="22"/>
        </w:num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Independence – Act autonomously from political, economic, or military agendas.</w:t>
      </w:r>
    </w:p>
    <w:p w14:paraId="1E9C6B79" w14:textId="6FA1A03E" w:rsidR="00F03F95" w:rsidRPr="00C474D1" w:rsidRDefault="00F03F95" w:rsidP="00C474D1">
      <w:p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Adherence to these principles is key for ensuring </w:t>
      </w:r>
      <w:r w:rsidR="008A12ED" w:rsidRPr="00C474D1">
        <w:rPr>
          <w:rFonts w:ascii="Source Sans Pro" w:hAnsi="Source Sans Pro" w:cs="Calibri"/>
          <w:color w:val="000000" w:themeColor="text1"/>
          <w:sz w:val="20"/>
          <w:szCs w:val="20"/>
        </w:rPr>
        <w:t>women’s</w:t>
      </w:r>
      <w:r w:rsidRPr="00C474D1">
        <w:rPr>
          <w:rFonts w:ascii="Source Sans Pro" w:hAnsi="Source Sans Pro" w:cs="Calibri"/>
          <w:color w:val="000000" w:themeColor="text1"/>
          <w:sz w:val="20"/>
          <w:szCs w:val="20"/>
        </w:rPr>
        <w:t xml:space="preserve"> right to health</w:t>
      </w:r>
      <w:r w:rsidR="0048000C" w:rsidRPr="00C474D1">
        <w:rPr>
          <w:rFonts w:ascii="Source Sans Pro" w:hAnsi="Source Sans Pro" w:cs="Calibri"/>
          <w:color w:val="000000" w:themeColor="text1"/>
          <w:sz w:val="20"/>
          <w:szCs w:val="20"/>
        </w:rPr>
        <w:t xml:space="preserve"> </w:t>
      </w:r>
      <w:r w:rsidR="0048000C" w:rsidRPr="00374CE9">
        <w:rPr>
          <w:rFonts w:ascii="Source Sans Pro" w:hAnsi="Source Sans Pro" w:cs="Calibri"/>
          <w:i/>
          <w:iCs/>
          <w:noProof/>
          <w:color w:val="000000" w:themeColor="text1"/>
          <w:sz w:val="20"/>
          <w:szCs w:val="20"/>
        </w:rPr>
        <w:t>(2)</w:t>
      </w:r>
      <w:r w:rsidRPr="00C474D1">
        <w:rPr>
          <w:rFonts w:ascii="Source Sans Pro" w:hAnsi="Source Sans Pro" w:cs="Calibri"/>
          <w:color w:val="000000" w:themeColor="text1"/>
          <w:sz w:val="20"/>
          <w:szCs w:val="20"/>
        </w:rPr>
        <w:t>.</w:t>
      </w:r>
    </w:p>
    <w:p w14:paraId="18FC79F3" w14:textId="77777777" w:rsidR="00F03F95" w:rsidRPr="00C474D1" w:rsidRDefault="00F03F95" w:rsidP="00C474D1">
      <w:pPr>
        <w:tabs>
          <w:tab w:val="left" w:pos="2088"/>
          <w:tab w:val="left" w:pos="8118"/>
        </w:tabs>
        <w:spacing w:line="276" w:lineRule="auto"/>
        <w:rPr>
          <w:rFonts w:ascii="Source Sans Pro" w:hAnsi="Source Sans Pro" w:cs="Calibri"/>
          <w:color w:val="000000" w:themeColor="text1"/>
          <w:sz w:val="20"/>
          <w:szCs w:val="20"/>
        </w:rPr>
      </w:pPr>
    </w:p>
    <w:p w14:paraId="58A612C1" w14:textId="682E5493" w:rsidR="001E2321" w:rsidRPr="00C474D1" w:rsidRDefault="001E2321" w:rsidP="00C474D1">
      <w:p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Addressing humanitarian crises involves a wide range of stakeholders, including governments, United Nations agencies, </w:t>
      </w:r>
      <w:r w:rsidR="000A3C11" w:rsidRPr="00C474D1">
        <w:rPr>
          <w:rFonts w:ascii="Source Sans Pro" w:hAnsi="Source Sans Pro" w:cs="Calibri"/>
          <w:color w:val="000000" w:themeColor="text1"/>
          <w:sz w:val="20"/>
          <w:szCs w:val="20"/>
        </w:rPr>
        <w:t xml:space="preserve">development partners, </w:t>
      </w:r>
      <w:r w:rsidRPr="00C474D1">
        <w:rPr>
          <w:rFonts w:ascii="Source Sans Pro" w:hAnsi="Source Sans Pro" w:cs="Calibri"/>
          <w:color w:val="000000" w:themeColor="text1"/>
          <w:sz w:val="20"/>
          <w:szCs w:val="20"/>
        </w:rPr>
        <w:t>non</w:t>
      </w:r>
      <w:r w:rsidR="00F17D60" w:rsidRPr="00C474D1">
        <w:rPr>
          <w:rFonts w:ascii="Source Sans Pro" w:hAnsi="Source Sans Pro" w:cs="Calibri"/>
          <w:color w:val="000000" w:themeColor="text1"/>
          <w:sz w:val="20"/>
          <w:szCs w:val="20"/>
        </w:rPr>
        <w:t>-</w:t>
      </w:r>
      <w:r w:rsidRPr="00C474D1">
        <w:rPr>
          <w:rFonts w:ascii="Source Sans Pro" w:hAnsi="Source Sans Pro" w:cs="Calibri"/>
          <w:color w:val="000000" w:themeColor="text1"/>
          <w:sz w:val="20"/>
          <w:szCs w:val="20"/>
        </w:rPr>
        <w:t xml:space="preserve">governmental organizations, affected communities, donors, academic institutions and specialized teams. Coordination structures such as the Health Cluster within the United Nations Humanitarian Cluster Approach </w:t>
      </w:r>
      <w:r w:rsidR="0048000C" w:rsidRPr="00374CE9">
        <w:rPr>
          <w:rFonts w:ascii="Source Sans Pro" w:hAnsi="Source Sans Pro" w:cs="Calibri"/>
          <w:i/>
          <w:iCs/>
          <w:noProof/>
          <w:color w:val="000000" w:themeColor="text1"/>
          <w:sz w:val="20"/>
          <w:szCs w:val="20"/>
        </w:rPr>
        <w:t>(3)</w:t>
      </w:r>
      <w:r w:rsidRPr="00C474D1">
        <w:rPr>
          <w:rFonts w:ascii="Source Sans Pro" w:hAnsi="Source Sans Pro" w:cs="Calibri"/>
          <w:color w:val="000000" w:themeColor="text1"/>
          <w:sz w:val="20"/>
          <w:szCs w:val="20"/>
        </w:rPr>
        <w:t xml:space="preserve">, Humanitarian Response Plans (HRPs) </w:t>
      </w:r>
      <w:r w:rsidR="0048000C" w:rsidRPr="00374CE9">
        <w:rPr>
          <w:rFonts w:ascii="Source Sans Pro" w:hAnsi="Source Sans Pro" w:cs="Calibri"/>
          <w:i/>
          <w:iCs/>
          <w:noProof/>
          <w:color w:val="000000" w:themeColor="text1"/>
          <w:sz w:val="20"/>
          <w:szCs w:val="20"/>
        </w:rPr>
        <w:t>(4)</w:t>
      </w:r>
      <w:r w:rsidRPr="00C474D1">
        <w:rPr>
          <w:rFonts w:ascii="Source Sans Pro" w:hAnsi="Source Sans Pro" w:cs="Calibri"/>
          <w:color w:val="000000" w:themeColor="text1"/>
          <w:sz w:val="20"/>
          <w:szCs w:val="20"/>
        </w:rPr>
        <w:t xml:space="preserve">, and Refugee Response Plans (RRPs) </w:t>
      </w:r>
      <w:r w:rsidR="0048000C" w:rsidRPr="00374CE9">
        <w:rPr>
          <w:rFonts w:ascii="Source Sans Pro" w:hAnsi="Source Sans Pro" w:cs="Calibri"/>
          <w:i/>
          <w:iCs/>
          <w:noProof/>
          <w:color w:val="000000" w:themeColor="text1"/>
          <w:sz w:val="20"/>
          <w:szCs w:val="20"/>
        </w:rPr>
        <w:t>(5)</w:t>
      </w:r>
      <w:r w:rsidRPr="00C474D1">
        <w:rPr>
          <w:rFonts w:ascii="Source Sans Pro" w:hAnsi="Source Sans Pro" w:cs="Calibri"/>
          <w:color w:val="000000" w:themeColor="text1"/>
          <w:sz w:val="20"/>
          <w:szCs w:val="20"/>
        </w:rPr>
        <w:t xml:space="preserve"> help align actors around shared priorities. </w:t>
      </w:r>
    </w:p>
    <w:p w14:paraId="762A5C3D" w14:textId="77777777" w:rsidR="001E2321" w:rsidRPr="00C474D1" w:rsidRDefault="001E2321" w:rsidP="00C474D1">
      <w:pPr>
        <w:tabs>
          <w:tab w:val="left" w:pos="2088"/>
          <w:tab w:val="left" w:pos="8118"/>
        </w:tabs>
        <w:spacing w:line="276" w:lineRule="auto"/>
        <w:rPr>
          <w:rFonts w:ascii="Source Sans Pro" w:hAnsi="Source Sans Pro" w:cs="Calibri"/>
          <w:color w:val="000000" w:themeColor="text1"/>
          <w:sz w:val="20"/>
          <w:szCs w:val="20"/>
        </w:rPr>
      </w:pPr>
    </w:p>
    <w:p w14:paraId="5221801A" w14:textId="2CA15314" w:rsidR="001E2321" w:rsidRPr="00C474D1" w:rsidRDefault="001E2321" w:rsidP="00C474D1">
      <w:p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Sexual</w:t>
      </w:r>
      <w:r w:rsidR="000A3C11" w:rsidRPr="00C474D1">
        <w:rPr>
          <w:rFonts w:ascii="Source Sans Pro" w:hAnsi="Source Sans Pro" w:cs="Calibri"/>
          <w:color w:val="000000" w:themeColor="text1"/>
          <w:sz w:val="20"/>
          <w:szCs w:val="20"/>
        </w:rPr>
        <w:t>,</w:t>
      </w:r>
      <w:r w:rsidRPr="00C474D1">
        <w:rPr>
          <w:rFonts w:ascii="Source Sans Pro" w:hAnsi="Source Sans Pro" w:cs="Calibri"/>
          <w:color w:val="000000" w:themeColor="text1"/>
          <w:sz w:val="20"/>
          <w:szCs w:val="20"/>
        </w:rPr>
        <w:t xml:space="preserve"> reproductive</w:t>
      </w:r>
      <w:r w:rsidR="000A3C11" w:rsidRPr="00C474D1">
        <w:rPr>
          <w:rFonts w:ascii="Source Sans Pro" w:hAnsi="Source Sans Pro" w:cs="Calibri"/>
          <w:color w:val="000000" w:themeColor="text1"/>
          <w:sz w:val="20"/>
          <w:szCs w:val="20"/>
        </w:rPr>
        <w:t xml:space="preserve"> and maternal</w:t>
      </w:r>
      <w:r w:rsidRPr="00C474D1">
        <w:rPr>
          <w:rFonts w:ascii="Source Sans Pro" w:hAnsi="Source Sans Pro" w:cs="Calibri"/>
          <w:color w:val="000000" w:themeColor="text1"/>
          <w:sz w:val="20"/>
          <w:szCs w:val="20"/>
        </w:rPr>
        <w:t xml:space="preserve"> health is a core component of humanitarian health and there are existing resources to support Ministries of Health in assuring access to care, including for PPH. Key resources for addressing humanitarian health needs include:</w:t>
      </w:r>
    </w:p>
    <w:p w14:paraId="6A3C4D85" w14:textId="69023D02" w:rsidR="001E2321" w:rsidRPr="00C474D1" w:rsidRDefault="001E2321" w:rsidP="00C474D1">
      <w:pPr>
        <w:pStyle w:val="ListParagraph"/>
        <w:numPr>
          <w:ilvl w:val="0"/>
          <w:numId w:val="12"/>
        </w:num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b/>
          <w:bCs/>
          <w:color w:val="000000" w:themeColor="text1"/>
          <w:sz w:val="20"/>
          <w:szCs w:val="20"/>
        </w:rPr>
        <w:t>WHO</w:t>
      </w:r>
      <w:r w:rsidRPr="00C474D1">
        <w:rPr>
          <w:rFonts w:ascii="Source Sans Pro" w:hAnsi="Source Sans Pro" w:cs="Calibri"/>
          <w:color w:val="000000" w:themeColor="text1"/>
          <w:sz w:val="20"/>
          <w:szCs w:val="20"/>
        </w:rPr>
        <w:t xml:space="preserve"> – provides system-level guidance and technical assistance</w:t>
      </w:r>
      <w:r w:rsidR="00374CE9">
        <w:rPr>
          <w:rFonts w:ascii="Source Sans Pro" w:hAnsi="Source Sans Pro" w:cs="Calibri"/>
          <w:color w:val="000000" w:themeColor="text1"/>
          <w:sz w:val="20"/>
          <w:szCs w:val="20"/>
        </w:rPr>
        <w:t>.</w:t>
      </w:r>
    </w:p>
    <w:p w14:paraId="2676CC9F" w14:textId="15EB63A6" w:rsidR="001E2321" w:rsidRPr="00C474D1" w:rsidRDefault="001E2321" w:rsidP="00C474D1">
      <w:pPr>
        <w:pStyle w:val="ListParagraph"/>
        <w:numPr>
          <w:ilvl w:val="0"/>
          <w:numId w:val="12"/>
        </w:num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b/>
          <w:bCs/>
          <w:color w:val="000000" w:themeColor="text1"/>
          <w:sz w:val="20"/>
          <w:szCs w:val="20"/>
        </w:rPr>
        <w:t>UNFPA</w:t>
      </w:r>
      <w:r w:rsidRPr="00C474D1">
        <w:rPr>
          <w:rFonts w:ascii="Source Sans Pro" w:hAnsi="Source Sans Pro" w:cs="Calibri"/>
          <w:color w:val="000000" w:themeColor="text1"/>
          <w:sz w:val="20"/>
          <w:szCs w:val="20"/>
        </w:rPr>
        <w:t xml:space="preserve"> – supports sexual and reproductive health service delivery, including through provision of Emergency Reproductive Health Kits</w:t>
      </w:r>
      <w:r w:rsidR="00374CE9">
        <w:rPr>
          <w:rFonts w:ascii="Source Sans Pro" w:hAnsi="Source Sans Pro" w:cs="Calibri"/>
          <w:color w:val="000000" w:themeColor="text1"/>
          <w:sz w:val="20"/>
          <w:szCs w:val="20"/>
        </w:rPr>
        <w:t>.</w:t>
      </w:r>
    </w:p>
    <w:p w14:paraId="3694B96B" w14:textId="757528F8" w:rsidR="001E2321" w:rsidRPr="00C474D1" w:rsidRDefault="001E2321" w:rsidP="00C474D1">
      <w:pPr>
        <w:pStyle w:val="ListParagraph"/>
        <w:numPr>
          <w:ilvl w:val="0"/>
          <w:numId w:val="12"/>
        </w:num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b/>
          <w:bCs/>
          <w:color w:val="000000" w:themeColor="text1"/>
          <w:sz w:val="20"/>
          <w:szCs w:val="20"/>
        </w:rPr>
        <w:t>Inter-Agency Working Group on Reproductive Health in Crises</w:t>
      </w:r>
      <w:r w:rsidRPr="00C474D1">
        <w:rPr>
          <w:rFonts w:ascii="Source Sans Pro" w:hAnsi="Source Sans Pro" w:cs="Calibri"/>
          <w:color w:val="000000" w:themeColor="text1"/>
          <w:sz w:val="20"/>
          <w:szCs w:val="20"/>
        </w:rPr>
        <w:t xml:space="preserve"> (IAWG, pronounced “</w:t>
      </w:r>
      <w:r w:rsidR="0048000C" w:rsidRPr="00C474D1">
        <w:rPr>
          <w:rFonts w:ascii="Source Sans Pro" w:hAnsi="Source Sans Pro" w:cs="Calibri"/>
          <w:color w:val="000000" w:themeColor="text1"/>
          <w:sz w:val="20"/>
          <w:szCs w:val="20"/>
        </w:rPr>
        <w:t>EYE</w:t>
      </w:r>
      <w:r w:rsidRPr="00C474D1">
        <w:rPr>
          <w:rFonts w:ascii="Source Sans Pro" w:hAnsi="Source Sans Pro" w:cs="Calibri"/>
          <w:color w:val="000000" w:themeColor="text1"/>
          <w:sz w:val="20"/>
          <w:szCs w:val="20"/>
        </w:rPr>
        <w:t>-wag”) – provides technical tools and resources, including the Inter-Agency Field Manual on Reproductive Health in Humanitarian Settings</w:t>
      </w:r>
      <w:r w:rsidR="00CA563E" w:rsidRPr="00C474D1">
        <w:rPr>
          <w:rFonts w:ascii="Source Sans Pro" w:hAnsi="Source Sans Pro" w:cs="Calibri"/>
          <w:color w:val="000000" w:themeColor="text1"/>
          <w:sz w:val="20"/>
          <w:szCs w:val="20"/>
        </w:rPr>
        <w:t xml:space="preserve"> </w:t>
      </w:r>
      <w:r w:rsidR="0048000C" w:rsidRPr="00374CE9">
        <w:rPr>
          <w:rFonts w:ascii="Source Sans Pro" w:hAnsi="Source Sans Pro" w:cs="Calibri"/>
          <w:i/>
          <w:iCs/>
          <w:noProof/>
          <w:color w:val="000000" w:themeColor="text1"/>
          <w:sz w:val="20"/>
          <w:szCs w:val="20"/>
        </w:rPr>
        <w:t>(6)</w:t>
      </w:r>
      <w:r w:rsidR="00374CE9">
        <w:rPr>
          <w:rFonts w:ascii="Source Sans Pro" w:hAnsi="Source Sans Pro" w:cs="Calibri"/>
          <w:color w:val="000000" w:themeColor="text1"/>
          <w:sz w:val="20"/>
          <w:szCs w:val="20"/>
        </w:rPr>
        <w:t>.</w:t>
      </w:r>
    </w:p>
    <w:p w14:paraId="029A068E" w14:textId="5A49F36B" w:rsidR="001E2321" w:rsidRDefault="001E2321" w:rsidP="00C474D1">
      <w:pPr>
        <w:pStyle w:val="ListParagraph"/>
        <w:numPr>
          <w:ilvl w:val="0"/>
          <w:numId w:val="12"/>
        </w:numPr>
        <w:tabs>
          <w:tab w:val="left" w:pos="2088"/>
          <w:tab w:val="left" w:pos="8118"/>
        </w:tabs>
        <w:spacing w:line="276" w:lineRule="auto"/>
        <w:rPr>
          <w:rFonts w:ascii="Source Sans Pro" w:hAnsi="Source Sans Pro" w:cs="Calibri"/>
          <w:color w:val="000000" w:themeColor="text1"/>
          <w:sz w:val="20"/>
          <w:szCs w:val="20"/>
        </w:rPr>
      </w:pPr>
      <w:r w:rsidRPr="00C474D1">
        <w:rPr>
          <w:rFonts w:ascii="Source Sans Pro" w:hAnsi="Source Sans Pro" w:cs="Calibri"/>
          <w:b/>
          <w:bCs/>
          <w:color w:val="000000" w:themeColor="text1"/>
          <w:sz w:val="20"/>
          <w:szCs w:val="20"/>
        </w:rPr>
        <w:t>Minimum Initial Service Package (MISP)</w:t>
      </w:r>
      <w:r w:rsidRPr="00C474D1">
        <w:rPr>
          <w:rFonts w:ascii="Source Sans Pro" w:hAnsi="Source Sans Pro" w:cs="Calibri"/>
          <w:color w:val="000000" w:themeColor="text1"/>
          <w:sz w:val="20"/>
          <w:szCs w:val="20"/>
        </w:rPr>
        <w:t xml:space="preserve"> </w:t>
      </w:r>
      <w:r w:rsidRPr="00C474D1">
        <w:rPr>
          <w:rFonts w:ascii="Source Sans Pro" w:hAnsi="Source Sans Pro" w:cs="Calibri"/>
          <w:b/>
          <w:bCs/>
          <w:color w:val="000000" w:themeColor="text1"/>
          <w:sz w:val="20"/>
          <w:szCs w:val="20"/>
        </w:rPr>
        <w:t>for Sexual and Reproductive Health in Crisis Situations</w:t>
      </w:r>
      <w:r w:rsidRPr="00C474D1">
        <w:rPr>
          <w:rFonts w:ascii="Source Sans Pro" w:hAnsi="Source Sans Pro" w:cs="Calibri"/>
          <w:color w:val="000000" w:themeColor="text1"/>
          <w:sz w:val="20"/>
          <w:szCs w:val="20"/>
        </w:rPr>
        <w:t xml:space="preserve"> – details the essential set of sexual and reproductive health actions to be </w:t>
      </w:r>
      <w:r w:rsidR="00636E9C" w:rsidRPr="00C474D1">
        <w:rPr>
          <w:rFonts w:ascii="Source Sans Pro" w:hAnsi="Source Sans Pro" w:cs="Calibri"/>
          <w:color w:val="000000" w:themeColor="text1"/>
          <w:sz w:val="20"/>
          <w:szCs w:val="20"/>
        </w:rPr>
        <w:t xml:space="preserve">initiated </w:t>
      </w:r>
      <w:r w:rsidRPr="00C474D1">
        <w:rPr>
          <w:rFonts w:ascii="Source Sans Pro" w:hAnsi="Source Sans Pro" w:cs="Calibri"/>
          <w:color w:val="000000" w:themeColor="text1"/>
          <w:sz w:val="20"/>
          <w:szCs w:val="20"/>
        </w:rPr>
        <w:t xml:space="preserve">within the first 48 hours of </w:t>
      </w:r>
      <w:r w:rsidRPr="00C474D1">
        <w:rPr>
          <w:rFonts w:ascii="Source Sans Pro" w:hAnsi="Source Sans Pro" w:cs="Calibri"/>
          <w:color w:val="000000" w:themeColor="text1"/>
          <w:sz w:val="20"/>
          <w:szCs w:val="20"/>
        </w:rPr>
        <w:lastRenderedPageBreak/>
        <w:t xml:space="preserve">the onset of a crisis </w:t>
      </w:r>
      <w:r w:rsidR="00F17D60" w:rsidRPr="00C474D1">
        <w:rPr>
          <w:rFonts w:ascii="Source Sans Pro" w:hAnsi="Source Sans Pro" w:cs="Calibri"/>
          <w:color w:val="000000" w:themeColor="text1"/>
          <w:sz w:val="20"/>
          <w:szCs w:val="20"/>
        </w:rPr>
        <w:t xml:space="preserve">and expanded as the situation and resources permit </w:t>
      </w:r>
      <w:r w:rsidRPr="00C474D1">
        <w:rPr>
          <w:rFonts w:ascii="Source Sans Pro" w:hAnsi="Source Sans Pro" w:cs="Calibri"/>
          <w:color w:val="000000" w:themeColor="text1"/>
          <w:sz w:val="20"/>
          <w:szCs w:val="20"/>
        </w:rPr>
        <w:t xml:space="preserve">to reduce maternal morbidity and mortality (includes planning tools, coordination guidance, and access to emergency reproductive health kits) </w:t>
      </w:r>
      <w:r w:rsidR="0048000C" w:rsidRPr="00374CE9">
        <w:rPr>
          <w:rFonts w:ascii="Source Sans Pro" w:hAnsi="Source Sans Pro" w:cs="Calibri"/>
          <w:i/>
          <w:iCs/>
          <w:noProof/>
          <w:color w:val="000000" w:themeColor="text1"/>
          <w:sz w:val="20"/>
          <w:szCs w:val="20"/>
        </w:rPr>
        <w:t>(7)</w:t>
      </w:r>
      <w:r w:rsidRPr="00C474D1">
        <w:rPr>
          <w:rFonts w:ascii="Source Sans Pro" w:hAnsi="Source Sans Pro" w:cs="Calibri"/>
          <w:color w:val="000000" w:themeColor="text1"/>
          <w:sz w:val="20"/>
          <w:szCs w:val="20"/>
        </w:rPr>
        <w:t>.</w:t>
      </w:r>
    </w:p>
    <w:p w14:paraId="0E19205B" w14:textId="77777777" w:rsidR="004733F5" w:rsidRPr="00C474D1" w:rsidRDefault="004733F5" w:rsidP="004733F5">
      <w:pPr>
        <w:pStyle w:val="ListParagraph"/>
        <w:tabs>
          <w:tab w:val="left" w:pos="2088"/>
          <w:tab w:val="left" w:pos="8118"/>
        </w:tabs>
        <w:spacing w:line="276" w:lineRule="auto"/>
        <w:rPr>
          <w:rFonts w:ascii="Source Sans Pro" w:hAnsi="Source Sans Pro" w:cs="Calibri"/>
          <w:color w:val="000000" w:themeColor="text1"/>
          <w:sz w:val="20"/>
          <w:szCs w:val="20"/>
        </w:rPr>
      </w:pPr>
    </w:p>
    <w:p w14:paraId="3E1FCFD0" w14:textId="055D6071" w:rsidR="001E2321" w:rsidRPr="00C474D1" w:rsidRDefault="001E2321"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Most Ministries of Health responding to a humanitarian emergency need to do so while also stewarding usual care in other geographies. Some need to simultaneously manage multiple different types of humanitarian </w:t>
      </w:r>
      <w:r w:rsidR="000A3C11" w:rsidRPr="00C474D1">
        <w:rPr>
          <w:rFonts w:ascii="Source Sans Pro" w:hAnsi="Source Sans Pro" w:cs="Calibri"/>
          <w:color w:val="000000" w:themeColor="text1"/>
          <w:sz w:val="20"/>
          <w:szCs w:val="20"/>
        </w:rPr>
        <w:t>crises</w:t>
      </w:r>
      <w:r w:rsidRPr="00C474D1">
        <w:rPr>
          <w:rFonts w:ascii="Source Sans Pro" w:hAnsi="Source Sans Pro" w:cs="Calibri"/>
          <w:color w:val="000000" w:themeColor="text1"/>
          <w:sz w:val="20"/>
          <w:szCs w:val="20"/>
        </w:rPr>
        <w:t xml:space="preserve">. Developing clear plans for which agencies and partners will engage in the immediate, acute phase of a crisis and which will be responsible for longer-term recovery is essential to timely and coordinated response. </w:t>
      </w:r>
      <w:r w:rsidR="0048000C" w:rsidRPr="00C474D1">
        <w:rPr>
          <w:rFonts w:ascii="Source Sans Pro" w:hAnsi="Source Sans Pro" w:cs="Calibri"/>
          <w:color w:val="000000" w:themeColor="text1"/>
          <w:sz w:val="20"/>
          <w:szCs w:val="20"/>
        </w:rPr>
        <w:t xml:space="preserve">For example, an important planning </w:t>
      </w:r>
      <w:r w:rsidRPr="00C474D1">
        <w:rPr>
          <w:rFonts w:ascii="Source Sans Pro" w:hAnsi="Source Sans Pro" w:cs="Calibri"/>
          <w:color w:val="000000" w:themeColor="text1"/>
          <w:sz w:val="20"/>
          <w:szCs w:val="20"/>
        </w:rPr>
        <w:t xml:space="preserve">consideration is </w:t>
      </w:r>
      <w:r w:rsidR="0048000C" w:rsidRPr="00C474D1">
        <w:rPr>
          <w:rFonts w:ascii="Source Sans Pro" w:hAnsi="Source Sans Pro" w:cs="Calibri"/>
          <w:color w:val="000000" w:themeColor="text1"/>
          <w:sz w:val="20"/>
          <w:szCs w:val="20"/>
        </w:rPr>
        <w:t xml:space="preserve">determining </w:t>
      </w:r>
      <w:r w:rsidRPr="00C474D1">
        <w:rPr>
          <w:rFonts w:ascii="Source Sans Pro" w:hAnsi="Source Sans Pro" w:cs="Calibri"/>
          <w:color w:val="000000" w:themeColor="text1"/>
          <w:sz w:val="20"/>
          <w:szCs w:val="20"/>
        </w:rPr>
        <w:t>how displaced populations will interact with host</w:t>
      </w:r>
      <w:r w:rsidR="000A3C11" w:rsidRPr="00C474D1">
        <w:rPr>
          <w:rFonts w:ascii="Source Sans Pro" w:hAnsi="Source Sans Pro" w:cs="Calibri"/>
          <w:color w:val="000000" w:themeColor="text1"/>
          <w:sz w:val="20"/>
          <w:szCs w:val="20"/>
        </w:rPr>
        <w:t>/transit</w:t>
      </w:r>
      <w:r w:rsidRPr="00C474D1">
        <w:rPr>
          <w:rFonts w:ascii="Source Sans Pro" w:hAnsi="Source Sans Pro" w:cs="Calibri"/>
          <w:color w:val="000000" w:themeColor="text1"/>
          <w:sz w:val="20"/>
          <w:szCs w:val="20"/>
        </w:rPr>
        <w:t xml:space="preserve"> communities. Internally displaced persons and refugees may rely on both humanitarian services and existing local infrastructure, which can strain resources and create tensions. Ensuring equitable and sufficient support for all groups helps prevent conflict and supports social cohesion.</w:t>
      </w:r>
      <w:r w:rsidR="0048000C" w:rsidRPr="00C474D1">
        <w:rPr>
          <w:rFonts w:ascii="Source Sans Pro" w:hAnsi="Source Sans Pro" w:cs="Calibri"/>
          <w:color w:val="000000" w:themeColor="text1"/>
          <w:sz w:val="20"/>
          <w:szCs w:val="20"/>
        </w:rPr>
        <w:t xml:space="preserve"> Working with both humanitarian health and development partners to plan for </w:t>
      </w:r>
      <w:r w:rsidR="00A6286D" w:rsidRPr="00C474D1">
        <w:rPr>
          <w:rFonts w:ascii="Source Sans Pro" w:hAnsi="Source Sans Pro" w:cs="Calibri"/>
          <w:color w:val="000000" w:themeColor="text1"/>
          <w:sz w:val="20"/>
          <w:szCs w:val="20"/>
        </w:rPr>
        <w:t>how to manage this challenge can make implementation run more smoothly</w:t>
      </w:r>
      <w:r w:rsidR="0048000C" w:rsidRPr="00C474D1">
        <w:rPr>
          <w:rFonts w:ascii="Source Sans Pro" w:hAnsi="Source Sans Pro" w:cs="Calibri"/>
          <w:color w:val="000000" w:themeColor="text1"/>
          <w:sz w:val="20"/>
          <w:szCs w:val="20"/>
        </w:rPr>
        <w:t xml:space="preserve"> </w:t>
      </w:r>
      <w:r w:rsidR="0048000C" w:rsidRPr="00374CE9">
        <w:rPr>
          <w:rFonts w:ascii="Source Sans Pro" w:hAnsi="Source Sans Pro" w:cs="Calibri"/>
          <w:i/>
          <w:iCs/>
          <w:noProof/>
          <w:color w:val="000000" w:themeColor="text1"/>
          <w:sz w:val="20"/>
          <w:szCs w:val="20"/>
        </w:rPr>
        <w:t>(8)</w:t>
      </w:r>
      <w:r w:rsidR="0048000C" w:rsidRPr="00C474D1">
        <w:rPr>
          <w:rFonts w:ascii="Source Sans Pro" w:hAnsi="Source Sans Pro" w:cs="Calibri"/>
          <w:color w:val="000000" w:themeColor="text1"/>
          <w:sz w:val="20"/>
          <w:szCs w:val="20"/>
        </w:rPr>
        <w:t>.</w:t>
      </w:r>
    </w:p>
    <w:p w14:paraId="58E80D6D" w14:textId="77777777" w:rsidR="004733F5" w:rsidRDefault="004733F5" w:rsidP="00C474D1">
      <w:pPr>
        <w:pBdr>
          <w:bottom w:val="single" w:sz="4" w:space="1" w:color="auto"/>
        </w:pBdr>
        <w:tabs>
          <w:tab w:val="left" w:pos="2088"/>
          <w:tab w:val="left" w:pos="8118"/>
        </w:tabs>
        <w:spacing w:after="120" w:line="276" w:lineRule="auto"/>
        <w:rPr>
          <w:rFonts w:ascii="Source Sans Pro" w:hAnsi="Source Sans Pro" w:cs="Calibri"/>
          <w:b/>
          <w:bCs/>
          <w:color w:val="000000" w:themeColor="text1"/>
          <w:sz w:val="20"/>
          <w:szCs w:val="20"/>
        </w:rPr>
      </w:pPr>
    </w:p>
    <w:p w14:paraId="6C18AFC6" w14:textId="74FAE9CB" w:rsidR="008C5C99" w:rsidRPr="00C474D1" w:rsidRDefault="008C5C99" w:rsidP="00C474D1">
      <w:pPr>
        <w:pBdr>
          <w:bottom w:val="single" w:sz="4" w:space="1" w:color="auto"/>
        </w:pBd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b/>
          <w:bCs/>
          <w:color w:val="000000" w:themeColor="text1"/>
          <w:sz w:val="20"/>
          <w:szCs w:val="20"/>
        </w:rPr>
        <w:t>Challenges to implementing PPH recommendations in humanitarian contexts</w:t>
      </w:r>
    </w:p>
    <w:p w14:paraId="48AB6833" w14:textId="26A3F748" w:rsidR="004664BD" w:rsidRPr="00C474D1" w:rsidRDefault="004664BD"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Implementing </w:t>
      </w:r>
      <w:r w:rsidR="00A047C8" w:rsidRPr="00C474D1">
        <w:rPr>
          <w:rFonts w:ascii="Source Sans Pro" w:hAnsi="Source Sans Pro" w:cs="Calibri"/>
          <w:color w:val="000000" w:themeColor="text1"/>
          <w:sz w:val="20"/>
          <w:szCs w:val="20"/>
        </w:rPr>
        <w:t>PPH</w:t>
      </w:r>
      <w:r w:rsidRPr="00C474D1">
        <w:rPr>
          <w:rFonts w:ascii="Source Sans Pro" w:hAnsi="Source Sans Pro" w:cs="Calibri"/>
          <w:color w:val="000000" w:themeColor="text1"/>
          <w:sz w:val="20"/>
          <w:szCs w:val="20"/>
        </w:rPr>
        <w:t xml:space="preserve"> recommendations in humanitarian settings requires adapting to multiple on-the-ground challenges</w:t>
      </w:r>
      <w:r w:rsidR="008852A8" w:rsidRPr="00C474D1">
        <w:rPr>
          <w:rFonts w:ascii="Source Sans Pro" w:hAnsi="Source Sans Pro" w:cs="Calibri"/>
          <w:color w:val="000000" w:themeColor="text1"/>
          <w:sz w:val="20"/>
          <w:szCs w:val="20"/>
        </w:rPr>
        <w:t xml:space="preserve"> (Table 1)</w:t>
      </w:r>
      <w:r w:rsidRPr="00C474D1">
        <w:rPr>
          <w:rFonts w:ascii="Source Sans Pro" w:hAnsi="Source Sans Pro" w:cs="Calibri"/>
          <w:color w:val="000000" w:themeColor="text1"/>
          <w:sz w:val="20"/>
          <w:szCs w:val="20"/>
        </w:rPr>
        <w:t>.</w:t>
      </w:r>
    </w:p>
    <w:tbl>
      <w:tblPr>
        <w:tblStyle w:val="TableGrid"/>
        <w:tblW w:w="0" w:type="auto"/>
        <w:tblLook w:val="04A0" w:firstRow="1" w:lastRow="0" w:firstColumn="1" w:lastColumn="0" w:noHBand="0" w:noVBand="1"/>
      </w:tblPr>
      <w:tblGrid>
        <w:gridCol w:w="3235"/>
        <w:gridCol w:w="3240"/>
        <w:gridCol w:w="3240"/>
      </w:tblGrid>
      <w:tr w:rsidR="00E25389" w:rsidRPr="00C474D1" w14:paraId="6DB31249" w14:textId="77777777" w:rsidTr="00C474D1">
        <w:tc>
          <w:tcPr>
            <w:tcW w:w="9715" w:type="dxa"/>
            <w:gridSpan w:val="3"/>
          </w:tcPr>
          <w:p w14:paraId="06906D05" w14:textId="77777777" w:rsidR="00E25389" w:rsidRPr="00C474D1" w:rsidRDefault="00E25389" w:rsidP="00C474D1">
            <w:pPr>
              <w:tabs>
                <w:tab w:val="left" w:pos="2088"/>
                <w:tab w:val="left" w:pos="8118"/>
              </w:tabs>
              <w:spacing w:after="120" w:line="276" w:lineRule="auto"/>
              <w:rPr>
                <w:rFonts w:ascii="Source Sans Pro" w:hAnsi="Source Sans Pro" w:cs="Calibri"/>
                <w:b/>
                <w:bCs/>
                <w:color w:val="000000" w:themeColor="text1"/>
                <w:sz w:val="20"/>
                <w:szCs w:val="20"/>
              </w:rPr>
            </w:pPr>
            <w:r w:rsidRPr="00C474D1">
              <w:rPr>
                <w:rFonts w:ascii="Source Sans Pro" w:hAnsi="Source Sans Pro" w:cs="Calibri"/>
                <w:b/>
                <w:bCs/>
                <w:color w:val="000000" w:themeColor="text1"/>
                <w:sz w:val="20"/>
                <w:szCs w:val="20"/>
              </w:rPr>
              <w:t>Table 1: Categories of challenges to implementing recommendations on the prevention, diagnosis and treatment of PPH in humanitarian settings</w:t>
            </w:r>
          </w:p>
        </w:tc>
      </w:tr>
      <w:tr w:rsidR="00E25389" w:rsidRPr="00C474D1" w14:paraId="5D127B21" w14:textId="77777777" w:rsidTr="00C474D1">
        <w:tc>
          <w:tcPr>
            <w:tcW w:w="3235" w:type="dxa"/>
          </w:tcPr>
          <w:p w14:paraId="09D16093" w14:textId="77777777" w:rsidR="00E25389" w:rsidRPr="00C474D1" w:rsidRDefault="00E25389" w:rsidP="00C474D1">
            <w:pPr>
              <w:tabs>
                <w:tab w:val="left" w:pos="2088"/>
                <w:tab w:val="left" w:pos="8118"/>
              </w:tabs>
              <w:spacing w:after="120" w:line="276" w:lineRule="auto"/>
              <w:rPr>
                <w:rFonts w:ascii="Source Sans Pro" w:hAnsi="Source Sans Pro" w:cs="Calibri"/>
                <w:b/>
                <w:bCs/>
                <w:color w:val="000000" w:themeColor="text1"/>
                <w:sz w:val="20"/>
                <w:szCs w:val="20"/>
              </w:rPr>
            </w:pPr>
            <w:r w:rsidRPr="00C474D1">
              <w:rPr>
                <w:rFonts w:ascii="Source Sans Pro" w:hAnsi="Source Sans Pro" w:cs="Calibri"/>
                <w:b/>
                <w:bCs/>
                <w:color w:val="000000" w:themeColor="text1"/>
                <w:sz w:val="20"/>
                <w:szCs w:val="20"/>
              </w:rPr>
              <w:t>Sociodemographic and Cultural Factors</w:t>
            </w:r>
          </w:p>
          <w:p w14:paraId="511B38FB" w14:textId="25E3FED5" w:rsidR="00680972" w:rsidRPr="00C474D1" w:rsidRDefault="00680972"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Cultural norms, language barriers, health literac</w:t>
            </w:r>
            <w:r w:rsidR="00374CE9">
              <w:rPr>
                <w:rFonts w:ascii="Source Sans Pro" w:hAnsi="Source Sans Pro" w:cs="Calibri"/>
                <w:color w:val="000000" w:themeColor="text1"/>
                <w:sz w:val="20"/>
                <w:szCs w:val="20"/>
              </w:rPr>
              <w:t>y</w:t>
            </w:r>
            <w:r w:rsidRPr="00C474D1">
              <w:rPr>
                <w:rFonts w:ascii="Source Sans Pro" w:hAnsi="Source Sans Pro" w:cs="Calibri"/>
                <w:color w:val="000000" w:themeColor="text1"/>
                <w:sz w:val="20"/>
                <w:szCs w:val="20"/>
              </w:rPr>
              <w:t xml:space="preserve"> and geographic isolation can reduce access to care and limit outreach to vulnerable populations. These structural factors must be considered to ensure equitable implementation</w:t>
            </w:r>
            <w:r w:rsidR="00A477CF" w:rsidRPr="00C474D1">
              <w:rPr>
                <w:rFonts w:ascii="Source Sans Pro" w:hAnsi="Source Sans Pro" w:cs="Calibri"/>
                <w:color w:val="000000" w:themeColor="text1"/>
                <w:sz w:val="20"/>
                <w:szCs w:val="20"/>
              </w:rPr>
              <w:t xml:space="preserve"> </w:t>
            </w:r>
            <w:r w:rsidR="00A477CF" w:rsidRPr="00374CE9">
              <w:rPr>
                <w:rFonts w:ascii="Source Sans Pro" w:hAnsi="Source Sans Pro" w:cs="Calibri"/>
                <w:i/>
                <w:iCs/>
                <w:noProof/>
                <w:color w:val="000000" w:themeColor="text1"/>
                <w:sz w:val="20"/>
                <w:szCs w:val="20"/>
              </w:rPr>
              <w:t>(9)</w:t>
            </w:r>
            <w:r w:rsidRPr="00C474D1">
              <w:rPr>
                <w:rFonts w:ascii="Source Sans Pro" w:hAnsi="Source Sans Pro" w:cs="Calibri"/>
                <w:color w:val="000000" w:themeColor="text1"/>
                <w:sz w:val="20"/>
                <w:szCs w:val="20"/>
              </w:rPr>
              <w:t>.</w:t>
            </w:r>
          </w:p>
          <w:p w14:paraId="09F1214A" w14:textId="01EBE6B8" w:rsidR="00663D75" w:rsidRPr="00C474D1" w:rsidRDefault="00663D75"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Gender inequalities may be exacerbated and amplified during humanitarian crises, and women can be subject to gendered discrimination and violence.</w:t>
            </w:r>
          </w:p>
        </w:tc>
        <w:tc>
          <w:tcPr>
            <w:tcW w:w="3240" w:type="dxa"/>
          </w:tcPr>
          <w:p w14:paraId="0296D274" w14:textId="77777777" w:rsidR="00E25389" w:rsidRPr="00C474D1" w:rsidRDefault="00E25389" w:rsidP="00C474D1">
            <w:pPr>
              <w:tabs>
                <w:tab w:val="left" w:pos="2088"/>
                <w:tab w:val="left" w:pos="8118"/>
              </w:tabs>
              <w:spacing w:after="120" w:line="276" w:lineRule="auto"/>
              <w:rPr>
                <w:rFonts w:ascii="Source Sans Pro" w:hAnsi="Source Sans Pro" w:cs="Calibri"/>
                <w:b/>
                <w:bCs/>
                <w:color w:val="000000" w:themeColor="text1"/>
                <w:sz w:val="20"/>
                <w:szCs w:val="20"/>
              </w:rPr>
            </w:pPr>
            <w:r w:rsidRPr="00C474D1">
              <w:rPr>
                <w:rFonts w:ascii="Source Sans Pro" w:hAnsi="Source Sans Pro" w:cs="Calibri"/>
                <w:b/>
                <w:bCs/>
                <w:color w:val="000000" w:themeColor="text1"/>
                <w:sz w:val="20"/>
                <w:szCs w:val="20"/>
              </w:rPr>
              <w:t>Access</w:t>
            </w:r>
          </w:p>
          <w:p w14:paraId="55F03525" w14:textId="36B3F377" w:rsidR="00680972" w:rsidRPr="00C474D1" w:rsidRDefault="00680972"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Roadblocks, active conflict, </w:t>
            </w:r>
            <w:r w:rsidR="00320ECF" w:rsidRPr="00C474D1">
              <w:rPr>
                <w:rFonts w:ascii="Source Sans Pro" w:hAnsi="Source Sans Pro" w:cs="Calibri"/>
                <w:color w:val="000000" w:themeColor="text1"/>
                <w:sz w:val="20"/>
                <w:szCs w:val="20"/>
              </w:rPr>
              <w:t xml:space="preserve">floods </w:t>
            </w:r>
            <w:r w:rsidRPr="00C474D1">
              <w:rPr>
                <w:rFonts w:ascii="Source Sans Pro" w:hAnsi="Source Sans Pro" w:cs="Calibri"/>
                <w:color w:val="000000" w:themeColor="text1"/>
                <w:sz w:val="20"/>
                <w:szCs w:val="20"/>
              </w:rPr>
              <w:t>and poor physical access restrict mobility and hinder timely monitoring of service delivery and needs.</w:t>
            </w:r>
          </w:p>
          <w:p w14:paraId="37D17569" w14:textId="0CE85448" w:rsidR="00E25389" w:rsidRPr="00C474D1" w:rsidRDefault="00680972"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Transportation issues and insecurity can prevent both </w:t>
            </w:r>
            <w:r w:rsidR="00663D75" w:rsidRPr="00C474D1">
              <w:rPr>
                <w:rFonts w:ascii="Source Sans Pro" w:hAnsi="Source Sans Pro" w:cs="Calibri"/>
                <w:color w:val="000000" w:themeColor="text1"/>
                <w:sz w:val="20"/>
                <w:szCs w:val="20"/>
              </w:rPr>
              <w:t>women</w:t>
            </w:r>
            <w:r w:rsidRPr="00C474D1">
              <w:rPr>
                <w:rFonts w:ascii="Source Sans Pro" w:hAnsi="Source Sans Pro" w:cs="Calibri"/>
                <w:color w:val="000000" w:themeColor="text1"/>
                <w:sz w:val="20"/>
                <w:szCs w:val="20"/>
              </w:rPr>
              <w:t xml:space="preserve"> and </w:t>
            </w:r>
            <w:r w:rsidR="00663D75" w:rsidRPr="00C474D1">
              <w:rPr>
                <w:rFonts w:ascii="Source Sans Pro" w:hAnsi="Source Sans Pro" w:cs="Calibri"/>
                <w:color w:val="000000" w:themeColor="text1"/>
                <w:sz w:val="20"/>
                <w:szCs w:val="20"/>
              </w:rPr>
              <w:t>health workers</w:t>
            </w:r>
            <w:r w:rsidRPr="00C474D1">
              <w:rPr>
                <w:rFonts w:ascii="Source Sans Pro" w:hAnsi="Source Sans Pro" w:cs="Calibri"/>
                <w:color w:val="000000" w:themeColor="text1"/>
                <w:sz w:val="20"/>
                <w:szCs w:val="20"/>
              </w:rPr>
              <w:t xml:space="preserve"> from accessing services</w:t>
            </w:r>
            <w:r w:rsidR="00E87DAA" w:rsidRPr="00C474D1">
              <w:rPr>
                <w:rFonts w:ascii="Source Sans Pro" w:hAnsi="Source Sans Pro" w:cs="Calibri"/>
                <w:color w:val="000000" w:themeColor="text1"/>
                <w:sz w:val="20"/>
                <w:szCs w:val="20"/>
              </w:rPr>
              <w:t xml:space="preserve">. </w:t>
            </w:r>
            <w:r w:rsidR="00E25389" w:rsidRPr="00C474D1">
              <w:rPr>
                <w:rFonts w:ascii="Source Sans Pro" w:hAnsi="Source Sans Pro" w:cs="Calibri"/>
                <w:color w:val="000000" w:themeColor="text1"/>
                <w:sz w:val="20"/>
                <w:szCs w:val="20"/>
              </w:rPr>
              <w:t>Consequently, women may access care late or not at all</w:t>
            </w:r>
            <w:r w:rsidR="00A477CF" w:rsidRPr="00C474D1">
              <w:rPr>
                <w:rFonts w:ascii="Source Sans Pro" w:hAnsi="Source Sans Pro" w:cs="Calibri"/>
                <w:color w:val="000000" w:themeColor="text1"/>
                <w:sz w:val="20"/>
                <w:szCs w:val="20"/>
              </w:rPr>
              <w:t xml:space="preserve"> </w:t>
            </w:r>
            <w:r w:rsidR="00A477CF" w:rsidRPr="00374CE9">
              <w:rPr>
                <w:rFonts w:ascii="Source Sans Pro" w:hAnsi="Source Sans Pro" w:cs="Calibri"/>
                <w:i/>
                <w:iCs/>
                <w:noProof/>
                <w:color w:val="000000" w:themeColor="text1"/>
                <w:sz w:val="20"/>
                <w:szCs w:val="20"/>
              </w:rPr>
              <w:t>(10)</w:t>
            </w:r>
            <w:r w:rsidR="00E25389" w:rsidRPr="00C474D1">
              <w:rPr>
                <w:rFonts w:ascii="Source Sans Pro" w:hAnsi="Source Sans Pro" w:cs="Calibri"/>
                <w:color w:val="000000" w:themeColor="text1"/>
                <w:sz w:val="20"/>
                <w:szCs w:val="20"/>
              </w:rPr>
              <w:t>.</w:t>
            </w:r>
          </w:p>
        </w:tc>
        <w:tc>
          <w:tcPr>
            <w:tcW w:w="3240" w:type="dxa"/>
          </w:tcPr>
          <w:p w14:paraId="79920FCA" w14:textId="77777777" w:rsidR="00E25389" w:rsidRPr="00C474D1" w:rsidRDefault="00E25389" w:rsidP="00C474D1">
            <w:pPr>
              <w:tabs>
                <w:tab w:val="left" w:pos="2088"/>
                <w:tab w:val="left" w:pos="8118"/>
              </w:tabs>
              <w:spacing w:after="120" w:line="276" w:lineRule="auto"/>
              <w:rPr>
                <w:rFonts w:ascii="Source Sans Pro" w:hAnsi="Source Sans Pro" w:cs="Calibri"/>
                <w:b/>
                <w:bCs/>
                <w:color w:val="000000" w:themeColor="text1"/>
                <w:sz w:val="20"/>
                <w:szCs w:val="20"/>
              </w:rPr>
            </w:pPr>
            <w:r w:rsidRPr="00C474D1">
              <w:rPr>
                <w:rFonts w:ascii="Source Sans Pro" w:hAnsi="Source Sans Pro" w:cs="Calibri"/>
                <w:b/>
                <w:bCs/>
                <w:color w:val="000000" w:themeColor="text1"/>
                <w:sz w:val="20"/>
                <w:szCs w:val="20"/>
              </w:rPr>
              <w:t>Safety</w:t>
            </w:r>
          </w:p>
          <w:p w14:paraId="763AB5A4" w14:textId="77777777" w:rsidR="00E25389" w:rsidRPr="00C474D1" w:rsidRDefault="00E25389"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Emergency situations may be physically dangerous and there can be important threats to the safety of women seeking care and health workers</w:t>
            </w:r>
            <w:r w:rsidR="00A477CF" w:rsidRPr="00C474D1">
              <w:rPr>
                <w:rFonts w:ascii="Source Sans Pro" w:hAnsi="Source Sans Pro" w:cs="Calibri"/>
                <w:color w:val="000000" w:themeColor="text1"/>
                <w:sz w:val="20"/>
                <w:szCs w:val="20"/>
              </w:rPr>
              <w:t xml:space="preserve"> </w:t>
            </w:r>
            <w:r w:rsidR="00A477CF" w:rsidRPr="00374CE9">
              <w:rPr>
                <w:rFonts w:ascii="Source Sans Pro" w:hAnsi="Source Sans Pro" w:cs="Calibri"/>
                <w:i/>
                <w:iCs/>
                <w:noProof/>
                <w:color w:val="000000" w:themeColor="text1"/>
                <w:sz w:val="20"/>
                <w:szCs w:val="20"/>
              </w:rPr>
              <w:t>(11)</w:t>
            </w:r>
            <w:r w:rsidRPr="00C474D1">
              <w:rPr>
                <w:rFonts w:ascii="Source Sans Pro" w:hAnsi="Source Sans Pro" w:cs="Calibri"/>
                <w:color w:val="000000" w:themeColor="text1"/>
                <w:sz w:val="20"/>
                <w:szCs w:val="20"/>
              </w:rPr>
              <w:t>.</w:t>
            </w:r>
          </w:p>
          <w:p w14:paraId="5A883D20" w14:textId="77777777" w:rsidR="00663D75" w:rsidRPr="00C474D1" w:rsidRDefault="00663D75"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Health workers may come under threat if they provide care to members of certain groups during outbreaks of violent conflict.</w:t>
            </w:r>
          </w:p>
          <w:p w14:paraId="5C1CEF3A" w14:textId="12FF4DB7" w:rsidR="007157CB" w:rsidRPr="00C474D1" w:rsidRDefault="007157CB"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Similarly, women may fear seeking care from health facilities or health workers perceived as aligned with an opposing force in a conflict.</w:t>
            </w:r>
          </w:p>
        </w:tc>
      </w:tr>
      <w:tr w:rsidR="00E25389" w:rsidRPr="00C474D1" w14:paraId="705B811C" w14:textId="77777777" w:rsidTr="00C474D1">
        <w:tc>
          <w:tcPr>
            <w:tcW w:w="3235" w:type="dxa"/>
          </w:tcPr>
          <w:p w14:paraId="290A92E2" w14:textId="77777777" w:rsidR="00E25389" w:rsidRPr="00C474D1" w:rsidRDefault="00E25389" w:rsidP="00C474D1">
            <w:pPr>
              <w:tabs>
                <w:tab w:val="left" w:pos="2088"/>
                <w:tab w:val="left" w:pos="8118"/>
              </w:tabs>
              <w:spacing w:after="120" w:line="276" w:lineRule="auto"/>
              <w:rPr>
                <w:rFonts w:ascii="Source Sans Pro" w:hAnsi="Source Sans Pro" w:cs="Calibri"/>
                <w:b/>
                <w:bCs/>
                <w:color w:val="000000" w:themeColor="text1"/>
                <w:sz w:val="20"/>
                <w:szCs w:val="20"/>
              </w:rPr>
            </w:pPr>
            <w:r w:rsidRPr="00C474D1">
              <w:rPr>
                <w:rFonts w:ascii="Source Sans Pro" w:hAnsi="Source Sans Pro" w:cs="Calibri"/>
                <w:b/>
                <w:bCs/>
                <w:color w:val="000000" w:themeColor="text1"/>
                <w:sz w:val="20"/>
                <w:szCs w:val="20"/>
              </w:rPr>
              <w:t>Human Resources</w:t>
            </w:r>
          </w:p>
          <w:p w14:paraId="15B19F2D" w14:textId="5B0DE462" w:rsidR="00E25389" w:rsidRPr="00C474D1" w:rsidRDefault="00680972"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Staffing shortages are common, and humanitarian health workers often operate under constrained conditions. Limited training opportunities and restrictions on scope of practice—due to unsafe or inadequate facilities—reduce the quality and reach of care </w:t>
            </w:r>
            <w:r w:rsidR="00A477CF" w:rsidRPr="00374CE9">
              <w:rPr>
                <w:rFonts w:ascii="Source Sans Pro" w:hAnsi="Source Sans Pro" w:cs="Calibri"/>
                <w:i/>
                <w:iCs/>
                <w:noProof/>
                <w:color w:val="000000" w:themeColor="text1"/>
                <w:sz w:val="20"/>
                <w:szCs w:val="20"/>
              </w:rPr>
              <w:t>(9)</w:t>
            </w:r>
            <w:r w:rsidRPr="00C474D1">
              <w:rPr>
                <w:rFonts w:ascii="Source Sans Pro" w:hAnsi="Source Sans Pro" w:cs="Calibri"/>
                <w:color w:val="000000" w:themeColor="text1"/>
                <w:sz w:val="20"/>
                <w:szCs w:val="20"/>
              </w:rPr>
              <w:t>.</w:t>
            </w:r>
          </w:p>
        </w:tc>
        <w:tc>
          <w:tcPr>
            <w:tcW w:w="3240" w:type="dxa"/>
          </w:tcPr>
          <w:p w14:paraId="5A34483B" w14:textId="77777777" w:rsidR="00E25389" w:rsidRPr="00C474D1" w:rsidRDefault="00E25389"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b/>
                <w:bCs/>
                <w:color w:val="000000" w:themeColor="text1"/>
                <w:sz w:val="20"/>
                <w:szCs w:val="20"/>
              </w:rPr>
              <w:t>Waste Management</w:t>
            </w:r>
          </w:p>
          <w:p w14:paraId="22C3D2D5" w14:textId="70793CC5" w:rsidR="00E25389" w:rsidRPr="00C474D1" w:rsidRDefault="00E25389"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Systems for managing and disposing of hazardous waste may be non-existent or compromised</w:t>
            </w:r>
            <w:r w:rsidR="0048000C" w:rsidRPr="00C474D1">
              <w:rPr>
                <w:rFonts w:ascii="Source Sans Pro" w:hAnsi="Source Sans Pro" w:cs="Calibri"/>
                <w:color w:val="000000" w:themeColor="text1"/>
                <w:sz w:val="20"/>
                <w:szCs w:val="20"/>
              </w:rPr>
              <w:t xml:space="preserve"> </w:t>
            </w:r>
            <w:r w:rsidR="00A477CF" w:rsidRPr="00374CE9">
              <w:rPr>
                <w:rFonts w:ascii="Source Sans Pro" w:hAnsi="Source Sans Pro" w:cs="Calibri"/>
                <w:i/>
                <w:iCs/>
                <w:noProof/>
                <w:color w:val="000000" w:themeColor="text1"/>
                <w:sz w:val="20"/>
                <w:szCs w:val="20"/>
              </w:rPr>
              <w:t>(12)</w:t>
            </w:r>
            <w:r w:rsidRPr="00C474D1">
              <w:rPr>
                <w:rFonts w:ascii="Source Sans Pro" w:hAnsi="Source Sans Pro" w:cs="Calibri"/>
                <w:color w:val="000000" w:themeColor="text1"/>
                <w:sz w:val="20"/>
                <w:szCs w:val="20"/>
              </w:rPr>
              <w:t>.</w:t>
            </w:r>
          </w:p>
        </w:tc>
        <w:tc>
          <w:tcPr>
            <w:tcW w:w="3240" w:type="dxa"/>
          </w:tcPr>
          <w:p w14:paraId="4D7BEF39" w14:textId="77777777" w:rsidR="00E25389" w:rsidRPr="00C474D1" w:rsidRDefault="00E25389" w:rsidP="00C474D1">
            <w:pPr>
              <w:tabs>
                <w:tab w:val="left" w:pos="2088"/>
                <w:tab w:val="left" w:pos="8118"/>
              </w:tabs>
              <w:spacing w:after="120" w:line="276" w:lineRule="auto"/>
              <w:rPr>
                <w:rFonts w:ascii="Source Sans Pro" w:hAnsi="Source Sans Pro" w:cs="Calibri"/>
                <w:b/>
                <w:bCs/>
                <w:color w:val="000000" w:themeColor="text1"/>
                <w:sz w:val="20"/>
                <w:szCs w:val="20"/>
              </w:rPr>
            </w:pPr>
            <w:r w:rsidRPr="00C474D1">
              <w:rPr>
                <w:rFonts w:ascii="Source Sans Pro" w:hAnsi="Source Sans Pro" w:cs="Calibri"/>
                <w:b/>
                <w:bCs/>
                <w:color w:val="000000" w:themeColor="text1"/>
                <w:sz w:val="20"/>
                <w:szCs w:val="20"/>
              </w:rPr>
              <w:t>Infrastructure</w:t>
            </w:r>
          </w:p>
          <w:p w14:paraId="04EB5618" w14:textId="308FFE03" w:rsidR="00680972" w:rsidRPr="00C474D1" w:rsidRDefault="00680972"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Weak or damaged infrastructure, including health facilities, laboratories and referral systems, significantly limits care delivery</w:t>
            </w:r>
            <w:r w:rsidRPr="00374CE9">
              <w:rPr>
                <w:rFonts w:ascii="Source Sans Pro" w:hAnsi="Source Sans Pro" w:cs="Calibri"/>
                <w:i/>
                <w:iCs/>
                <w:color w:val="000000" w:themeColor="text1"/>
                <w:sz w:val="20"/>
                <w:szCs w:val="20"/>
              </w:rPr>
              <w:t xml:space="preserve"> </w:t>
            </w:r>
            <w:r w:rsidR="00A477CF" w:rsidRPr="00374CE9">
              <w:rPr>
                <w:rFonts w:ascii="Source Sans Pro" w:hAnsi="Source Sans Pro" w:cs="Calibri"/>
                <w:i/>
                <w:iCs/>
                <w:noProof/>
                <w:color w:val="000000" w:themeColor="text1"/>
                <w:sz w:val="20"/>
                <w:szCs w:val="20"/>
              </w:rPr>
              <w:t>(9)</w:t>
            </w:r>
            <w:r w:rsidRPr="00C474D1">
              <w:rPr>
                <w:rFonts w:ascii="Source Sans Pro" w:hAnsi="Source Sans Pro" w:cs="Calibri"/>
                <w:color w:val="000000" w:themeColor="text1"/>
                <w:sz w:val="20"/>
                <w:szCs w:val="20"/>
              </w:rPr>
              <w:t xml:space="preserve">. </w:t>
            </w:r>
          </w:p>
          <w:p w14:paraId="46CE3888" w14:textId="4EE65362" w:rsidR="00E25389" w:rsidRPr="00C474D1" w:rsidRDefault="00D20F5B"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Lack of cold chain storage in health facilities can hamper the provision of quality PPH care.</w:t>
            </w:r>
          </w:p>
        </w:tc>
      </w:tr>
      <w:tr w:rsidR="00E25389" w:rsidRPr="00C474D1" w14:paraId="024C69E1" w14:textId="77777777" w:rsidTr="00C474D1">
        <w:tc>
          <w:tcPr>
            <w:tcW w:w="3235" w:type="dxa"/>
          </w:tcPr>
          <w:p w14:paraId="017508DC" w14:textId="77777777" w:rsidR="00E25389" w:rsidRPr="00C474D1" w:rsidRDefault="00E25389" w:rsidP="00C474D1">
            <w:pPr>
              <w:tabs>
                <w:tab w:val="left" w:pos="2088"/>
                <w:tab w:val="left" w:pos="8118"/>
              </w:tabs>
              <w:spacing w:after="120" w:line="276" w:lineRule="auto"/>
              <w:rPr>
                <w:rFonts w:ascii="Source Sans Pro" w:hAnsi="Source Sans Pro" w:cs="Calibri"/>
                <w:b/>
                <w:bCs/>
                <w:color w:val="000000" w:themeColor="text1"/>
                <w:sz w:val="20"/>
                <w:szCs w:val="20"/>
              </w:rPr>
            </w:pPr>
            <w:r w:rsidRPr="00C474D1">
              <w:rPr>
                <w:rFonts w:ascii="Source Sans Pro" w:hAnsi="Source Sans Pro" w:cs="Calibri"/>
                <w:b/>
                <w:bCs/>
                <w:color w:val="000000" w:themeColor="text1"/>
                <w:sz w:val="20"/>
                <w:szCs w:val="20"/>
              </w:rPr>
              <w:lastRenderedPageBreak/>
              <w:t>Commodities and Supply Chain</w:t>
            </w:r>
          </w:p>
          <w:p w14:paraId="01E192CD" w14:textId="5A1DE36A" w:rsidR="00E25389" w:rsidRPr="00C474D1" w:rsidRDefault="00680972"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Ensuring the availability of essential medicines and supplies is complicated by disrupted logistics, lack of cold chain systems and insufficient storage</w:t>
            </w:r>
            <w:r w:rsidR="00320ECF" w:rsidRPr="00C474D1">
              <w:rPr>
                <w:rFonts w:ascii="Source Sans Pro" w:hAnsi="Source Sans Pro" w:cs="Calibri"/>
                <w:color w:val="000000" w:themeColor="text1"/>
                <w:sz w:val="20"/>
                <w:szCs w:val="20"/>
              </w:rPr>
              <w:t>, unless a preparedness plan</w:t>
            </w:r>
            <w:r w:rsidR="00D20F5B" w:rsidRPr="00C474D1">
              <w:rPr>
                <w:rFonts w:ascii="Source Sans Pro" w:hAnsi="Source Sans Pro" w:cs="Calibri"/>
                <w:color w:val="000000" w:themeColor="text1"/>
                <w:sz w:val="20"/>
                <w:szCs w:val="20"/>
              </w:rPr>
              <w:t>/pre-positioning</w:t>
            </w:r>
            <w:r w:rsidR="00320ECF" w:rsidRPr="00C474D1">
              <w:rPr>
                <w:rFonts w:ascii="Source Sans Pro" w:hAnsi="Source Sans Pro" w:cs="Calibri"/>
                <w:color w:val="000000" w:themeColor="text1"/>
                <w:sz w:val="20"/>
                <w:szCs w:val="20"/>
              </w:rPr>
              <w:t xml:space="preserve"> </w:t>
            </w:r>
            <w:r w:rsidR="00D20F5B" w:rsidRPr="00C474D1">
              <w:rPr>
                <w:rFonts w:ascii="Source Sans Pro" w:hAnsi="Source Sans Pro" w:cs="Calibri"/>
                <w:color w:val="000000" w:themeColor="text1"/>
                <w:sz w:val="20"/>
                <w:szCs w:val="20"/>
              </w:rPr>
              <w:t>i</w:t>
            </w:r>
            <w:r w:rsidR="00320ECF" w:rsidRPr="00C474D1">
              <w:rPr>
                <w:rFonts w:ascii="Source Sans Pro" w:hAnsi="Source Sans Pro" w:cs="Calibri"/>
                <w:color w:val="000000" w:themeColor="text1"/>
                <w:sz w:val="20"/>
                <w:szCs w:val="20"/>
              </w:rPr>
              <w:t>s already in place</w:t>
            </w:r>
            <w:r w:rsidRPr="00C474D1">
              <w:rPr>
                <w:rFonts w:ascii="Source Sans Pro" w:hAnsi="Source Sans Pro" w:cs="Calibri"/>
                <w:color w:val="000000" w:themeColor="text1"/>
                <w:sz w:val="20"/>
                <w:szCs w:val="20"/>
              </w:rPr>
              <w:t>. Procurement is further challenged by customs delays, high costs, long lead times and reliance on external sources, particularly in countries with limited local production. Misalignment between humanitarian procurement systems and national supply chains also affects delivery efficiency</w:t>
            </w:r>
            <w:r w:rsidR="0048000C" w:rsidRPr="00C474D1">
              <w:rPr>
                <w:rFonts w:ascii="Source Sans Pro" w:hAnsi="Source Sans Pro" w:cs="Calibri"/>
                <w:color w:val="000000" w:themeColor="text1"/>
                <w:sz w:val="20"/>
                <w:szCs w:val="20"/>
              </w:rPr>
              <w:t xml:space="preserve"> </w:t>
            </w:r>
            <w:r w:rsidR="00A477CF" w:rsidRPr="00374CE9">
              <w:rPr>
                <w:rFonts w:ascii="Source Sans Pro" w:hAnsi="Source Sans Pro" w:cs="Calibri"/>
                <w:i/>
                <w:iCs/>
                <w:noProof/>
                <w:color w:val="000000" w:themeColor="text1"/>
                <w:sz w:val="20"/>
                <w:szCs w:val="20"/>
              </w:rPr>
              <w:t>(13)</w:t>
            </w:r>
            <w:r w:rsidRPr="00C474D1">
              <w:rPr>
                <w:rFonts w:ascii="Source Sans Pro" w:hAnsi="Source Sans Pro" w:cs="Calibri"/>
                <w:color w:val="000000" w:themeColor="text1"/>
                <w:sz w:val="20"/>
                <w:szCs w:val="20"/>
              </w:rPr>
              <w:t>.</w:t>
            </w:r>
          </w:p>
        </w:tc>
        <w:tc>
          <w:tcPr>
            <w:tcW w:w="3240" w:type="dxa"/>
          </w:tcPr>
          <w:p w14:paraId="311D6BEB" w14:textId="77777777" w:rsidR="00680972" w:rsidRPr="00C474D1" w:rsidRDefault="00E25389" w:rsidP="00C474D1">
            <w:pPr>
              <w:tabs>
                <w:tab w:val="left" w:pos="2088"/>
                <w:tab w:val="left" w:pos="8118"/>
              </w:tabs>
              <w:spacing w:after="120" w:line="276" w:lineRule="auto"/>
              <w:rPr>
                <w:rFonts w:ascii="Source Sans Pro" w:hAnsi="Source Sans Pro" w:cs="Calibri"/>
                <w:b/>
                <w:bCs/>
                <w:color w:val="000000" w:themeColor="text1"/>
                <w:sz w:val="20"/>
                <w:szCs w:val="20"/>
              </w:rPr>
            </w:pPr>
            <w:r w:rsidRPr="00C474D1">
              <w:rPr>
                <w:rFonts w:ascii="Source Sans Pro" w:hAnsi="Source Sans Pro" w:cs="Calibri"/>
                <w:b/>
                <w:bCs/>
                <w:color w:val="000000" w:themeColor="text1"/>
                <w:sz w:val="20"/>
                <w:szCs w:val="20"/>
              </w:rPr>
              <w:t>Norms and Policy</w:t>
            </w:r>
          </w:p>
          <w:p w14:paraId="5D7FD357" w14:textId="7E6DA282" w:rsidR="00680972" w:rsidRPr="00C474D1" w:rsidRDefault="00680972"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Humanitarian emergencies are governed by distinct sets of norms and </w:t>
            </w:r>
            <w:r w:rsidR="008C1050" w:rsidRPr="00C474D1">
              <w:rPr>
                <w:rFonts w:ascii="Source Sans Pro" w:hAnsi="Source Sans Pro" w:cs="Calibri"/>
                <w:color w:val="000000" w:themeColor="text1"/>
                <w:sz w:val="20"/>
                <w:szCs w:val="20"/>
              </w:rPr>
              <w:t>policies</w:t>
            </w:r>
            <w:r w:rsidRPr="00C474D1">
              <w:rPr>
                <w:rFonts w:ascii="Source Sans Pro" w:hAnsi="Source Sans Pro" w:cs="Calibri"/>
                <w:color w:val="000000" w:themeColor="text1"/>
                <w:sz w:val="20"/>
                <w:szCs w:val="20"/>
              </w:rPr>
              <w:t>, which may differ from those normally in place. This can generate normative and policy confusion for health workers and others on the ground.</w:t>
            </w:r>
          </w:p>
          <w:p w14:paraId="45C982C3" w14:textId="79C7ACBF" w:rsidR="00680972" w:rsidRPr="00C474D1" w:rsidRDefault="00680972" w:rsidP="00C474D1">
            <w:pPr>
              <w:tabs>
                <w:tab w:val="left" w:pos="2088"/>
                <w:tab w:val="left" w:pos="8118"/>
              </w:tabs>
              <w:spacing w:after="120" w:line="276" w:lineRule="auto"/>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Where possible, emergency preparedness and planning efforts should provide clarity on how norms and policy may change in the context of an emergency.</w:t>
            </w:r>
          </w:p>
        </w:tc>
        <w:tc>
          <w:tcPr>
            <w:tcW w:w="3240" w:type="dxa"/>
          </w:tcPr>
          <w:p w14:paraId="5EAA5255" w14:textId="292A3F3F" w:rsidR="00E25389" w:rsidRPr="00C474D1" w:rsidRDefault="00E25389" w:rsidP="00C474D1">
            <w:pPr>
              <w:tabs>
                <w:tab w:val="left" w:pos="2088"/>
                <w:tab w:val="left" w:pos="8118"/>
              </w:tabs>
              <w:spacing w:after="120" w:line="276" w:lineRule="auto"/>
              <w:rPr>
                <w:rFonts w:ascii="Source Sans Pro" w:hAnsi="Source Sans Pro" w:cs="Calibri"/>
                <w:b/>
                <w:bCs/>
                <w:color w:val="000000" w:themeColor="text1"/>
                <w:sz w:val="20"/>
                <w:szCs w:val="20"/>
              </w:rPr>
            </w:pPr>
            <w:r w:rsidRPr="00C474D1">
              <w:rPr>
                <w:rFonts w:ascii="Source Sans Pro" w:hAnsi="Source Sans Pro" w:cs="Calibri"/>
                <w:b/>
                <w:bCs/>
                <w:color w:val="000000" w:themeColor="text1"/>
                <w:sz w:val="20"/>
                <w:szCs w:val="20"/>
              </w:rPr>
              <w:t xml:space="preserve">Humanitarian </w:t>
            </w:r>
            <w:r w:rsidR="00430137" w:rsidRPr="00C474D1">
              <w:rPr>
                <w:rFonts w:ascii="Source Sans Pro" w:hAnsi="Source Sans Pro" w:cs="Calibri"/>
                <w:b/>
                <w:bCs/>
                <w:color w:val="000000" w:themeColor="text1"/>
                <w:sz w:val="20"/>
                <w:szCs w:val="20"/>
              </w:rPr>
              <w:t>Architecture</w:t>
            </w:r>
          </w:p>
          <w:p w14:paraId="47257027" w14:textId="425745F5" w:rsidR="00E25389" w:rsidRPr="00C474D1" w:rsidRDefault="00680972" w:rsidP="00C474D1">
            <w:pPr>
              <w:tabs>
                <w:tab w:val="left" w:pos="2088"/>
                <w:tab w:val="left" w:pos="8118"/>
              </w:tabs>
              <w:spacing w:after="120" w:line="276" w:lineRule="auto"/>
              <w:rPr>
                <w:rFonts w:ascii="Source Sans Pro" w:hAnsi="Source Sans Pro" w:cs="Calibri"/>
                <w:b/>
                <w:bCs/>
                <w:color w:val="000000" w:themeColor="text1"/>
                <w:sz w:val="20"/>
                <w:szCs w:val="20"/>
              </w:rPr>
            </w:pPr>
            <w:r w:rsidRPr="00C474D1">
              <w:rPr>
                <w:rFonts w:ascii="Source Sans Pro" w:hAnsi="Source Sans Pro" w:cs="Calibri"/>
                <w:color w:val="000000" w:themeColor="text1"/>
                <w:sz w:val="20"/>
                <w:szCs w:val="20"/>
              </w:rPr>
              <w:t xml:space="preserve">Fragmented governance and a lack of standardized policies further complicate implementation. Humanitarian agencies often operate with differing protocols and mandates </w:t>
            </w:r>
            <w:r w:rsidR="00D20F5B" w:rsidRPr="00C474D1">
              <w:rPr>
                <w:rFonts w:ascii="Source Sans Pro" w:hAnsi="Source Sans Pro" w:cs="Calibri"/>
                <w:color w:val="000000" w:themeColor="text1"/>
                <w:sz w:val="20"/>
                <w:szCs w:val="20"/>
              </w:rPr>
              <w:t>(</w:t>
            </w:r>
            <w:r w:rsidRPr="00C474D1">
              <w:rPr>
                <w:rFonts w:ascii="Source Sans Pro" w:hAnsi="Source Sans Pro" w:cs="Calibri"/>
                <w:color w:val="000000" w:themeColor="text1"/>
                <w:sz w:val="20"/>
                <w:szCs w:val="20"/>
              </w:rPr>
              <w:t xml:space="preserve">such as UNFPA serving populations </w:t>
            </w:r>
            <w:r w:rsidR="00C85000" w:rsidRPr="00C474D1">
              <w:rPr>
                <w:rFonts w:ascii="Source Sans Pro" w:hAnsi="Source Sans Pro" w:cs="Calibri"/>
                <w:color w:val="000000" w:themeColor="text1"/>
                <w:sz w:val="20"/>
                <w:szCs w:val="20"/>
              </w:rPr>
              <w:t xml:space="preserve">in host communities </w:t>
            </w:r>
            <w:r w:rsidRPr="00C474D1">
              <w:rPr>
                <w:rFonts w:ascii="Source Sans Pro" w:hAnsi="Source Sans Pro" w:cs="Calibri"/>
                <w:color w:val="000000" w:themeColor="text1"/>
                <w:sz w:val="20"/>
                <w:szCs w:val="20"/>
              </w:rPr>
              <w:t>outside camps, while UNHCR supports those within</w:t>
            </w:r>
            <w:r w:rsidR="00D20F5B" w:rsidRPr="00C474D1">
              <w:rPr>
                <w:rFonts w:ascii="Source Sans Pro" w:hAnsi="Source Sans Pro" w:cs="Calibri"/>
                <w:color w:val="000000" w:themeColor="text1"/>
                <w:sz w:val="20"/>
                <w:szCs w:val="20"/>
              </w:rPr>
              <w:t>)</w:t>
            </w:r>
            <w:r w:rsidRPr="00C474D1">
              <w:rPr>
                <w:rFonts w:ascii="Source Sans Pro" w:hAnsi="Source Sans Pro" w:cs="Calibri"/>
                <w:color w:val="000000" w:themeColor="text1"/>
                <w:sz w:val="20"/>
                <w:szCs w:val="20"/>
              </w:rPr>
              <w:t>, leading to a patchwork of services and practices. Effective PPH response requires coordinated planning, clear policy alignment, and shared accountability across the response landscape</w:t>
            </w:r>
            <w:r w:rsidR="0048000C" w:rsidRPr="00C474D1">
              <w:rPr>
                <w:rFonts w:ascii="Source Sans Pro" w:hAnsi="Source Sans Pro" w:cs="Calibri"/>
                <w:color w:val="000000" w:themeColor="text1"/>
                <w:sz w:val="20"/>
                <w:szCs w:val="20"/>
              </w:rPr>
              <w:t>.</w:t>
            </w:r>
          </w:p>
        </w:tc>
      </w:tr>
    </w:tbl>
    <w:p w14:paraId="10414B1E" w14:textId="36CC9D00" w:rsidR="008C5C99" w:rsidRPr="00C474D1" w:rsidRDefault="008852A8" w:rsidP="00C474D1">
      <w:pPr>
        <w:tabs>
          <w:tab w:val="left" w:pos="2088"/>
          <w:tab w:val="left" w:pos="8118"/>
        </w:tabs>
        <w:spacing w:before="240" w:after="120" w:line="276" w:lineRule="auto"/>
        <w:rPr>
          <w:rFonts w:ascii="Source Sans Pro" w:hAnsi="Source Sans Pro" w:cs="Calibri"/>
          <w:color w:val="000000" w:themeColor="text1"/>
          <w:sz w:val="20"/>
          <w:szCs w:val="20"/>
        </w:rPr>
        <w:sectPr w:rsidR="008C5C99" w:rsidRPr="00C474D1" w:rsidSect="00C474D1">
          <w:headerReference w:type="default" r:id="rId18"/>
          <w:footerReference w:type="default" r:id="rId19"/>
          <w:pgSz w:w="11906" w:h="16838" w:code="9"/>
          <w:pgMar w:top="1440" w:right="1080" w:bottom="1440" w:left="1080" w:header="720" w:footer="720" w:gutter="0"/>
          <w:cols w:space="720"/>
          <w:docGrid w:linePitch="360"/>
        </w:sectPr>
      </w:pPr>
      <w:r w:rsidRPr="00C474D1">
        <w:rPr>
          <w:rFonts w:ascii="Source Sans Pro" w:hAnsi="Source Sans Pro" w:cs="Calibri"/>
          <w:color w:val="000000" w:themeColor="text1"/>
          <w:sz w:val="20"/>
          <w:szCs w:val="20"/>
        </w:rPr>
        <w:t>Details on how these types of challenges apply to each of the recommendations for PPH prevention, diagnosis and treatment, as well as guidance on how reach recommendation might be adapted for humanitarian settings, as provided in Table 2.</w:t>
      </w:r>
      <w:r w:rsidR="00A14D5A" w:rsidRPr="00C474D1">
        <w:rPr>
          <w:rFonts w:ascii="Source Sans Pro" w:hAnsi="Source Sans Pro" w:cs="Calibri"/>
          <w:color w:val="000000" w:themeColor="text1"/>
          <w:sz w:val="20"/>
          <w:szCs w:val="20"/>
        </w:rPr>
        <w:br/>
      </w:r>
    </w:p>
    <w:tbl>
      <w:tblPr>
        <w:tblStyle w:val="TableGrid"/>
        <w:tblpPr w:leftFromText="180" w:rightFromText="180" w:vertAnchor="text" w:tblpY="1"/>
        <w:tblOverlap w:val="never"/>
        <w:tblW w:w="14575" w:type="dxa"/>
        <w:tblLook w:val="04A0" w:firstRow="1" w:lastRow="0" w:firstColumn="1" w:lastColumn="0" w:noHBand="0" w:noVBand="1"/>
      </w:tblPr>
      <w:tblGrid>
        <w:gridCol w:w="3865"/>
        <w:gridCol w:w="4680"/>
        <w:gridCol w:w="6030"/>
      </w:tblGrid>
      <w:tr w:rsidR="00630EC1" w:rsidRPr="00C474D1" w14:paraId="15AD1669" w14:textId="77777777" w:rsidTr="00A721C8">
        <w:trPr>
          <w:cantSplit/>
          <w:tblHeader/>
        </w:trPr>
        <w:tc>
          <w:tcPr>
            <w:tcW w:w="14575" w:type="dxa"/>
            <w:gridSpan w:val="3"/>
            <w:shd w:val="clear" w:color="auto" w:fill="E8E8E8" w:themeFill="background2"/>
            <w:vAlign w:val="center"/>
          </w:tcPr>
          <w:p w14:paraId="16B68A1D" w14:textId="62EB0E7C" w:rsidR="00630EC1" w:rsidRPr="00C474D1" w:rsidRDefault="00630EC1" w:rsidP="00732031">
            <w:pPr>
              <w:rPr>
                <w:rFonts w:ascii="Source Sans Pro" w:hAnsi="Source Sans Pro" w:cs="Calibri"/>
                <w:b/>
                <w:bCs/>
                <w:sz w:val="20"/>
                <w:szCs w:val="20"/>
              </w:rPr>
            </w:pPr>
            <w:r w:rsidRPr="00C474D1">
              <w:rPr>
                <w:rFonts w:ascii="Source Sans Pro" w:hAnsi="Source Sans Pro" w:cs="Calibri"/>
                <w:b/>
                <w:bCs/>
                <w:sz w:val="20"/>
                <w:szCs w:val="20"/>
              </w:rPr>
              <w:lastRenderedPageBreak/>
              <w:t>Table 2. Recommendation-level guidance on potentially relevant humanitarian considerations and opportunities for adapting recommendations</w:t>
            </w:r>
          </w:p>
          <w:p w14:paraId="35ABAA32" w14:textId="0B13605F" w:rsidR="00630EC1" w:rsidRPr="00C474D1" w:rsidRDefault="00630EC1" w:rsidP="00732031">
            <w:pPr>
              <w:rPr>
                <w:rFonts w:ascii="Source Sans Pro" w:hAnsi="Source Sans Pro" w:cs="Calibri"/>
                <w:b/>
                <w:bCs/>
                <w:sz w:val="20"/>
                <w:szCs w:val="20"/>
              </w:rPr>
            </w:pPr>
          </w:p>
        </w:tc>
      </w:tr>
      <w:tr w:rsidR="00680972" w:rsidRPr="00C474D1" w14:paraId="6719BBF3" w14:textId="77777777" w:rsidTr="00A721C8">
        <w:trPr>
          <w:cantSplit/>
          <w:tblHeader/>
        </w:trPr>
        <w:tc>
          <w:tcPr>
            <w:tcW w:w="3865" w:type="dxa"/>
            <w:shd w:val="clear" w:color="auto" w:fill="E8E8E8" w:themeFill="background2"/>
            <w:vAlign w:val="center"/>
          </w:tcPr>
          <w:p w14:paraId="6D68F4DF" w14:textId="365273FA" w:rsidR="00D54101" w:rsidRPr="00C474D1" w:rsidRDefault="00D54101" w:rsidP="00732031">
            <w:pPr>
              <w:jc w:val="center"/>
              <w:rPr>
                <w:rFonts w:ascii="Source Sans Pro" w:hAnsi="Source Sans Pro" w:cs="Calibri"/>
                <w:b/>
                <w:bCs/>
                <w:sz w:val="20"/>
                <w:szCs w:val="20"/>
              </w:rPr>
            </w:pPr>
            <w:r w:rsidRPr="00C474D1">
              <w:rPr>
                <w:rFonts w:ascii="Source Sans Pro" w:hAnsi="Source Sans Pro" w:cs="Calibri"/>
                <w:b/>
                <w:bCs/>
                <w:sz w:val="20"/>
                <w:szCs w:val="20"/>
              </w:rPr>
              <w:t>Recommendation</w:t>
            </w:r>
          </w:p>
        </w:tc>
        <w:tc>
          <w:tcPr>
            <w:tcW w:w="4680" w:type="dxa"/>
            <w:shd w:val="clear" w:color="auto" w:fill="E8E8E8" w:themeFill="background2"/>
            <w:vAlign w:val="center"/>
          </w:tcPr>
          <w:p w14:paraId="6E86F968" w14:textId="2226DFDF" w:rsidR="00D54101" w:rsidRPr="00C474D1" w:rsidRDefault="00D54101" w:rsidP="00732031">
            <w:pPr>
              <w:jc w:val="center"/>
              <w:rPr>
                <w:rFonts w:ascii="Source Sans Pro" w:hAnsi="Source Sans Pro" w:cs="Calibri"/>
                <w:b/>
                <w:bCs/>
                <w:sz w:val="20"/>
                <w:szCs w:val="20"/>
              </w:rPr>
            </w:pPr>
            <w:r w:rsidRPr="00C474D1">
              <w:rPr>
                <w:rFonts w:ascii="Source Sans Pro" w:hAnsi="Source Sans Pro" w:cs="Calibri"/>
                <w:b/>
                <w:bCs/>
                <w:sz w:val="20"/>
                <w:szCs w:val="20"/>
              </w:rPr>
              <w:t>Type of humanitarian consideration (</w:t>
            </w:r>
            <w:r w:rsidR="00732031" w:rsidRPr="00C474D1">
              <w:rPr>
                <w:rFonts w:ascii="Source Sans Pro" w:hAnsi="Source Sans Pro" w:cs="Calibri"/>
                <w:b/>
                <w:bCs/>
                <w:sz w:val="20"/>
                <w:szCs w:val="20"/>
              </w:rPr>
              <w:t>e.g.</w:t>
            </w:r>
            <w:r w:rsidRPr="00C474D1">
              <w:rPr>
                <w:rFonts w:ascii="Source Sans Pro" w:hAnsi="Source Sans Pro" w:cs="Calibri"/>
                <w:b/>
                <w:bCs/>
                <w:sz w:val="20"/>
                <w:szCs w:val="20"/>
              </w:rPr>
              <w:t>, human resources/policy, supply ch</w:t>
            </w:r>
            <w:r w:rsidR="00CB00DA" w:rsidRPr="00C474D1">
              <w:rPr>
                <w:rFonts w:ascii="Source Sans Pro" w:hAnsi="Source Sans Pro" w:cs="Calibri"/>
                <w:b/>
                <w:bCs/>
                <w:sz w:val="20"/>
                <w:szCs w:val="20"/>
              </w:rPr>
              <w:t>a</w:t>
            </w:r>
            <w:r w:rsidRPr="00C474D1">
              <w:rPr>
                <w:rFonts w:ascii="Source Sans Pro" w:hAnsi="Source Sans Pro" w:cs="Calibri"/>
                <w:b/>
                <w:bCs/>
                <w:sz w:val="20"/>
                <w:szCs w:val="20"/>
              </w:rPr>
              <w:t>in</w:t>
            </w:r>
            <w:r w:rsidR="00CB00DA" w:rsidRPr="00C474D1">
              <w:rPr>
                <w:rFonts w:ascii="Source Sans Pro" w:hAnsi="Source Sans Pro" w:cs="Calibri"/>
                <w:b/>
                <w:bCs/>
                <w:sz w:val="20"/>
                <w:szCs w:val="20"/>
              </w:rPr>
              <w:t>,</w:t>
            </w:r>
            <w:r w:rsidRPr="00C474D1">
              <w:rPr>
                <w:rFonts w:ascii="Source Sans Pro" w:hAnsi="Source Sans Pro" w:cs="Calibri"/>
                <w:b/>
                <w:bCs/>
                <w:sz w:val="20"/>
                <w:szCs w:val="20"/>
              </w:rPr>
              <w:t xml:space="preserve"> and infrastructure, waste management, cost, other)</w:t>
            </w:r>
          </w:p>
        </w:tc>
        <w:tc>
          <w:tcPr>
            <w:tcW w:w="6030" w:type="dxa"/>
            <w:shd w:val="clear" w:color="auto" w:fill="E8E8E8" w:themeFill="background2"/>
            <w:vAlign w:val="center"/>
          </w:tcPr>
          <w:p w14:paraId="4B1B0849" w14:textId="77777777" w:rsidR="00D54101" w:rsidRPr="00C474D1" w:rsidRDefault="00D54101" w:rsidP="00732031">
            <w:pPr>
              <w:jc w:val="center"/>
              <w:rPr>
                <w:rFonts w:ascii="Source Sans Pro" w:hAnsi="Source Sans Pro" w:cs="Calibri"/>
                <w:b/>
                <w:bCs/>
                <w:sz w:val="20"/>
                <w:szCs w:val="20"/>
              </w:rPr>
            </w:pPr>
            <w:r w:rsidRPr="00C474D1">
              <w:rPr>
                <w:rFonts w:ascii="Source Sans Pro" w:hAnsi="Source Sans Pro" w:cs="Calibri"/>
                <w:b/>
                <w:bCs/>
                <w:sz w:val="20"/>
                <w:szCs w:val="20"/>
              </w:rPr>
              <w:t>Comment</w:t>
            </w:r>
          </w:p>
        </w:tc>
      </w:tr>
      <w:tr w:rsidR="00680972" w:rsidRPr="00C474D1" w14:paraId="4388751D" w14:textId="77777777" w:rsidTr="00A721C8">
        <w:trPr>
          <w:cantSplit/>
        </w:trPr>
        <w:tc>
          <w:tcPr>
            <w:tcW w:w="14575" w:type="dxa"/>
            <w:gridSpan w:val="3"/>
            <w:shd w:val="clear" w:color="auto" w:fill="A6A6A6" w:themeFill="background1" w:themeFillShade="A6"/>
          </w:tcPr>
          <w:p w14:paraId="614C348A" w14:textId="77777777" w:rsidR="00D54101" w:rsidRPr="00C474D1" w:rsidRDefault="00D54101" w:rsidP="00732031">
            <w:pPr>
              <w:rPr>
                <w:rFonts w:ascii="Source Sans Pro" w:hAnsi="Source Sans Pro" w:cs="Calibri"/>
                <w:b/>
                <w:bCs/>
                <w:sz w:val="20"/>
                <w:szCs w:val="20"/>
              </w:rPr>
            </w:pPr>
            <w:r w:rsidRPr="00C474D1">
              <w:rPr>
                <w:rFonts w:ascii="Source Sans Pro" w:hAnsi="Source Sans Pro" w:cs="Calibri"/>
                <w:b/>
                <w:bCs/>
                <w:sz w:val="20"/>
                <w:szCs w:val="20"/>
              </w:rPr>
              <w:t>A. Prevention (antenatal) of PPH and related complications</w:t>
            </w:r>
          </w:p>
        </w:tc>
      </w:tr>
      <w:tr w:rsidR="00680972" w:rsidRPr="00C474D1" w14:paraId="1F4B428C" w14:textId="77777777" w:rsidTr="00A721C8">
        <w:trPr>
          <w:cantSplit/>
        </w:trPr>
        <w:tc>
          <w:tcPr>
            <w:tcW w:w="14575" w:type="dxa"/>
            <w:gridSpan w:val="3"/>
          </w:tcPr>
          <w:p w14:paraId="1C590CC2" w14:textId="69F094FF" w:rsidR="006E14D8" w:rsidRPr="00C474D1" w:rsidRDefault="006E14D8" w:rsidP="00732031">
            <w:pPr>
              <w:rPr>
                <w:rFonts w:ascii="Source Sans Pro" w:hAnsi="Source Sans Pro" w:cs="Calibri"/>
                <w:color w:val="000000" w:themeColor="text1"/>
                <w:sz w:val="20"/>
                <w:szCs w:val="20"/>
              </w:rPr>
            </w:pPr>
            <w:r w:rsidRPr="00C474D1">
              <w:rPr>
                <w:rFonts w:ascii="Source Sans Pro" w:hAnsi="Source Sans Pro" w:cs="Calibri"/>
                <w:b/>
                <w:bCs/>
                <w:color w:val="000000" w:themeColor="text1"/>
                <w:sz w:val="20"/>
                <w:szCs w:val="20"/>
              </w:rPr>
              <w:t>Antenatal care is not part of the MISP</w:t>
            </w:r>
            <w:r w:rsidRPr="00C474D1">
              <w:rPr>
                <w:rFonts w:ascii="Source Sans Pro" w:hAnsi="Source Sans Pro" w:cs="Calibri"/>
                <w:color w:val="000000" w:themeColor="text1"/>
                <w:sz w:val="20"/>
                <w:szCs w:val="20"/>
              </w:rPr>
              <w:t>, so these interventions would not have priority consideration as part of an emergency response. Once the MISP is fully implemented, the feasibility and priority of these interventions would need to be assessed in line with other consideration</w:t>
            </w:r>
            <w:r w:rsidR="00924FC1" w:rsidRPr="00C474D1">
              <w:rPr>
                <w:rFonts w:ascii="Source Sans Pro" w:hAnsi="Source Sans Pro" w:cs="Calibri"/>
                <w:color w:val="000000" w:themeColor="text1"/>
                <w:sz w:val="20"/>
                <w:szCs w:val="20"/>
              </w:rPr>
              <w:t>s</w:t>
            </w:r>
            <w:r w:rsidRPr="00C474D1">
              <w:rPr>
                <w:rFonts w:ascii="Source Sans Pro" w:hAnsi="Source Sans Pro" w:cs="Calibri"/>
                <w:color w:val="000000" w:themeColor="text1"/>
                <w:sz w:val="20"/>
                <w:szCs w:val="20"/>
              </w:rPr>
              <w:t xml:space="preserve"> in the effort to develop from MISP to comprehensive sexual and reproductive health services.</w:t>
            </w:r>
          </w:p>
        </w:tc>
      </w:tr>
      <w:tr w:rsidR="00680972" w:rsidRPr="00C474D1" w14:paraId="1FCB9CA0" w14:textId="77777777" w:rsidTr="00A721C8">
        <w:trPr>
          <w:cantSplit/>
        </w:trPr>
        <w:tc>
          <w:tcPr>
            <w:tcW w:w="3865" w:type="dxa"/>
          </w:tcPr>
          <w:p w14:paraId="48235647" w14:textId="106BA0C8" w:rsidR="00D54101" w:rsidRPr="00C474D1" w:rsidRDefault="006E14D8" w:rsidP="00732031">
            <w:pPr>
              <w:rPr>
                <w:rFonts w:ascii="Source Sans Pro" w:hAnsi="Source Sans Pro" w:cs="Calibri"/>
                <w:sz w:val="20"/>
                <w:szCs w:val="20"/>
              </w:rPr>
            </w:pPr>
            <w:r w:rsidRPr="00C474D1">
              <w:rPr>
                <w:rFonts w:ascii="Source Sans Pro" w:hAnsi="Source Sans Pro" w:cs="Calibri"/>
                <w:sz w:val="20"/>
                <w:szCs w:val="20"/>
              </w:rPr>
              <w:t>1. Full blood count testing is the recommended method for diagnosing anaemia in pregnancy. In settings where full blood count testing is not available, on-site haemoglobin testing with a haemoglobinometer is recommended over the use of the haemoglobin colour scale as the method for diagnosing anaemia in pregnancy.</w:t>
            </w:r>
          </w:p>
        </w:tc>
        <w:tc>
          <w:tcPr>
            <w:tcW w:w="4680" w:type="dxa"/>
          </w:tcPr>
          <w:p w14:paraId="0517ACDE" w14:textId="37B4E618" w:rsidR="00EC60CB" w:rsidRPr="00C474D1" w:rsidRDefault="00EC60CB"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Infrastructure</w:t>
            </w:r>
          </w:p>
          <w:p w14:paraId="1ABC6616" w14:textId="6D3E19DB" w:rsidR="00EC60CB" w:rsidRPr="00C474D1" w:rsidRDefault="00EC60CB" w:rsidP="00732031">
            <w:pPr>
              <w:pStyle w:val="ListParagraph"/>
              <w:numPr>
                <w:ilvl w:val="0"/>
                <w:numId w:val="13"/>
              </w:num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Laboratory facilities may not be available.</w:t>
            </w:r>
          </w:p>
          <w:p w14:paraId="6297D4C4" w14:textId="77777777" w:rsidR="00677911" w:rsidRPr="00C474D1" w:rsidRDefault="00677911" w:rsidP="00732031">
            <w:pPr>
              <w:rPr>
                <w:rFonts w:ascii="Source Sans Pro" w:hAnsi="Source Sans Pro" w:cs="Calibri"/>
                <w:color w:val="000000" w:themeColor="text1"/>
                <w:sz w:val="20"/>
                <w:szCs w:val="20"/>
              </w:rPr>
            </w:pPr>
          </w:p>
          <w:p w14:paraId="1270FF38" w14:textId="73BE322D" w:rsidR="00EC60CB" w:rsidRPr="00C474D1" w:rsidRDefault="00EC60CB"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Commodities and supply chain</w:t>
            </w:r>
          </w:p>
          <w:p w14:paraId="5213978F" w14:textId="564532A6" w:rsidR="00D54101" w:rsidRPr="00C474D1" w:rsidRDefault="00EC60CB" w:rsidP="00732031">
            <w:pPr>
              <w:pStyle w:val="ListParagraph"/>
              <w:numPr>
                <w:ilvl w:val="0"/>
                <w:numId w:val="13"/>
              </w:num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Venous blood draw supplies, reagents and other necessary commodities may not be available.</w:t>
            </w:r>
          </w:p>
        </w:tc>
        <w:tc>
          <w:tcPr>
            <w:tcW w:w="6030" w:type="dxa"/>
          </w:tcPr>
          <w:p w14:paraId="690C8827" w14:textId="13085391" w:rsidR="00EC60CB" w:rsidRPr="00C474D1" w:rsidRDefault="00EC60CB"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While full blood count testing is the recommended method for diagnosing anaemia during pregnancy, it may not be feasible to offer this service in humanitarian settings, particularly in the acute phase of an emergency. </w:t>
            </w:r>
          </w:p>
          <w:p w14:paraId="1389D917" w14:textId="77777777" w:rsidR="00EC60CB" w:rsidRPr="00C474D1" w:rsidRDefault="00EC60CB" w:rsidP="00732031">
            <w:pPr>
              <w:rPr>
                <w:rFonts w:ascii="Source Sans Pro" w:hAnsi="Source Sans Pro" w:cs="Calibri"/>
                <w:color w:val="000000" w:themeColor="text1"/>
                <w:sz w:val="20"/>
                <w:szCs w:val="20"/>
              </w:rPr>
            </w:pPr>
          </w:p>
          <w:p w14:paraId="4D7DBBFC" w14:textId="77777777" w:rsidR="00850A41" w:rsidRPr="00C474D1" w:rsidRDefault="00EC60CB"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In settings where full blood count testing is not available, </w:t>
            </w:r>
            <w:r w:rsidR="00531717" w:rsidRPr="00C474D1">
              <w:rPr>
                <w:rFonts w:ascii="Source Sans Pro" w:hAnsi="Source Sans Pro" w:cs="Calibri"/>
                <w:color w:val="000000" w:themeColor="text1"/>
                <w:sz w:val="20"/>
                <w:szCs w:val="20"/>
              </w:rPr>
              <w:t xml:space="preserve">WHO recommends </w:t>
            </w:r>
            <w:r w:rsidRPr="00C474D1">
              <w:rPr>
                <w:rFonts w:ascii="Source Sans Pro" w:hAnsi="Source Sans Pro" w:cs="Calibri"/>
                <w:color w:val="000000" w:themeColor="text1"/>
                <w:sz w:val="20"/>
                <w:szCs w:val="20"/>
              </w:rPr>
              <w:t xml:space="preserve">on-site haemoglobin testing with a haemoglobinometer over the use of the haemoglobin colour scale </w:t>
            </w:r>
            <w:r w:rsidR="00531717" w:rsidRPr="00C474D1">
              <w:rPr>
                <w:rFonts w:ascii="Source Sans Pro" w:hAnsi="Source Sans Pro" w:cs="Calibri"/>
                <w:color w:val="000000" w:themeColor="text1"/>
                <w:sz w:val="20"/>
                <w:szCs w:val="20"/>
              </w:rPr>
              <w:t>for</w:t>
            </w:r>
            <w:r w:rsidRPr="00C474D1">
              <w:rPr>
                <w:rFonts w:ascii="Source Sans Pro" w:hAnsi="Source Sans Pro" w:cs="Calibri"/>
                <w:color w:val="000000" w:themeColor="text1"/>
                <w:sz w:val="20"/>
                <w:szCs w:val="20"/>
              </w:rPr>
              <w:t xml:space="preserve"> diagnosing anaemia in pregnancy. </w:t>
            </w:r>
            <w:r w:rsidR="00531717" w:rsidRPr="00C474D1">
              <w:rPr>
                <w:rFonts w:ascii="Source Sans Pro" w:hAnsi="Source Sans Pro" w:cs="Calibri"/>
                <w:color w:val="000000" w:themeColor="text1"/>
                <w:sz w:val="20"/>
                <w:szCs w:val="20"/>
              </w:rPr>
              <w:t xml:space="preserve">This is because the haemoglobin colour scale method will probably miss more anaemic women (false negatives) than the haemoglobinometer. </w:t>
            </w:r>
          </w:p>
          <w:p w14:paraId="2DAAD9A0" w14:textId="77777777" w:rsidR="00531717" w:rsidRPr="00C474D1" w:rsidRDefault="00531717" w:rsidP="00732031">
            <w:pPr>
              <w:rPr>
                <w:rFonts w:ascii="Source Sans Pro" w:hAnsi="Source Sans Pro" w:cs="Calibri"/>
                <w:color w:val="000000" w:themeColor="text1"/>
                <w:sz w:val="20"/>
                <w:szCs w:val="20"/>
              </w:rPr>
            </w:pPr>
          </w:p>
          <w:p w14:paraId="54AA2EA0" w14:textId="08D1D7BA" w:rsidR="00531717" w:rsidRPr="00C474D1" w:rsidRDefault="00531717"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Where no testing is available, health workers may consider </w:t>
            </w:r>
            <w:r w:rsidR="00ED2C41" w:rsidRPr="00C474D1">
              <w:rPr>
                <w:rFonts w:ascii="Source Sans Pro" w:hAnsi="Source Sans Pro" w:cs="Calibri"/>
                <w:color w:val="000000" w:themeColor="text1"/>
                <w:sz w:val="20"/>
                <w:szCs w:val="20"/>
              </w:rPr>
              <w:t xml:space="preserve">therapeutic testing </w:t>
            </w:r>
            <w:r w:rsidR="00647049" w:rsidRPr="00C474D1">
              <w:rPr>
                <w:rFonts w:ascii="Source Sans Pro" w:hAnsi="Source Sans Pro" w:cs="Calibri"/>
                <w:color w:val="000000" w:themeColor="text1"/>
                <w:sz w:val="20"/>
                <w:szCs w:val="20"/>
              </w:rPr>
              <w:t>(i</w:t>
            </w:r>
            <w:r w:rsidR="00647049" w:rsidRPr="00C474D1">
              <w:rPr>
                <w:rFonts w:ascii="Source Sans Pro" w:hAnsi="Source Sans Pro"/>
                <w:sz w:val="20"/>
                <w:szCs w:val="20"/>
              </w:rPr>
              <w:t xml:space="preserve">.e., test of treatment) </w:t>
            </w:r>
            <w:r w:rsidRPr="00C474D1">
              <w:rPr>
                <w:rFonts w:ascii="Source Sans Pro" w:hAnsi="Source Sans Pro" w:cs="Calibri"/>
                <w:color w:val="000000" w:themeColor="text1"/>
                <w:sz w:val="20"/>
                <w:szCs w:val="20"/>
              </w:rPr>
              <w:t>with daily oral iron and folic acid supplementation.</w:t>
            </w:r>
          </w:p>
        </w:tc>
      </w:tr>
      <w:tr w:rsidR="00680972" w:rsidRPr="00C474D1" w14:paraId="55123CA8" w14:textId="77777777" w:rsidTr="00A721C8">
        <w:trPr>
          <w:cantSplit/>
        </w:trPr>
        <w:tc>
          <w:tcPr>
            <w:tcW w:w="3865" w:type="dxa"/>
          </w:tcPr>
          <w:p w14:paraId="61445A33" w14:textId="47AA4F72" w:rsidR="00D54101" w:rsidRPr="00C474D1" w:rsidRDefault="006E14D8" w:rsidP="00732031">
            <w:pPr>
              <w:rPr>
                <w:rFonts w:ascii="Source Sans Pro" w:hAnsi="Source Sans Pro" w:cs="Calibri"/>
                <w:sz w:val="20"/>
                <w:szCs w:val="20"/>
              </w:rPr>
            </w:pPr>
            <w:r w:rsidRPr="00C474D1">
              <w:rPr>
                <w:rFonts w:ascii="Source Sans Pro" w:hAnsi="Source Sans Pro" w:cs="Calibri"/>
                <w:sz w:val="20"/>
                <w:szCs w:val="20"/>
              </w:rPr>
              <w:t xml:space="preserve">2. Daily oral iron and folic acid supplementation with 30 mg to 60 mg of elemental iron and 400 </w:t>
            </w:r>
            <w:r w:rsidR="003A40F0" w:rsidRPr="00C474D1">
              <w:rPr>
                <w:rFonts w:ascii="Source Sans Pro" w:hAnsi="Source Sans Pro" w:cs="Calibri"/>
                <w:sz w:val="20"/>
                <w:szCs w:val="20"/>
              </w:rPr>
              <w:t>µ</w:t>
            </w:r>
            <w:r w:rsidRPr="00C474D1">
              <w:rPr>
                <w:rFonts w:ascii="Source Sans Pro" w:hAnsi="Source Sans Pro" w:cs="Calibri"/>
                <w:sz w:val="20"/>
                <w:szCs w:val="20"/>
              </w:rPr>
              <w:t>g (0.4 mg) of folic acid is recommended for pregnant women to prevent maternal anaemia, puerperal sepsis, low birth weight and preterm birth.</w:t>
            </w:r>
          </w:p>
        </w:tc>
        <w:tc>
          <w:tcPr>
            <w:tcW w:w="4680" w:type="dxa"/>
          </w:tcPr>
          <w:p w14:paraId="4C4BE5A1" w14:textId="31A3089C" w:rsidR="00CD7427" w:rsidRPr="00C474D1" w:rsidRDefault="00CD7427"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Norms and policy</w:t>
            </w:r>
          </w:p>
          <w:p w14:paraId="490C3438" w14:textId="55BD38C1" w:rsidR="00CD7427" w:rsidRPr="00C474D1" w:rsidRDefault="00CD7427" w:rsidP="00732031">
            <w:pPr>
              <w:pStyle w:val="ListParagraph"/>
              <w:numPr>
                <w:ilvl w:val="0"/>
                <w:numId w:val="13"/>
              </w:num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There may be confusion for stakeholders in how to navigate global norms and policy in this area as WHO has issued multiple pieces of guidance. Developing national preparedness plans can provide an opportunity to clarify any normative confusion in advance of an emergency where responses are </w:t>
            </w:r>
            <w:proofErr w:type="gramStart"/>
            <w:r w:rsidRPr="00C474D1">
              <w:rPr>
                <w:rFonts w:ascii="Source Sans Pro" w:hAnsi="Source Sans Pro" w:cs="Calibri"/>
                <w:color w:val="000000" w:themeColor="text1"/>
                <w:sz w:val="20"/>
                <w:szCs w:val="20"/>
              </w:rPr>
              <w:t>time-sensitive</w:t>
            </w:r>
            <w:proofErr w:type="gramEnd"/>
            <w:r w:rsidRPr="00C474D1">
              <w:rPr>
                <w:rFonts w:ascii="Source Sans Pro" w:hAnsi="Source Sans Pro" w:cs="Calibri"/>
                <w:color w:val="000000" w:themeColor="text1"/>
                <w:sz w:val="20"/>
                <w:szCs w:val="20"/>
              </w:rPr>
              <w:t>.</w:t>
            </w:r>
          </w:p>
          <w:p w14:paraId="6F62E950" w14:textId="77777777" w:rsidR="00677911" w:rsidRDefault="00677911" w:rsidP="00732031">
            <w:pPr>
              <w:rPr>
                <w:rFonts w:ascii="Source Sans Pro" w:hAnsi="Source Sans Pro" w:cs="Calibri"/>
                <w:color w:val="000000" w:themeColor="text1"/>
                <w:sz w:val="20"/>
                <w:szCs w:val="20"/>
              </w:rPr>
            </w:pPr>
          </w:p>
          <w:p w14:paraId="59FBD162" w14:textId="77777777" w:rsidR="00A721C8" w:rsidRPr="00C474D1" w:rsidRDefault="00A721C8" w:rsidP="00732031">
            <w:pPr>
              <w:rPr>
                <w:rFonts w:ascii="Source Sans Pro" w:hAnsi="Source Sans Pro" w:cs="Calibri"/>
                <w:color w:val="000000" w:themeColor="text1"/>
                <w:sz w:val="20"/>
                <w:szCs w:val="20"/>
              </w:rPr>
            </w:pPr>
          </w:p>
          <w:p w14:paraId="7E49E5D1" w14:textId="75CA5D1C" w:rsidR="00ED45C5" w:rsidRPr="00C474D1" w:rsidRDefault="00ED45C5"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Commodities and supply chain</w:t>
            </w:r>
          </w:p>
          <w:p w14:paraId="544CA0A9" w14:textId="77777777" w:rsidR="00ED45C5" w:rsidRPr="00C474D1" w:rsidRDefault="00ED45C5" w:rsidP="00732031">
            <w:pPr>
              <w:pStyle w:val="ListParagraph"/>
              <w:numPr>
                <w:ilvl w:val="0"/>
                <w:numId w:val="13"/>
              </w:num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Forecasting, procurement and distribution of supplements may be disrupted due to the emergency.</w:t>
            </w:r>
          </w:p>
          <w:p w14:paraId="2CFF0A0C" w14:textId="675532F4" w:rsidR="00ED45C5" w:rsidRPr="00C474D1" w:rsidRDefault="00ED45C5" w:rsidP="00732031">
            <w:pPr>
              <w:pStyle w:val="ListParagraph"/>
              <w:numPr>
                <w:ilvl w:val="0"/>
                <w:numId w:val="13"/>
              </w:num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Oral iron and folic acid supplements </w:t>
            </w:r>
            <w:r w:rsidR="005F6C90" w:rsidRPr="00C474D1">
              <w:rPr>
                <w:rFonts w:ascii="Source Sans Pro" w:hAnsi="Source Sans Pro" w:cs="Calibri"/>
                <w:color w:val="000000" w:themeColor="text1"/>
                <w:sz w:val="20"/>
                <w:szCs w:val="20"/>
              </w:rPr>
              <w:t xml:space="preserve">(including multiple micronutrient supplements with oral iron and folic acid) </w:t>
            </w:r>
            <w:r w:rsidRPr="00C474D1">
              <w:rPr>
                <w:rFonts w:ascii="Source Sans Pro" w:hAnsi="Source Sans Pro" w:cs="Calibri"/>
                <w:color w:val="000000" w:themeColor="text1"/>
                <w:sz w:val="20"/>
                <w:szCs w:val="20"/>
              </w:rPr>
              <w:t>are not included in Inter-Agency Reproductive Health kits and so need to be procured through other mechanisms.</w:t>
            </w:r>
          </w:p>
          <w:p w14:paraId="7A781BAC" w14:textId="77777777" w:rsidR="00677911" w:rsidRPr="00C474D1" w:rsidRDefault="00677911" w:rsidP="00732031">
            <w:pPr>
              <w:rPr>
                <w:rFonts w:ascii="Source Sans Pro" w:hAnsi="Source Sans Pro" w:cs="Calibri"/>
                <w:color w:val="000000" w:themeColor="text1"/>
                <w:sz w:val="20"/>
                <w:szCs w:val="20"/>
              </w:rPr>
            </w:pPr>
          </w:p>
          <w:p w14:paraId="6E2A8842" w14:textId="409DA2B7" w:rsidR="00531717" w:rsidRPr="00C474D1" w:rsidRDefault="00531717"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Access</w:t>
            </w:r>
          </w:p>
          <w:p w14:paraId="3D562020" w14:textId="16DEF05E" w:rsidR="00ED45C5" w:rsidRPr="00C474D1" w:rsidRDefault="00531717" w:rsidP="00732031">
            <w:pPr>
              <w:pStyle w:val="ListParagraph"/>
              <w:numPr>
                <w:ilvl w:val="0"/>
                <w:numId w:val="13"/>
              </w:num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Access challenges due to safety and mobility considerations may mean that women access preventive services even less than emergency care</w:t>
            </w:r>
            <w:r w:rsidR="00ED45C5" w:rsidRPr="00C474D1">
              <w:rPr>
                <w:rFonts w:ascii="Source Sans Pro" w:hAnsi="Source Sans Pro" w:cs="Calibri"/>
                <w:color w:val="000000" w:themeColor="text1"/>
                <w:sz w:val="20"/>
                <w:szCs w:val="20"/>
              </w:rPr>
              <w:t>. Women may also not know where to seek care within the context of a humanitarian emergency.</w:t>
            </w:r>
          </w:p>
          <w:p w14:paraId="2E752661" w14:textId="7EDCF903" w:rsidR="0089504A" w:rsidRPr="00C474D1" w:rsidRDefault="0089504A" w:rsidP="00732031">
            <w:pPr>
              <w:rPr>
                <w:rFonts w:ascii="Source Sans Pro" w:hAnsi="Source Sans Pro" w:cs="Calibri"/>
                <w:color w:val="124F1A" w:themeColor="accent3" w:themeShade="BF"/>
                <w:sz w:val="20"/>
                <w:szCs w:val="20"/>
              </w:rPr>
            </w:pPr>
          </w:p>
        </w:tc>
        <w:tc>
          <w:tcPr>
            <w:tcW w:w="6030" w:type="dxa"/>
          </w:tcPr>
          <w:p w14:paraId="7D4CF037" w14:textId="37BB6A85" w:rsidR="00ED45C5" w:rsidRPr="00C474D1" w:rsidRDefault="00AB10C1"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F</w:t>
            </w:r>
            <w:r w:rsidR="00ED45C5" w:rsidRPr="00C474D1">
              <w:rPr>
                <w:rFonts w:ascii="Source Sans Pro" w:hAnsi="Source Sans Pro" w:cs="Calibri"/>
                <w:color w:val="000000" w:themeColor="text1"/>
                <w:sz w:val="20"/>
                <w:szCs w:val="20"/>
              </w:rPr>
              <w:t xml:space="preserve">or routine </w:t>
            </w:r>
            <w:r w:rsidR="003A40F0" w:rsidRPr="00C474D1">
              <w:rPr>
                <w:rFonts w:ascii="Source Sans Pro" w:hAnsi="Source Sans Pro" w:cs="Calibri"/>
                <w:color w:val="000000" w:themeColor="text1"/>
                <w:sz w:val="20"/>
                <w:szCs w:val="20"/>
              </w:rPr>
              <w:t>antenatal care</w:t>
            </w:r>
            <w:r w:rsidR="00ED45C5" w:rsidRPr="00C474D1">
              <w:rPr>
                <w:rFonts w:ascii="Source Sans Pro" w:hAnsi="Source Sans Pro" w:cs="Calibri"/>
                <w:color w:val="000000" w:themeColor="text1"/>
                <w:sz w:val="20"/>
                <w:szCs w:val="20"/>
              </w:rPr>
              <w:t xml:space="preserve"> provision</w:t>
            </w:r>
            <w:r w:rsidRPr="00C474D1">
              <w:rPr>
                <w:rFonts w:ascii="Source Sans Pro" w:hAnsi="Source Sans Pro" w:cs="Calibri"/>
                <w:color w:val="000000" w:themeColor="text1"/>
                <w:sz w:val="20"/>
                <w:szCs w:val="20"/>
              </w:rPr>
              <w:t>,</w:t>
            </w:r>
            <w:r w:rsidR="00ED45C5" w:rsidRPr="00C474D1">
              <w:rPr>
                <w:rFonts w:ascii="Source Sans Pro" w:hAnsi="Source Sans Pro" w:cs="Calibri"/>
                <w:color w:val="000000" w:themeColor="text1"/>
                <w:sz w:val="20"/>
                <w:szCs w:val="20"/>
              </w:rPr>
              <w:t xml:space="preserve"> WHO recommends the use of multiple micronutrient supplements with oral iron and folic acid only in the context of rigorous research. </w:t>
            </w:r>
            <w:r w:rsidR="005F6C90" w:rsidRPr="00C474D1">
              <w:rPr>
                <w:rFonts w:ascii="Source Sans Pro" w:hAnsi="Source Sans Pro" w:cs="Calibri"/>
                <w:color w:val="000000" w:themeColor="text1"/>
                <w:sz w:val="20"/>
                <w:szCs w:val="20"/>
              </w:rPr>
              <w:t xml:space="preserve">However, in 2007, </w:t>
            </w:r>
            <w:r w:rsidRPr="00C474D1">
              <w:rPr>
                <w:rFonts w:ascii="Source Sans Pro" w:hAnsi="Source Sans Pro" w:cs="Calibri"/>
                <w:color w:val="000000" w:themeColor="text1"/>
                <w:sz w:val="20"/>
                <w:szCs w:val="20"/>
              </w:rPr>
              <w:t>WHO, the World Food Programme</w:t>
            </w:r>
            <w:r w:rsidR="005F6C90" w:rsidRPr="00C474D1">
              <w:rPr>
                <w:rFonts w:ascii="Source Sans Pro" w:hAnsi="Source Sans Pro" w:cs="Calibri"/>
                <w:color w:val="000000" w:themeColor="text1"/>
                <w:sz w:val="20"/>
                <w:szCs w:val="20"/>
              </w:rPr>
              <w:t xml:space="preserve"> and the United Nations Children’s Fund (UNICEF) issued a joint statement on preventing and controlling micronutrient deficiencies in populations affected by an emergency, which says that “[p]regnant and lactating women should be given [multiple micronutrient supplements with oral iron and folic acid] providing one Recommended Nutrient Intake of micronutrients daily, whether they receive fortified rations or not. Iron and folic acid supplements, when already provided, should be continued…The multiple </w:t>
            </w:r>
            <w:r w:rsidR="005F6C90" w:rsidRPr="00C474D1">
              <w:rPr>
                <w:rFonts w:ascii="Source Sans Pro" w:hAnsi="Source Sans Pro" w:cs="Calibri"/>
                <w:color w:val="000000" w:themeColor="text1"/>
                <w:sz w:val="20"/>
                <w:szCs w:val="20"/>
              </w:rPr>
              <w:lastRenderedPageBreak/>
              <w:t>micronutrient supplements should be given until the emergency is over and access to nutrient rich foods is restored”</w:t>
            </w:r>
            <w:r w:rsidR="0065413D" w:rsidRPr="00C474D1">
              <w:rPr>
                <w:rFonts w:ascii="Source Sans Pro" w:hAnsi="Source Sans Pro" w:cs="Calibri"/>
                <w:color w:val="000000" w:themeColor="text1"/>
                <w:sz w:val="20"/>
                <w:szCs w:val="20"/>
              </w:rPr>
              <w:t xml:space="preserve"> </w:t>
            </w:r>
            <w:r w:rsidR="00A477CF" w:rsidRPr="00374CE9">
              <w:rPr>
                <w:rFonts w:ascii="Source Sans Pro" w:hAnsi="Source Sans Pro" w:cs="Calibri"/>
                <w:i/>
                <w:iCs/>
                <w:noProof/>
                <w:color w:val="000000" w:themeColor="text1"/>
                <w:sz w:val="20"/>
                <w:szCs w:val="20"/>
              </w:rPr>
              <w:t>(14</w:t>
            </w:r>
            <w:r w:rsidR="00B669C9" w:rsidRPr="00374CE9">
              <w:rPr>
                <w:rFonts w:ascii="Source Sans Pro" w:hAnsi="Source Sans Pro" w:cs="Calibri"/>
                <w:i/>
                <w:iCs/>
                <w:noProof/>
                <w:color w:val="000000" w:themeColor="text1"/>
                <w:sz w:val="20"/>
                <w:szCs w:val="20"/>
              </w:rPr>
              <w:t>, p. 2</w:t>
            </w:r>
            <w:r w:rsidR="00A477CF" w:rsidRPr="00374CE9">
              <w:rPr>
                <w:rFonts w:ascii="Source Sans Pro" w:hAnsi="Source Sans Pro" w:cs="Calibri"/>
                <w:i/>
                <w:iCs/>
                <w:noProof/>
                <w:color w:val="000000" w:themeColor="text1"/>
                <w:sz w:val="20"/>
                <w:szCs w:val="20"/>
              </w:rPr>
              <w:t>)</w:t>
            </w:r>
            <w:r w:rsidR="0065413D" w:rsidRPr="00C474D1">
              <w:rPr>
                <w:rFonts w:ascii="Source Sans Pro" w:hAnsi="Source Sans Pro" w:cs="Calibri"/>
                <w:color w:val="000000" w:themeColor="text1"/>
                <w:sz w:val="20"/>
                <w:szCs w:val="20"/>
              </w:rPr>
              <w:t>.</w:t>
            </w:r>
            <w:r w:rsidR="00CD7427" w:rsidRPr="00C474D1">
              <w:rPr>
                <w:rFonts w:ascii="Source Sans Pro" w:hAnsi="Source Sans Pro" w:cs="Calibri"/>
                <w:color w:val="000000" w:themeColor="text1"/>
                <w:sz w:val="20"/>
                <w:szCs w:val="20"/>
              </w:rPr>
              <w:t xml:space="preserve"> </w:t>
            </w:r>
            <w:r w:rsidR="00D43F30" w:rsidRPr="00C474D1">
              <w:rPr>
                <w:rFonts w:ascii="Source Sans Pro" w:hAnsi="Source Sans Pro" w:cs="Calibri"/>
                <w:color w:val="000000" w:themeColor="text1"/>
                <w:sz w:val="20"/>
                <w:szCs w:val="20"/>
              </w:rPr>
              <w:t>In malaria-endemic areas, the iron concentration in multiple micronutrient supplements may not be sufficient to meet the iron needs of pregnant and lactating women. The usable iron content of multiple micronutrient supplements should be checked; if the usable iron is too low for pregnant and lactating women, oral iron supplements should be explored as an alternative.</w:t>
            </w:r>
          </w:p>
          <w:p w14:paraId="2B3B6FD3" w14:textId="77777777" w:rsidR="00CD7427" w:rsidRPr="00C474D1" w:rsidRDefault="00CD7427" w:rsidP="00732031">
            <w:pPr>
              <w:rPr>
                <w:rFonts w:ascii="Source Sans Pro" w:hAnsi="Source Sans Pro" w:cs="Calibri"/>
                <w:color w:val="000000" w:themeColor="text1"/>
                <w:sz w:val="20"/>
                <w:szCs w:val="20"/>
              </w:rPr>
            </w:pPr>
          </w:p>
          <w:p w14:paraId="33702F17" w14:textId="4CA38297" w:rsidR="00CD7427" w:rsidRPr="00C474D1" w:rsidRDefault="00CD7427"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In humanitarian emergencies, multiple micronutrient supplements with oral iron and folic acid can be procured in-country by UNICEF Country Offices and certain non-governmental organizations (e.g., Vitamin Angels Alliance).</w:t>
            </w:r>
            <w:r w:rsidR="00677911" w:rsidRPr="00C474D1">
              <w:rPr>
                <w:rFonts w:ascii="Source Sans Pro" w:hAnsi="Source Sans Pro" w:cs="Calibri"/>
                <w:color w:val="000000" w:themeColor="text1"/>
                <w:sz w:val="20"/>
                <w:szCs w:val="20"/>
              </w:rPr>
              <w:t xml:space="preserve"> Most of these supplements are procured internationally and subject to supply chains disruptions, so planning and preparedness efforts may want to consider establishing buffer stocks, as well as policy to support the development of local or regional production</w:t>
            </w:r>
            <w:r w:rsidR="0065413D" w:rsidRPr="00C474D1">
              <w:rPr>
                <w:rFonts w:ascii="Source Sans Pro" w:hAnsi="Source Sans Pro" w:cs="Calibri"/>
                <w:color w:val="000000" w:themeColor="text1"/>
                <w:sz w:val="20"/>
                <w:szCs w:val="20"/>
              </w:rPr>
              <w:t xml:space="preserve"> </w:t>
            </w:r>
            <w:r w:rsidR="00A477CF" w:rsidRPr="00374CE9">
              <w:rPr>
                <w:rFonts w:ascii="Source Sans Pro" w:hAnsi="Source Sans Pro" w:cs="Calibri"/>
                <w:i/>
                <w:iCs/>
                <w:noProof/>
                <w:color w:val="000000" w:themeColor="text1"/>
                <w:sz w:val="20"/>
                <w:szCs w:val="20"/>
              </w:rPr>
              <w:t>(15)</w:t>
            </w:r>
            <w:r w:rsidR="00677911" w:rsidRPr="00C474D1">
              <w:rPr>
                <w:rFonts w:ascii="Source Sans Pro" w:hAnsi="Source Sans Pro" w:cs="Calibri"/>
                <w:color w:val="000000" w:themeColor="text1"/>
                <w:sz w:val="20"/>
                <w:szCs w:val="20"/>
              </w:rPr>
              <w:t>.</w:t>
            </w:r>
          </w:p>
          <w:p w14:paraId="55560CBD" w14:textId="77777777" w:rsidR="00ED45C5" w:rsidRPr="00C474D1" w:rsidRDefault="00ED45C5" w:rsidP="00732031">
            <w:pPr>
              <w:rPr>
                <w:rFonts w:ascii="Source Sans Pro" w:hAnsi="Source Sans Pro" w:cs="Calibri"/>
                <w:color w:val="000000" w:themeColor="text1"/>
                <w:sz w:val="20"/>
                <w:szCs w:val="20"/>
              </w:rPr>
            </w:pPr>
          </w:p>
          <w:p w14:paraId="255EDF7B" w14:textId="77777777" w:rsidR="0089504A" w:rsidRDefault="00ED45C5"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Oral iron supplementation takes several weeks to treat iron-deficiency anaemia. Depending on when a woman presents to care, there may not be sufficient time for the treatment to take effect. If sufficient infrastructure is available, health workers may consider</w:t>
            </w:r>
            <w:r w:rsidR="005F36DF" w:rsidRPr="00C474D1">
              <w:rPr>
                <w:rFonts w:ascii="Source Sans Pro" w:hAnsi="Source Sans Pro" w:cs="Calibri"/>
                <w:color w:val="000000" w:themeColor="text1"/>
                <w:sz w:val="20"/>
                <w:szCs w:val="20"/>
              </w:rPr>
              <w:t xml:space="preserve"> opportunistic</w:t>
            </w:r>
            <w:r w:rsidRPr="00C474D1">
              <w:rPr>
                <w:rFonts w:ascii="Source Sans Pro" w:hAnsi="Source Sans Pro" w:cs="Calibri"/>
                <w:color w:val="000000" w:themeColor="text1"/>
                <w:sz w:val="20"/>
                <w:szCs w:val="20"/>
              </w:rPr>
              <w:t xml:space="preserve"> </w:t>
            </w:r>
            <w:r w:rsidR="00732031" w:rsidRPr="00C474D1">
              <w:rPr>
                <w:rFonts w:ascii="Source Sans Pro" w:hAnsi="Source Sans Pro" w:cs="Calibri"/>
                <w:color w:val="000000" w:themeColor="text1"/>
                <w:sz w:val="20"/>
                <w:szCs w:val="20"/>
              </w:rPr>
              <w:t>intravenous</w:t>
            </w:r>
            <w:r w:rsidRPr="00C474D1">
              <w:rPr>
                <w:rFonts w:ascii="Source Sans Pro" w:hAnsi="Source Sans Pro" w:cs="Calibri"/>
                <w:color w:val="000000" w:themeColor="text1"/>
                <w:sz w:val="20"/>
                <w:szCs w:val="20"/>
              </w:rPr>
              <w:t xml:space="preserve"> iron therapy for women with demonstrated iron-deficiency anaemia. Definitive diagnosis is needed prior to treatment, as </w:t>
            </w:r>
            <w:r w:rsidR="00690E23" w:rsidRPr="00C474D1">
              <w:rPr>
                <w:rFonts w:ascii="Source Sans Pro" w:hAnsi="Source Sans Pro" w:cs="Calibri"/>
                <w:color w:val="000000" w:themeColor="text1"/>
                <w:sz w:val="20"/>
                <w:szCs w:val="20"/>
              </w:rPr>
              <w:t>intravenous</w:t>
            </w:r>
            <w:r w:rsidRPr="00C474D1">
              <w:rPr>
                <w:rFonts w:ascii="Source Sans Pro" w:hAnsi="Source Sans Pro" w:cs="Calibri"/>
                <w:color w:val="000000" w:themeColor="text1"/>
                <w:sz w:val="20"/>
                <w:szCs w:val="20"/>
              </w:rPr>
              <w:t xml:space="preserve"> iron therapy is only effective for iron-deficiency anaemia and the risks outweigh the benefit for women with other kinds of anaemia.</w:t>
            </w:r>
          </w:p>
          <w:p w14:paraId="592F34D0" w14:textId="77777777" w:rsidR="00A721C8" w:rsidRDefault="00A721C8" w:rsidP="00732031">
            <w:pPr>
              <w:rPr>
                <w:rFonts w:ascii="Source Sans Pro" w:hAnsi="Source Sans Pro" w:cs="Calibri"/>
                <w:color w:val="000000" w:themeColor="text1"/>
                <w:sz w:val="20"/>
                <w:szCs w:val="20"/>
              </w:rPr>
            </w:pPr>
          </w:p>
          <w:p w14:paraId="3BAF746D" w14:textId="049612D7" w:rsidR="00A721C8" w:rsidRPr="00C474D1" w:rsidRDefault="00A721C8" w:rsidP="00732031">
            <w:pPr>
              <w:rPr>
                <w:rFonts w:ascii="Source Sans Pro" w:hAnsi="Source Sans Pro" w:cs="Calibri"/>
                <w:color w:val="000000" w:themeColor="text1"/>
                <w:sz w:val="20"/>
                <w:szCs w:val="20"/>
              </w:rPr>
            </w:pPr>
          </w:p>
        </w:tc>
      </w:tr>
      <w:tr w:rsidR="00680972" w:rsidRPr="00C474D1" w14:paraId="3ADCBCF6" w14:textId="77777777" w:rsidTr="00A721C8">
        <w:trPr>
          <w:cantSplit/>
        </w:trPr>
        <w:tc>
          <w:tcPr>
            <w:tcW w:w="3865" w:type="dxa"/>
          </w:tcPr>
          <w:p w14:paraId="37ADE8AD" w14:textId="42C4D31F" w:rsidR="00D54101" w:rsidRPr="00C474D1" w:rsidRDefault="006E14D8" w:rsidP="00732031">
            <w:pPr>
              <w:rPr>
                <w:rFonts w:ascii="Source Sans Pro" w:hAnsi="Source Sans Pro" w:cs="Calibri"/>
                <w:sz w:val="20"/>
                <w:szCs w:val="20"/>
              </w:rPr>
            </w:pPr>
            <w:r w:rsidRPr="00C474D1">
              <w:rPr>
                <w:rFonts w:ascii="Source Sans Pro" w:hAnsi="Source Sans Pro" w:cs="Calibri"/>
                <w:sz w:val="20"/>
                <w:szCs w:val="20"/>
              </w:rPr>
              <w:lastRenderedPageBreak/>
              <w:t xml:space="preserve">3. Intermittent oral iron and folic acid supplementation with 120 mg of elemental iron and 2800 </w:t>
            </w:r>
            <w:proofErr w:type="spellStart"/>
            <w:r w:rsidRPr="00C474D1">
              <w:rPr>
                <w:rFonts w:ascii="Source Sans Pro" w:hAnsi="Source Sans Pro" w:cs="Calibri"/>
                <w:sz w:val="20"/>
                <w:szCs w:val="20"/>
              </w:rPr>
              <w:t>μg</w:t>
            </w:r>
            <w:proofErr w:type="spellEnd"/>
            <w:r w:rsidRPr="00C474D1">
              <w:rPr>
                <w:rFonts w:ascii="Source Sans Pro" w:hAnsi="Source Sans Pro" w:cs="Calibri"/>
                <w:sz w:val="20"/>
                <w:szCs w:val="20"/>
              </w:rPr>
              <w:t xml:space="preserve"> (2.8 mg) of folic acid once weekly is recommended for pregnant women to improve maternal and neonatal outcomes if daily iron is not acceptable due to side effects, and in populations with an anaemia prevalence among pregnant women of less than 20%.</w:t>
            </w:r>
          </w:p>
        </w:tc>
        <w:tc>
          <w:tcPr>
            <w:tcW w:w="4680" w:type="dxa"/>
          </w:tcPr>
          <w:p w14:paraId="25C4010D" w14:textId="74D4381D" w:rsidR="008F2AA6" w:rsidRPr="00C474D1" w:rsidRDefault="00F6565E" w:rsidP="00732031">
            <w:pPr>
              <w:rPr>
                <w:rFonts w:ascii="Source Sans Pro" w:hAnsi="Source Sans Pro" w:cs="Calibri"/>
                <w:i/>
                <w:iCs/>
                <w:color w:val="000000" w:themeColor="text1"/>
                <w:sz w:val="20"/>
                <w:szCs w:val="20"/>
              </w:rPr>
            </w:pPr>
            <w:r w:rsidRPr="00C474D1">
              <w:rPr>
                <w:rFonts w:ascii="Source Sans Pro" w:hAnsi="Source Sans Pro" w:cs="Calibri"/>
                <w:i/>
                <w:iCs/>
                <w:color w:val="000000" w:themeColor="text1"/>
                <w:sz w:val="20"/>
                <w:szCs w:val="20"/>
              </w:rPr>
              <w:t xml:space="preserve">See recommendation </w:t>
            </w:r>
            <w:r w:rsidR="00411CFA" w:rsidRPr="00C474D1">
              <w:rPr>
                <w:rFonts w:ascii="Source Sans Pro" w:hAnsi="Source Sans Pro" w:cs="Calibri"/>
                <w:i/>
                <w:iCs/>
                <w:color w:val="000000" w:themeColor="text1"/>
                <w:sz w:val="20"/>
                <w:szCs w:val="20"/>
              </w:rPr>
              <w:t>2</w:t>
            </w:r>
            <w:r w:rsidRPr="00C474D1">
              <w:rPr>
                <w:rFonts w:ascii="Source Sans Pro" w:hAnsi="Source Sans Pro" w:cs="Calibri"/>
                <w:i/>
                <w:iCs/>
                <w:color w:val="000000" w:themeColor="text1"/>
                <w:sz w:val="20"/>
                <w:szCs w:val="20"/>
              </w:rPr>
              <w:t>.</w:t>
            </w:r>
          </w:p>
        </w:tc>
        <w:tc>
          <w:tcPr>
            <w:tcW w:w="6030" w:type="dxa"/>
          </w:tcPr>
          <w:p w14:paraId="6B691F25" w14:textId="5516E39E" w:rsidR="00D54101" w:rsidRPr="00C474D1" w:rsidRDefault="00F6565E" w:rsidP="00732031">
            <w:pPr>
              <w:rPr>
                <w:rFonts w:ascii="Source Sans Pro" w:hAnsi="Source Sans Pro" w:cs="Calibri"/>
                <w:i/>
                <w:iCs/>
                <w:color w:val="000000" w:themeColor="text1"/>
                <w:sz w:val="20"/>
                <w:szCs w:val="20"/>
              </w:rPr>
            </w:pPr>
            <w:r w:rsidRPr="00C474D1">
              <w:rPr>
                <w:rFonts w:ascii="Source Sans Pro" w:hAnsi="Source Sans Pro" w:cs="Calibri"/>
                <w:i/>
                <w:iCs/>
                <w:color w:val="000000" w:themeColor="text1"/>
                <w:sz w:val="20"/>
                <w:szCs w:val="20"/>
              </w:rPr>
              <w:t xml:space="preserve">See recommendation </w:t>
            </w:r>
            <w:r w:rsidR="00411CFA" w:rsidRPr="00C474D1">
              <w:rPr>
                <w:rFonts w:ascii="Source Sans Pro" w:hAnsi="Source Sans Pro" w:cs="Calibri"/>
                <w:i/>
                <w:iCs/>
                <w:color w:val="000000" w:themeColor="text1"/>
                <w:sz w:val="20"/>
                <w:szCs w:val="20"/>
              </w:rPr>
              <w:t>2</w:t>
            </w:r>
            <w:r w:rsidRPr="00C474D1">
              <w:rPr>
                <w:rFonts w:ascii="Source Sans Pro" w:hAnsi="Source Sans Pro" w:cs="Calibri"/>
                <w:i/>
                <w:iCs/>
                <w:color w:val="000000" w:themeColor="text1"/>
                <w:sz w:val="20"/>
                <w:szCs w:val="20"/>
              </w:rPr>
              <w:t>.</w:t>
            </w:r>
          </w:p>
        </w:tc>
      </w:tr>
      <w:tr w:rsidR="00680972" w:rsidRPr="00C474D1" w14:paraId="37B44870" w14:textId="77777777" w:rsidTr="00A721C8">
        <w:trPr>
          <w:cantSplit/>
          <w:trHeight w:val="890"/>
        </w:trPr>
        <w:tc>
          <w:tcPr>
            <w:tcW w:w="3865" w:type="dxa"/>
          </w:tcPr>
          <w:p w14:paraId="414A0036" w14:textId="4E80B21D" w:rsidR="00D54101" w:rsidRPr="00C474D1" w:rsidRDefault="006E14D8" w:rsidP="00732031">
            <w:pPr>
              <w:rPr>
                <w:rFonts w:ascii="Source Sans Pro" w:hAnsi="Source Sans Pro" w:cs="Calibri"/>
                <w:sz w:val="20"/>
                <w:szCs w:val="20"/>
              </w:rPr>
            </w:pPr>
            <w:r w:rsidRPr="00C474D1">
              <w:rPr>
                <w:rFonts w:ascii="Source Sans Pro" w:hAnsi="Source Sans Pro" w:cs="Calibri"/>
                <w:sz w:val="20"/>
                <w:szCs w:val="20"/>
              </w:rPr>
              <w:t>4. Intravenous iron therapy is recommended over oral iron therapy for women with iron-deficiency anaemia during pregnancy when oral iron cannot be used or is not tolerated, or there is a clinical need to correct the anaemia rapidly, provided the woman can be monitored for prompt identification of anaphylaxis.</w:t>
            </w:r>
          </w:p>
        </w:tc>
        <w:tc>
          <w:tcPr>
            <w:tcW w:w="4680" w:type="dxa"/>
          </w:tcPr>
          <w:p w14:paraId="0D67C393" w14:textId="77777777" w:rsidR="00411CFA" w:rsidRPr="00C474D1" w:rsidRDefault="00411CFA"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Commodities and supply chain</w:t>
            </w:r>
          </w:p>
          <w:p w14:paraId="761C9DBA" w14:textId="77777777" w:rsidR="00411CFA" w:rsidRPr="00C474D1" w:rsidRDefault="00411CFA" w:rsidP="00732031">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Forecasting, procurement, pre-positioning, and distribution of supplements may be disrupted due to the emergency.</w:t>
            </w:r>
          </w:p>
          <w:p w14:paraId="10B40F36" w14:textId="69066BFB" w:rsidR="00411CFA" w:rsidRPr="00C474D1" w:rsidRDefault="00690E23" w:rsidP="00732031">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Intravenous</w:t>
            </w:r>
            <w:r w:rsidR="00411CFA" w:rsidRPr="00C474D1">
              <w:rPr>
                <w:rFonts w:ascii="Source Sans Pro" w:hAnsi="Source Sans Pro" w:cs="Calibri"/>
                <w:color w:val="000000" w:themeColor="text1"/>
                <w:sz w:val="20"/>
                <w:szCs w:val="20"/>
              </w:rPr>
              <w:t xml:space="preserve"> iron preparations are not included in Inter-Agency Reproductive Health kits and so need to be procured through other mechanisms.</w:t>
            </w:r>
          </w:p>
          <w:p w14:paraId="5D465B50" w14:textId="77777777" w:rsidR="00411CFA" w:rsidRPr="00C474D1" w:rsidRDefault="00411CFA" w:rsidP="00732031">
            <w:pPr>
              <w:rPr>
                <w:rFonts w:ascii="Source Sans Pro" w:hAnsi="Source Sans Pro" w:cs="Calibri"/>
                <w:color w:val="000000" w:themeColor="text1"/>
                <w:sz w:val="20"/>
                <w:szCs w:val="20"/>
              </w:rPr>
            </w:pPr>
          </w:p>
          <w:p w14:paraId="07B8DF9F" w14:textId="634B5D47" w:rsidR="00677911" w:rsidRPr="00C474D1" w:rsidRDefault="00677911"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Norms and policy</w:t>
            </w:r>
          </w:p>
          <w:p w14:paraId="5A677BA0" w14:textId="453091BD" w:rsidR="00677911" w:rsidRPr="00C474D1" w:rsidRDefault="00EE5E53" w:rsidP="00732031">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Midwives may not be authorized to administer intravenous fluids or may require physician supervision to do so, depending on their scope of practice in-country.</w:t>
            </w:r>
          </w:p>
          <w:p w14:paraId="4EFE910D" w14:textId="77777777" w:rsidR="00677911" w:rsidRPr="00C474D1" w:rsidRDefault="00677911" w:rsidP="00732031">
            <w:pPr>
              <w:rPr>
                <w:rFonts w:ascii="Source Sans Pro" w:hAnsi="Source Sans Pro" w:cs="Calibri"/>
                <w:color w:val="000000" w:themeColor="text1"/>
                <w:sz w:val="20"/>
                <w:szCs w:val="20"/>
              </w:rPr>
            </w:pPr>
          </w:p>
          <w:p w14:paraId="2FC75D6E" w14:textId="7100757E" w:rsidR="0077080B" w:rsidRPr="00C474D1" w:rsidRDefault="0077080B"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Human resources</w:t>
            </w:r>
          </w:p>
          <w:p w14:paraId="07EA909C" w14:textId="73D6803F" w:rsidR="0077080B" w:rsidRPr="00C474D1" w:rsidRDefault="0077080B" w:rsidP="00732031">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To safely implement this recommendation, health workers need training to identify signs of anaphylaxis and differentiate those from </w:t>
            </w:r>
            <w:proofErr w:type="spellStart"/>
            <w:r w:rsidRPr="00C474D1">
              <w:rPr>
                <w:rFonts w:ascii="Source Sans Pro" w:hAnsi="Source Sans Pro" w:cs="Calibri"/>
                <w:color w:val="000000" w:themeColor="text1"/>
                <w:sz w:val="20"/>
                <w:szCs w:val="20"/>
              </w:rPr>
              <w:t>Fishbane</w:t>
            </w:r>
            <w:proofErr w:type="spellEnd"/>
            <w:r w:rsidRPr="00C474D1">
              <w:rPr>
                <w:rFonts w:ascii="Source Sans Pro" w:hAnsi="Source Sans Pro" w:cs="Calibri"/>
                <w:color w:val="000000" w:themeColor="text1"/>
                <w:sz w:val="20"/>
                <w:szCs w:val="20"/>
              </w:rPr>
              <w:t xml:space="preserve"> reactions. Providing such training may not be feasible in some humanitarian settings.</w:t>
            </w:r>
          </w:p>
          <w:p w14:paraId="43475969" w14:textId="4F0649F6" w:rsidR="0077080B" w:rsidRPr="00C474D1" w:rsidRDefault="0077080B" w:rsidP="00732031">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Infrastructure</w:t>
            </w:r>
          </w:p>
          <w:p w14:paraId="652F7551" w14:textId="63626999" w:rsidR="0077080B" w:rsidRPr="00C474D1" w:rsidRDefault="0077080B" w:rsidP="00732031">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Service delivery infrastructure to respond to anaphylaxis is needed to safely implement this recommendation. Such infrastructure and the resources to manage anaphylaxis may not be available in some humanitarian settings. In such circumstances, the risks associated with administering this intervention may outweigh the benefits.</w:t>
            </w:r>
          </w:p>
          <w:p w14:paraId="690CC6E7" w14:textId="25DD8361" w:rsidR="0089504A" w:rsidRPr="00C474D1" w:rsidRDefault="00ED2C41" w:rsidP="00732031">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Sufficient space to deliver this intervention and safely monitor women who have received intravenous iron may not be available in humanitarian settings, particularly in the acute phase of the crisis.</w:t>
            </w:r>
          </w:p>
        </w:tc>
        <w:tc>
          <w:tcPr>
            <w:tcW w:w="6030" w:type="dxa"/>
          </w:tcPr>
          <w:p w14:paraId="5ABC0926" w14:textId="5DE1B144" w:rsidR="00411CFA" w:rsidRPr="00C474D1" w:rsidRDefault="00411CFA" w:rsidP="00732031">
            <w:pPr>
              <w:tabs>
                <w:tab w:val="left" w:pos="1683"/>
              </w:tabs>
              <w:rPr>
                <w:rFonts w:ascii="Source Sans Pro" w:hAnsi="Source Sans Pro" w:cs="Calibri"/>
                <w:sz w:val="20"/>
                <w:szCs w:val="20"/>
              </w:rPr>
            </w:pPr>
            <w:r w:rsidRPr="00C474D1">
              <w:rPr>
                <w:rFonts w:ascii="Source Sans Pro" w:hAnsi="Source Sans Pro" w:cs="Calibri"/>
                <w:sz w:val="20"/>
                <w:szCs w:val="20"/>
              </w:rPr>
              <w:lastRenderedPageBreak/>
              <w:t xml:space="preserve">There is not currently humanitarian-specific infrastructure to support procurement of </w:t>
            </w:r>
            <w:r w:rsidR="00690E23" w:rsidRPr="00C474D1">
              <w:rPr>
                <w:rFonts w:ascii="Source Sans Pro" w:hAnsi="Source Sans Pro" w:cs="Calibri"/>
                <w:sz w:val="20"/>
                <w:szCs w:val="20"/>
              </w:rPr>
              <w:t>intravenous</w:t>
            </w:r>
            <w:r w:rsidRPr="00C474D1">
              <w:rPr>
                <w:rFonts w:ascii="Source Sans Pro" w:hAnsi="Source Sans Pro" w:cs="Calibri"/>
                <w:sz w:val="20"/>
                <w:szCs w:val="20"/>
              </w:rPr>
              <w:t xml:space="preserve"> iron preparations during emergencies. These preparations can be costly and may not meant cost-effectiveness considerations specific to emergencies.</w:t>
            </w:r>
          </w:p>
          <w:p w14:paraId="602A9EB6" w14:textId="77777777" w:rsidR="00411CFA" w:rsidRPr="00C474D1" w:rsidRDefault="00411CFA" w:rsidP="00732031">
            <w:pPr>
              <w:tabs>
                <w:tab w:val="left" w:pos="1683"/>
              </w:tabs>
              <w:rPr>
                <w:rFonts w:ascii="Source Sans Pro" w:hAnsi="Source Sans Pro" w:cs="Calibri"/>
                <w:sz w:val="20"/>
                <w:szCs w:val="20"/>
              </w:rPr>
            </w:pPr>
          </w:p>
          <w:p w14:paraId="74D1C6D1" w14:textId="6420FA2E" w:rsidR="00D54101" w:rsidRPr="00C474D1" w:rsidRDefault="0077080B" w:rsidP="00732031">
            <w:pPr>
              <w:tabs>
                <w:tab w:val="left" w:pos="1683"/>
              </w:tabs>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Planning and preparedness efforts may consider the need for policy change to broaden midwives’ scope of practice, generally or within the context of a declared emergency. Any change to scope of practice will need to be supported by training to reinforce the activities included within the broadened scope.</w:t>
            </w:r>
          </w:p>
          <w:p w14:paraId="5F2BCFE4" w14:textId="77777777" w:rsidR="0077080B" w:rsidRPr="00C474D1" w:rsidRDefault="0077080B" w:rsidP="00732031">
            <w:pPr>
              <w:tabs>
                <w:tab w:val="left" w:pos="1683"/>
              </w:tabs>
              <w:rPr>
                <w:rFonts w:ascii="Source Sans Pro" w:hAnsi="Source Sans Pro" w:cs="Calibri"/>
                <w:sz w:val="20"/>
                <w:szCs w:val="20"/>
              </w:rPr>
            </w:pPr>
          </w:p>
          <w:p w14:paraId="216E7E64" w14:textId="77777777" w:rsidR="0077080B" w:rsidRPr="00C474D1" w:rsidRDefault="0077080B" w:rsidP="00732031">
            <w:pPr>
              <w:tabs>
                <w:tab w:val="left" w:pos="1683"/>
              </w:tabs>
              <w:rPr>
                <w:rFonts w:ascii="Source Sans Pro" w:hAnsi="Source Sans Pro" w:cs="Calibri"/>
                <w:sz w:val="20"/>
                <w:szCs w:val="20"/>
              </w:rPr>
            </w:pPr>
            <w:r w:rsidRPr="00C474D1">
              <w:rPr>
                <w:rFonts w:ascii="Source Sans Pro" w:hAnsi="Source Sans Pro" w:cs="Calibri"/>
                <w:sz w:val="20"/>
                <w:szCs w:val="20"/>
              </w:rPr>
              <w:t xml:space="preserve">Identifying and managing anaphylaxis, including differentiation between anaphylaxis and </w:t>
            </w:r>
            <w:proofErr w:type="spellStart"/>
            <w:r w:rsidRPr="00C474D1">
              <w:rPr>
                <w:rFonts w:ascii="Source Sans Pro" w:hAnsi="Source Sans Pro" w:cs="Calibri"/>
                <w:sz w:val="20"/>
                <w:szCs w:val="20"/>
              </w:rPr>
              <w:t>Fishbane</w:t>
            </w:r>
            <w:proofErr w:type="spellEnd"/>
            <w:r w:rsidRPr="00C474D1">
              <w:rPr>
                <w:rFonts w:ascii="Source Sans Pro" w:hAnsi="Source Sans Pro" w:cs="Calibri"/>
                <w:sz w:val="20"/>
                <w:szCs w:val="20"/>
              </w:rPr>
              <w:t xml:space="preserve"> reactions, is not included in the training materials for the prevention, diagnosis and treatment of postpartum haemorrhage that accompany this guideline and implementation toolkit. This training would need to be considered apart from existing resources to support implementation of postpartum haemorrhage recommendations.</w:t>
            </w:r>
          </w:p>
          <w:p w14:paraId="68148DD0" w14:textId="77777777" w:rsidR="0077080B" w:rsidRPr="00C474D1" w:rsidRDefault="0077080B" w:rsidP="00732031">
            <w:pPr>
              <w:tabs>
                <w:tab w:val="left" w:pos="1683"/>
              </w:tabs>
              <w:rPr>
                <w:rFonts w:ascii="Source Sans Pro" w:hAnsi="Source Sans Pro" w:cs="Calibri"/>
                <w:sz w:val="20"/>
                <w:szCs w:val="20"/>
              </w:rPr>
            </w:pPr>
          </w:p>
          <w:p w14:paraId="2A130BB1" w14:textId="6AB5CDF5" w:rsidR="0077080B" w:rsidRPr="00C474D1" w:rsidRDefault="0077080B" w:rsidP="00732031">
            <w:pPr>
              <w:tabs>
                <w:tab w:val="left" w:pos="1683"/>
              </w:tabs>
              <w:rPr>
                <w:rFonts w:ascii="Source Sans Pro" w:hAnsi="Source Sans Pro" w:cs="Calibri"/>
                <w:sz w:val="20"/>
                <w:szCs w:val="20"/>
              </w:rPr>
            </w:pPr>
          </w:p>
        </w:tc>
      </w:tr>
      <w:tr w:rsidR="00680972" w:rsidRPr="00C474D1" w14:paraId="67357F44" w14:textId="77777777" w:rsidTr="00A721C8">
        <w:trPr>
          <w:cantSplit/>
        </w:trPr>
        <w:tc>
          <w:tcPr>
            <w:tcW w:w="14575" w:type="dxa"/>
            <w:gridSpan w:val="3"/>
            <w:shd w:val="clear" w:color="auto" w:fill="A6A6A6" w:themeFill="background1" w:themeFillShade="A6"/>
          </w:tcPr>
          <w:p w14:paraId="1A4BC0F0" w14:textId="77777777" w:rsidR="00D54101" w:rsidRPr="00C474D1" w:rsidRDefault="00D54101" w:rsidP="00732031">
            <w:pPr>
              <w:rPr>
                <w:rFonts w:ascii="Source Sans Pro" w:hAnsi="Source Sans Pro" w:cs="Calibri"/>
                <w:b/>
                <w:bCs/>
                <w:sz w:val="20"/>
                <w:szCs w:val="20"/>
              </w:rPr>
            </w:pPr>
            <w:r w:rsidRPr="00C474D1">
              <w:rPr>
                <w:rFonts w:ascii="Source Sans Pro" w:hAnsi="Source Sans Pro" w:cs="Calibri"/>
                <w:b/>
                <w:bCs/>
                <w:sz w:val="20"/>
                <w:szCs w:val="20"/>
              </w:rPr>
              <w:t xml:space="preserve">B. Prevention (intrapartum) of PPH and related complications </w:t>
            </w:r>
          </w:p>
        </w:tc>
      </w:tr>
      <w:tr w:rsidR="00680972" w:rsidRPr="00C474D1" w14:paraId="19E223F7" w14:textId="77777777" w:rsidTr="00A721C8">
        <w:trPr>
          <w:cantSplit/>
        </w:trPr>
        <w:tc>
          <w:tcPr>
            <w:tcW w:w="3865" w:type="dxa"/>
          </w:tcPr>
          <w:p w14:paraId="0A6049DE" w14:textId="38B8AC09" w:rsidR="00D54101" w:rsidRPr="00C474D1" w:rsidRDefault="006E14D8" w:rsidP="00732031">
            <w:pPr>
              <w:rPr>
                <w:rFonts w:ascii="Source Sans Pro" w:hAnsi="Source Sans Pro" w:cs="Calibri"/>
                <w:sz w:val="20"/>
                <w:szCs w:val="20"/>
              </w:rPr>
            </w:pPr>
            <w:r w:rsidRPr="00C474D1">
              <w:rPr>
                <w:rFonts w:ascii="Source Sans Pro" w:hAnsi="Source Sans Pro" w:cs="Calibri"/>
                <w:sz w:val="20"/>
                <w:szCs w:val="20"/>
              </w:rPr>
              <w:t>5. For women in the second stage of labour, techniques to reduce perineal trauma and facilitate spontaneous birth (including perineal massage, warm compresses and a “hands on” guarding of the perineum) are recommended, based on a woman’s preferences and available options.</w:t>
            </w:r>
          </w:p>
        </w:tc>
        <w:tc>
          <w:tcPr>
            <w:tcW w:w="4680" w:type="dxa"/>
          </w:tcPr>
          <w:p w14:paraId="2AFE8E49" w14:textId="3A65234A" w:rsidR="0089504A" w:rsidRPr="00C474D1" w:rsidRDefault="008977EF" w:rsidP="00732031">
            <w:pPr>
              <w:rPr>
                <w:rFonts w:ascii="Source Sans Pro" w:hAnsi="Source Sans Pro" w:cs="Calibri"/>
                <w:i/>
                <w:iCs/>
                <w:sz w:val="20"/>
                <w:szCs w:val="20"/>
              </w:rPr>
            </w:pPr>
            <w:r w:rsidRPr="00C474D1">
              <w:rPr>
                <w:rFonts w:ascii="Source Sans Pro" w:hAnsi="Source Sans Pro" w:cs="Calibri"/>
                <w:i/>
                <w:iCs/>
                <w:sz w:val="20"/>
                <w:szCs w:val="20"/>
              </w:rPr>
              <w:t>No specific humanitarian considerations</w:t>
            </w:r>
            <w:r w:rsidR="00D20F5B" w:rsidRPr="00C474D1">
              <w:rPr>
                <w:rFonts w:ascii="Source Sans Pro" w:hAnsi="Source Sans Pro" w:cs="Calibri"/>
                <w:i/>
                <w:iCs/>
                <w:sz w:val="20"/>
                <w:szCs w:val="20"/>
              </w:rPr>
              <w:t xml:space="preserve"> beyond what is detailed in the Remarks in the main guideline text.</w:t>
            </w:r>
          </w:p>
        </w:tc>
        <w:tc>
          <w:tcPr>
            <w:tcW w:w="6030" w:type="dxa"/>
          </w:tcPr>
          <w:p w14:paraId="02A548AF" w14:textId="6F3B4EDF" w:rsidR="008F2AA6" w:rsidRPr="00C474D1" w:rsidRDefault="008977EF" w:rsidP="00732031">
            <w:pPr>
              <w:rPr>
                <w:rFonts w:ascii="Source Sans Pro" w:hAnsi="Source Sans Pro" w:cs="Calibri"/>
                <w:i/>
                <w:iCs/>
                <w:sz w:val="20"/>
                <w:szCs w:val="20"/>
              </w:rPr>
            </w:pPr>
            <w:r w:rsidRPr="00C474D1">
              <w:rPr>
                <w:rFonts w:ascii="Source Sans Pro" w:hAnsi="Source Sans Pro" w:cs="Calibri"/>
                <w:i/>
                <w:iCs/>
                <w:sz w:val="20"/>
                <w:szCs w:val="20"/>
              </w:rPr>
              <w:t>None</w:t>
            </w:r>
            <w:r w:rsidR="00D20F5B" w:rsidRPr="00C474D1">
              <w:rPr>
                <w:rFonts w:ascii="Source Sans Pro" w:hAnsi="Source Sans Pro" w:cs="Calibri"/>
                <w:i/>
                <w:iCs/>
                <w:sz w:val="20"/>
                <w:szCs w:val="20"/>
              </w:rPr>
              <w:t>.</w:t>
            </w:r>
          </w:p>
        </w:tc>
      </w:tr>
      <w:tr w:rsidR="00143BE7" w:rsidRPr="00C474D1" w14:paraId="7DF8202C" w14:textId="77777777" w:rsidTr="00A721C8">
        <w:trPr>
          <w:cantSplit/>
        </w:trPr>
        <w:tc>
          <w:tcPr>
            <w:tcW w:w="3865" w:type="dxa"/>
          </w:tcPr>
          <w:p w14:paraId="4F99A8D8" w14:textId="77777777" w:rsidR="00143BE7" w:rsidRDefault="00143BE7" w:rsidP="00143BE7">
            <w:pPr>
              <w:rPr>
                <w:rFonts w:ascii="Source Sans Pro" w:hAnsi="Source Sans Pro" w:cs="Calibri"/>
                <w:sz w:val="20"/>
                <w:szCs w:val="20"/>
              </w:rPr>
            </w:pPr>
            <w:r w:rsidRPr="00C474D1">
              <w:rPr>
                <w:rFonts w:ascii="Source Sans Pro" w:hAnsi="Source Sans Pro" w:cs="Calibri"/>
                <w:sz w:val="20"/>
                <w:szCs w:val="20"/>
              </w:rPr>
              <w:t>6. Routine or liberal use of episiotomy is not recommended for women undergoing spontaneous vaginal birth.</w:t>
            </w:r>
          </w:p>
          <w:p w14:paraId="138A6BAA" w14:textId="7FFBF372" w:rsidR="00374CE9" w:rsidRPr="00C474D1" w:rsidRDefault="00374CE9" w:rsidP="00143BE7">
            <w:pPr>
              <w:rPr>
                <w:rFonts w:ascii="Source Sans Pro" w:hAnsi="Source Sans Pro" w:cs="Calibri"/>
                <w:sz w:val="20"/>
                <w:szCs w:val="20"/>
              </w:rPr>
            </w:pPr>
          </w:p>
        </w:tc>
        <w:tc>
          <w:tcPr>
            <w:tcW w:w="4680" w:type="dxa"/>
          </w:tcPr>
          <w:p w14:paraId="40511453" w14:textId="71AE28DD" w:rsidR="00143BE7" w:rsidRPr="00C474D1" w:rsidRDefault="00143BE7" w:rsidP="00143BE7">
            <w:pPr>
              <w:rPr>
                <w:rFonts w:ascii="Source Sans Pro" w:hAnsi="Source Sans Pro" w:cs="Calibri"/>
                <w:i/>
                <w:iCs/>
                <w:sz w:val="20"/>
                <w:szCs w:val="20"/>
              </w:rPr>
            </w:pPr>
            <w:r w:rsidRPr="00C474D1">
              <w:rPr>
                <w:rFonts w:ascii="Source Sans Pro" w:hAnsi="Source Sans Pro" w:cs="Calibri"/>
                <w:i/>
                <w:iCs/>
                <w:color w:val="000000" w:themeColor="text1"/>
                <w:sz w:val="20"/>
                <w:szCs w:val="20"/>
              </w:rPr>
              <w:t>Not applicable.</w:t>
            </w:r>
          </w:p>
        </w:tc>
        <w:tc>
          <w:tcPr>
            <w:tcW w:w="6030" w:type="dxa"/>
          </w:tcPr>
          <w:p w14:paraId="01859D81" w14:textId="4162A54A" w:rsidR="00143BE7" w:rsidRPr="00C474D1" w:rsidRDefault="00143BE7" w:rsidP="00143BE7">
            <w:pPr>
              <w:rPr>
                <w:rFonts w:ascii="Source Sans Pro" w:hAnsi="Source Sans Pro" w:cs="Calibri"/>
                <w:i/>
                <w:iCs/>
                <w:sz w:val="20"/>
                <w:szCs w:val="20"/>
              </w:rPr>
            </w:pPr>
            <w:r w:rsidRPr="00C474D1">
              <w:rPr>
                <w:rFonts w:ascii="Source Sans Pro" w:hAnsi="Source Sans Pro" w:cs="Calibri"/>
                <w:i/>
                <w:iCs/>
                <w:color w:val="000000" w:themeColor="text1"/>
                <w:sz w:val="20"/>
                <w:szCs w:val="20"/>
              </w:rPr>
              <w:t>Not applicable.</w:t>
            </w:r>
          </w:p>
        </w:tc>
      </w:tr>
      <w:tr w:rsidR="00143BE7" w:rsidRPr="00C474D1" w14:paraId="4FC65712" w14:textId="77777777" w:rsidTr="00A721C8">
        <w:trPr>
          <w:cantSplit/>
        </w:trPr>
        <w:tc>
          <w:tcPr>
            <w:tcW w:w="14575" w:type="dxa"/>
            <w:gridSpan w:val="3"/>
            <w:shd w:val="clear" w:color="auto" w:fill="A6A6A6" w:themeFill="background1" w:themeFillShade="A6"/>
          </w:tcPr>
          <w:p w14:paraId="32F72EAC" w14:textId="77777777" w:rsidR="00143BE7" w:rsidRPr="00C474D1" w:rsidRDefault="00143BE7" w:rsidP="00143BE7">
            <w:pPr>
              <w:rPr>
                <w:rFonts w:ascii="Source Sans Pro" w:hAnsi="Source Sans Pro" w:cs="Calibri"/>
                <w:b/>
                <w:bCs/>
                <w:sz w:val="20"/>
                <w:szCs w:val="20"/>
              </w:rPr>
            </w:pPr>
            <w:r w:rsidRPr="00C474D1">
              <w:rPr>
                <w:rFonts w:ascii="Source Sans Pro" w:hAnsi="Source Sans Pro" w:cs="Calibri"/>
                <w:b/>
                <w:bCs/>
                <w:sz w:val="20"/>
                <w:szCs w:val="20"/>
              </w:rPr>
              <w:t>C. Prevention (postpartum) of PPH and related complications</w:t>
            </w:r>
          </w:p>
        </w:tc>
      </w:tr>
      <w:tr w:rsidR="00143BE7" w:rsidRPr="00C474D1" w14:paraId="28E52A00" w14:textId="77777777" w:rsidTr="00A721C8">
        <w:trPr>
          <w:cantSplit/>
        </w:trPr>
        <w:tc>
          <w:tcPr>
            <w:tcW w:w="3865" w:type="dxa"/>
          </w:tcPr>
          <w:p w14:paraId="72C770E8" w14:textId="10087F67"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   </w:t>
            </w:r>
            <w:r w:rsidRPr="00C474D1">
              <w:rPr>
                <w:rFonts w:ascii="Source Sans Pro" w:eastAsia="Calibri" w:hAnsi="Source Sans Pro" w:cs="Calibri"/>
                <w:kern w:val="0"/>
                <w:sz w:val="20"/>
                <w:szCs w:val="20"/>
                <w:lang w:bidi="en-US"/>
                <w14:ligatures w14:val="none"/>
              </w:rPr>
              <w:t xml:space="preserve">7.1 Oxytocin (10 International Units (IU), intramuscularly/intravenously) is </w:t>
            </w:r>
            <w:r w:rsidRPr="00C474D1">
              <w:rPr>
                <w:rFonts w:ascii="Source Sans Pro" w:eastAsia="Calibri" w:hAnsi="Source Sans Pro" w:cs="Calibri"/>
                <w:kern w:val="0"/>
                <w:sz w:val="20"/>
                <w:szCs w:val="20"/>
                <w:lang w:bidi="en-US"/>
                <w14:ligatures w14:val="none"/>
              </w:rPr>
              <w:lastRenderedPageBreak/>
              <w:t xml:space="preserve">recommended for the prevention of </w:t>
            </w:r>
            <w:r w:rsidR="00A721C8">
              <w:rPr>
                <w:rFonts w:ascii="Source Sans Pro" w:eastAsia="Calibri" w:hAnsi="Source Sans Pro" w:cs="Calibri"/>
                <w:kern w:val="0"/>
                <w:sz w:val="20"/>
                <w:szCs w:val="20"/>
                <w:lang w:bidi="en-US"/>
                <w14:ligatures w14:val="none"/>
              </w:rPr>
              <w:t>postpartum haemorrhage</w:t>
            </w:r>
            <w:r w:rsidRPr="00C474D1">
              <w:rPr>
                <w:rFonts w:ascii="Source Sans Pro" w:eastAsia="Calibri" w:hAnsi="Source Sans Pro" w:cs="Calibri"/>
                <w:kern w:val="0"/>
                <w:sz w:val="20"/>
                <w:szCs w:val="20"/>
                <w:lang w:bidi="en-US"/>
                <w14:ligatures w14:val="none"/>
              </w:rPr>
              <w:t xml:space="preserve"> for all births.</w:t>
            </w:r>
          </w:p>
        </w:tc>
        <w:tc>
          <w:tcPr>
            <w:tcW w:w="4680" w:type="dxa"/>
          </w:tcPr>
          <w:p w14:paraId="051A0BC4"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Norms and policy</w:t>
            </w:r>
          </w:p>
          <w:p w14:paraId="53420FBB" w14:textId="4313A7EE" w:rsidR="00143BE7" w:rsidRPr="00C474D1" w:rsidRDefault="00143BE7" w:rsidP="00143BE7">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Midwives may not be authorized to administer intravenous fluids or may require physician </w:t>
            </w:r>
            <w:r w:rsidRPr="00C474D1">
              <w:rPr>
                <w:rFonts w:ascii="Source Sans Pro" w:hAnsi="Source Sans Pro" w:cs="Calibri"/>
                <w:color w:val="000000" w:themeColor="text1"/>
                <w:sz w:val="20"/>
                <w:szCs w:val="20"/>
              </w:rPr>
              <w:lastRenderedPageBreak/>
              <w:t xml:space="preserve">supervision to do so, depending on their scope of practice in-country. </w:t>
            </w:r>
          </w:p>
          <w:p w14:paraId="2A1BE41A" w14:textId="77777777" w:rsidR="00143BE7" w:rsidRPr="00C474D1" w:rsidRDefault="00143BE7" w:rsidP="00143BE7">
            <w:pPr>
              <w:rPr>
                <w:rFonts w:ascii="Source Sans Pro" w:hAnsi="Source Sans Pro" w:cs="Calibri"/>
                <w:color w:val="FF0000"/>
                <w:sz w:val="20"/>
                <w:szCs w:val="20"/>
              </w:rPr>
            </w:pPr>
          </w:p>
          <w:p w14:paraId="1F6F1212" w14:textId="3EAC0A91"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Commodities and supply chain</w:t>
            </w:r>
          </w:p>
          <w:p w14:paraId="45666B69" w14:textId="7B3FE4F7" w:rsidR="00143BE7" w:rsidRPr="00C474D1" w:rsidRDefault="00143BE7" w:rsidP="00143BE7">
            <w:pPr>
              <w:pStyle w:val="ListParagraph"/>
              <w:numPr>
                <w:ilvl w:val="0"/>
                <w:numId w:val="16"/>
              </w:numPr>
              <w:ind w:left="438"/>
              <w:rPr>
                <w:rFonts w:ascii="Source Sans Pro" w:hAnsi="Source Sans Pro" w:cs="Calibri"/>
                <w:sz w:val="20"/>
                <w:szCs w:val="20"/>
              </w:rPr>
            </w:pPr>
            <w:r w:rsidRPr="00C474D1">
              <w:rPr>
                <w:rFonts w:ascii="Source Sans Pro" w:hAnsi="Source Sans Pro" w:cs="Calibri"/>
                <w:sz w:val="20"/>
                <w:szCs w:val="20"/>
              </w:rPr>
              <w:t>Oxytocin must be kept cold, which may not be feasible in some humanitarian settings where electricity may not be consistent or refrigerators are not available.</w:t>
            </w:r>
          </w:p>
          <w:p w14:paraId="7CF5A084" w14:textId="4BE6B8F4" w:rsidR="00143BE7" w:rsidRPr="00C474D1" w:rsidRDefault="00143BE7" w:rsidP="00143BE7">
            <w:pPr>
              <w:rPr>
                <w:rFonts w:ascii="Source Sans Pro" w:hAnsi="Source Sans Pro" w:cs="Calibri"/>
                <w:sz w:val="20"/>
                <w:szCs w:val="20"/>
              </w:rPr>
            </w:pPr>
          </w:p>
        </w:tc>
        <w:tc>
          <w:tcPr>
            <w:tcW w:w="6030" w:type="dxa"/>
          </w:tcPr>
          <w:p w14:paraId="77E4C5F2" w14:textId="13D22A51" w:rsidR="00143BE7" w:rsidRPr="00C474D1" w:rsidRDefault="00143BE7" w:rsidP="00143BE7">
            <w:pPr>
              <w:tabs>
                <w:tab w:val="left" w:pos="1683"/>
              </w:tabs>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 xml:space="preserve">If midwives are unable to administer intravenous fluids, either use of misoprostol or IM injection of oxytocin can be considered if permissible. In addition, planning and preparedness efforts may </w:t>
            </w:r>
            <w:r w:rsidRPr="00C474D1">
              <w:rPr>
                <w:rFonts w:ascii="Source Sans Pro" w:hAnsi="Source Sans Pro" w:cs="Calibri"/>
                <w:color w:val="000000" w:themeColor="text1"/>
                <w:sz w:val="20"/>
                <w:szCs w:val="20"/>
              </w:rPr>
              <w:lastRenderedPageBreak/>
              <w:t>consider the need for policy change to broaden midwives’ scope of practice, generally or within the context of a declared emergency. Any change to scope of practice will need to be supported by training to reinforce the activities included within the broadened scope.</w:t>
            </w:r>
          </w:p>
          <w:p w14:paraId="502B68A9" w14:textId="77777777" w:rsidR="00143BE7" w:rsidRPr="00C474D1" w:rsidRDefault="00143BE7" w:rsidP="00143BE7">
            <w:pPr>
              <w:tabs>
                <w:tab w:val="left" w:pos="1683"/>
              </w:tabs>
              <w:rPr>
                <w:rFonts w:ascii="Source Sans Pro" w:hAnsi="Source Sans Pro" w:cs="Calibri"/>
                <w:color w:val="000000" w:themeColor="text1"/>
                <w:sz w:val="20"/>
                <w:szCs w:val="20"/>
              </w:rPr>
            </w:pPr>
          </w:p>
          <w:p w14:paraId="75A89CDB" w14:textId="2C4E8E4C" w:rsidR="00143BE7" w:rsidRPr="00C474D1" w:rsidRDefault="00143BE7" w:rsidP="00143BE7">
            <w:pPr>
              <w:tabs>
                <w:tab w:val="left" w:pos="1683"/>
              </w:tabs>
              <w:rPr>
                <w:rFonts w:ascii="Source Sans Pro" w:hAnsi="Source Sans Pro" w:cs="Calibri"/>
                <w:color w:val="000000" w:themeColor="text1"/>
                <w:sz w:val="20"/>
                <w:szCs w:val="20"/>
              </w:rPr>
            </w:pPr>
            <w:r w:rsidRPr="00C474D1">
              <w:rPr>
                <w:rFonts w:ascii="Source Sans Pro" w:hAnsi="Source Sans Pro" w:cs="Calibri"/>
                <w:sz w:val="20"/>
                <w:szCs w:val="20"/>
              </w:rPr>
              <w:t xml:space="preserve">Oxytocin procured as part of the </w:t>
            </w:r>
            <w:r w:rsidRPr="00C474D1">
              <w:rPr>
                <w:rFonts w:ascii="Source Sans Pro" w:hAnsi="Source Sans Pro" w:cs="Calibri"/>
                <w:color w:val="000000" w:themeColor="text1"/>
                <w:sz w:val="20"/>
                <w:szCs w:val="20"/>
              </w:rPr>
              <w:t xml:space="preserve">Inter-Agency Reproductive Health kits 6B (clinical delivery assistance for midwives) and/or 11B (obstetric surgery and severe obstetric complications) is packed and shipped separately from other kit contents in a cold box and active cold chain </w:t>
            </w:r>
            <w:r w:rsidRPr="00374CE9">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p w14:paraId="5F30EDA0" w14:textId="77777777" w:rsidR="00143BE7" w:rsidRPr="00C474D1" w:rsidRDefault="00143BE7" w:rsidP="00143BE7">
            <w:pPr>
              <w:tabs>
                <w:tab w:val="left" w:pos="1683"/>
              </w:tabs>
              <w:rPr>
                <w:rFonts w:ascii="Source Sans Pro" w:hAnsi="Source Sans Pro" w:cs="Calibri"/>
                <w:color w:val="000000" w:themeColor="text1"/>
                <w:sz w:val="20"/>
                <w:szCs w:val="20"/>
              </w:rPr>
            </w:pPr>
          </w:p>
          <w:p w14:paraId="761BF078" w14:textId="6A9EEB0A" w:rsidR="00143BE7" w:rsidRPr="00C474D1" w:rsidRDefault="00143BE7" w:rsidP="00143BE7">
            <w:pPr>
              <w:tabs>
                <w:tab w:val="left" w:pos="1683"/>
              </w:tabs>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Humanitarian programme managers may consider the use of heat-stable </w:t>
            </w:r>
            <w:proofErr w:type="spellStart"/>
            <w:r w:rsidRPr="00C474D1">
              <w:rPr>
                <w:rFonts w:ascii="Source Sans Pro" w:hAnsi="Source Sans Pro" w:cs="Calibri"/>
                <w:color w:val="000000" w:themeColor="text1"/>
                <w:sz w:val="20"/>
                <w:szCs w:val="20"/>
              </w:rPr>
              <w:t>carbetocin</w:t>
            </w:r>
            <w:proofErr w:type="spellEnd"/>
            <w:r w:rsidRPr="00C474D1">
              <w:rPr>
                <w:rFonts w:ascii="Source Sans Pro" w:hAnsi="Source Sans Pro" w:cs="Calibri"/>
                <w:color w:val="000000" w:themeColor="text1"/>
                <w:sz w:val="20"/>
                <w:szCs w:val="20"/>
              </w:rPr>
              <w:t xml:space="preserve"> and/or misoprostol as an alternative to oxytocin for prevention of postpartum haemorrhage where cold chain cannot be guaranteed. Heat-stable </w:t>
            </w:r>
            <w:proofErr w:type="spellStart"/>
            <w:r w:rsidRPr="00C474D1">
              <w:rPr>
                <w:rFonts w:ascii="Source Sans Pro" w:hAnsi="Source Sans Pro" w:cs="Calibri"/>
                <w:color w:val="000000" w:themeColor="text1"/>
                <w:sz w:val="20"/>
                <w:szCs w:val="20"/>
              </w:rPr>
              <w:t>carbetocin</w:t>
            </w:r>
            <w:proofErr w:type="spellEnd"/>
            <w:r w:rsidRPr="00C474D1">
              <w:rPr>
                <w:rFonts w:ascii="Source Sans Pro" w:hAnsi="Source Sans Pro" w:cs="Calibri"/>
                <w:color w:val="000000" w:themeColor="text1"/>
                <w:sz w:val="20"/>
                <w:szCs w:val="20"/>
              </w:rPr>
              <w:t xml:space="preserve"> is currently only recommended for the prevention of postpartum haemorrhage and should not be used for induction or augmentation of labour or treatment of PPH, while misoprostol is recommended for both the prevention and treatment of postpartum haemorrhage, as well as for induction/augmentation of labour when clinically indicated.</w:t>
            </w:r>
          </w:p>
        </w:tc>
      </w:tr>
      <w:tr w:rsidR="00143BE7" w:rsidRPr="00C474D1" w14:paraId="3A9CC054" w14:textId="77777777" w:rsidTr="00A721C8">
        <w:trPr>
          <w:cantSplit/>
        </w:trPr>
        <w:tc>
          <w:tcPr>
            <w:tcW w:w="3865" w:type="dxa"/>
          </w:tcPr>
          <w:p w14:paraId="7A8905F5" w14:textId="3ADCA78C"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lastRenderedPageBreak/>
              <w:t xml:space="preserve">   </w:t>
            </w:r>
            <w:r w:rsidRPr="00C474D1">
              <w:rPr>
                <w:rFonts w:ascii="Source Sans Pro" w:eastAsia="Calibri" w:hAnsi="Source Sans Pro" w:cs="Calibri"/>
                <w:kern w:val="0"/>
                <w:sz w:val="20"/>
                <w:szCs w:val="20"/>
                <w:lang w:bidi="en-US"/>
                <w14:ligatures w14:val="none"/>
              </w:rPr>
              <w:t xml:space="preserve">7.2 </w:t>
            </w:r>
            <w:proofErr w:type="spellStart"/>
            <w:r w:rsidRPr="00C474D1">
              <w:rPr>
                <w:rFonts w:ascii="Source Sans Pro" w:eastAsia="Calibri" w:hAnsi="Source Sans Pro" w:cs="Calibri"/>
                <w:sz w:val="20"/>
                <w:szCs w:val="20"/>
                <w:lang w:val="en-GB" w:bidi="en-US"/>
              </w:rPr>
              <w:t>Carbetocin</w:t>
            </w:r>
            <w:proofErr w:type="spellEnd"/>
            <w:r w:rsidRPr="00C474D1">
              <w:rPr>
                <w:rFonts w:ascii="Source Sans Pro" w:eastAsia="Calibri" w:hAnsi="Source Sans Pro" w:cs="Calibri"/>
                <w:sz w:val="20"/>
                <w:szCs w:val="20"/>
                <w:lang w:val="en-GB" w:bidi="en-US"/>
              </w:rPr>
              <w:t xml:space="preserve"> </w:t>
            </w:r>
            <w:r w:rsidRPr="00C474D1">
              <w:rPr>
                <w:rFonts w:ascii="Source Sans Pro" w:eastAsia="Calibri" w:hAnsi="Source Sans Pro" w:cs="Calibri"/>
                <w:bCs/>
                <w:sz w:val="20"/>
                <w:szCs w:val="20"/>
                <w:lang w:val="en-GB" w:bidi="en-US"/>
              </w:rPr>
              <w:t xml:space="preserve">(100 µg, intramuscularly/intravenously) is recommended for the prevention </w:t>
            </w:r>
            <w:proofErr w:type="gramStart"/>
            <w:r w:rsidRPr="00C474D1">
              <w:rPr>
                <w:rFonts w:ascii="Source Sans Pro" w:eastAsia="Calibri" w:hAnsi="Source Sans Pro" w:cs="Calibri"/>
                <w:bCs/>
                <w:sz w:val="20"/>
                <w:szCs w:val="20"/>
                <w:lang w:val="en-GB" w:bidi="en-US"/>
              </w:rPr>
              <w:t xml:space="preserve">of </w:t>
            </w:r>
            <w:r w:rsidR="00A721C8">
              <w:rPr>
                <w:rFonts w:ascii="Source Sans Pro" w:eastAsia="Calibri" w:hAnsi="Source Sans Pro" w:cs="Calibri"/>
                <w:kern w:val="0"/>
                <w:sz w:val="20"/>
                <w:szCs w:val="20"/>
                <w:lang w:bidi="en-US"/>
                <w14:ligatures w14:val="none"/>
              </w:rPr>
              <w:t xml:space="preserve"> postpartum</w:t>
            </w:r>
            <w:proofErr w:type="gramEnd"/>
            <w:r w:rsidR="00A721C8">
              <w:rPr>
                <w:rFonts w:ascii="Source Sans Pro" w:eastAsia="Calibri" w:hAnsi="Source Sans Pro" w:cs="Calibri"/>
                <w:kern w:val="0"/>
                <w:sz w:val="20"/>
                <w:szCs w:val="20"/>
                <w:lang w:bidi="en-US"/>
                <w14:ligatures w14:val="none"/>
              </w:rPr>
              <w:t xml:space="preserve"> haemorrhage</w:t>
            </w:r>
            <w:r w:rsidR="00A721C8" w:rsidRPr="00C474D1">
              <w:rPr>
                <w:rFonts w:ascii="Source Sans Pro" w:eastAsia="Calibri" w:hAnsi="Source Sans Pro" w:cs="Calibri"/>
                <w:kern w:val="0"/>
                <w:sz w:val="20"/>
                <w:szCs w:val="20"/>
                <w:lang w:bidi="en-US"/>
                <w14:ligatures w14:val="none"/>
              </w:rPr>
              <w:t xml:space="preserve"> </w:t>
            </w:r>
            <w:r w:rsidRPr="00C474D1">
              <w:rPr>
                <w:rFonts w:ascii="Source Sans Pro" w:eastAsia="Calibri" w:hAnsi="Source Sans Pro" w:cs="Calibri"/>
                <w:bCs/>
                <w:sz w:val="20"/>
                <w:szCs w:val="20"/>
                <w:lang w:val="en-GB" w:bidi="en-US"/>
              </w:rPr>
              <w:t xml:space="preserve">for all births; </w:t>
            </w:r>
            <w:r w:rsidRPr="00C474D1">
              <w:rPr>
                <w:rFonts w:ascii="Source Sans Pro" w:eastAsia="Calibri" w:hAnsi="Source Sans Pro" w:cs="Calibri"/>
                <w:bCs/>
                <w:sz w:val="20"/>
                <w:szCs w:val="20"/>
                <w:lang w:bidi="en-US"/>
              </w:rPr>
              <w:t xml:space="preserve">the heat-stable </w:t>
            </w:r>
            <w:proofErr w:type="spellStart"/>
            <w:r w:rsidRPr="00C474D1">
              <w:rPr>
                <w:rFonts w:ascii="Source Sans Pro" w:eastAsia="Calibri" w:hAnsi="Source Sans Pro" w:cs="Calibri"/>
                <w:sz w:val="20"/>
                <w:szCs w:val="20"/>
                <w:lang w:bidi="en-US"/>
              </w:rPr>
              <w:t>carbetocin</w:t>
            </w:r>
            <w:proofErr w:type="spellEnd"/>
            <w:r w:rsidRPr="00C474D1">
              <w:rPr>
                <w:rFonts w:ascii="Source Sans Pro" w:eastAsia="Calibri" w:hAnsi="Source Sans Pro" w:cs="Calibri"/>
                <w:sz w:val="20"/>
                <w:szCs w:val="20"/>
                <w:lang w:bidi="en-US"/>
              </w:rPr>
              <w:t xml:space="preserve"> </w:t>
            </w:r>
            <w:r w:rsidRPr="00C474D1">
              <w:rPr>
                <w:rFonts w:ascii="Source Sans Pro" w:eastAsia="Calibri" w:hAnsi="Source Sans Pro" w:cs="Calibri"/>
                <w:bCs/>
                <w:sz w:val="20"/>
                <w:szCs w:val="20"/>
                <w:lang w:bidi="en-US"/>
              </w:rPr>
              <w:t xml:space="preserve">formulation is </w:t>
            </w:r>
            <w:r w:rsidR="00374CE9">
              <w:rPr>
                <w:rFonts w:ascii="Source Sans Pro" w:eastAsia="Calibri" w:hAnsi="Source Sans Pro" w:cs="Calibri"/>
                <w:bCs/>
                <w:sz w:val="20"/>
                <w:szCs w:val="20"/>
                <w:lang w:bidi="en-US"/>
              </w:rPr>
              <w:t>recommended</w:t>
            </w:r>
            <w:r w:rsidRPr="00C474D1">
              <w:rPr>
                <w:rFonts w:ascii="Source Sans Pro" w:eastAsia="Calibri" w:hAnsi="Source Sans Pro" w:cs="Calibri"/>
                <w:bCs/>
                <w:sz w:val="20"/>
                <w:szCs w:val="20"/>
                <w:lang w:bidi="en-US"/>
              </w:rPr>
              <w:t xml:space="preserve"> in settings where cold chain cannot </w:t>
            </w:r>
            <w:r w:rsidRPr="00C474D1">
              <w:rPr>
                <w:rFonts w:ascii="Source Sans Pro" w:eastAsia="Calibri" w:hAnsi="Source Sans Pro" w:cs="Calibri"/>
                <w:sz w:val="20"/>
                <w:szCs w:val="20"/>
                <w:lang w:bidi="en-US"/>
              </w:rPr>
              <w:t xml:space="preserve">be </w:t>
            </w:r>
            <w:r w:rsidRPr="00C474D1">
              <w:rPr>
                <w:rFonts w:ascii="Source Sans Pro" w:eastAsia="Calibri" w:hAnsi="Source Sans Pro" w:cs="Calibri"/>
                <w:bCs/>
                <w:sz w:val="20"/>
                <w:szCs w:val="20"/>
                <w:lang w:bidi="en-US"/>
              </w:rPr>
              <w:t>guaranteed.</w:t>
            </w:r>
          </w:p>
        </w:tc>
        <w:tc>
          <w:tcPr>
            <w:tcW w:w="4680" w:type="dxa"/>
          </w:tcPr>
          <w:p w14:paraId="5CCCA04F"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Norms and policy</w:t>
            </w:r>
          </w:p>
          <w:p w14:paraId="312EE0CD" w14:textId="6D3832C8" w:rsidR="00143BE7" w:rsidRPr="00C474D1" w:rsidRDefault="00143BE7" w:rsidP="00143BE7">
            <w:pPr>
              <w:pStyle w:val="ListParagraph"/>
              <w:numPr>
                <w:ilvl w:val="0"/>
                <w:numId w:val="13"/>
              </w:numPr>
              <w:ind w:left="438"/>
              <w:rPr>
                <w:rFonts w:ascii="Source Sans Pro" w:hAnsi="Source Sans Pro" w:cs="Calibri"/>
                <w:color w:val="000000" w:themeColor="text1"/>
                <w:sz w:val="20"/>
                <w:szCs w:val="20"/>
              </w:rPr>
            </w:pPr>
            <w:proofErr w:type="spellStart"/>
            <w:r w:rsidRPr="00C474D1">
              <w:rPr>
                <w:rFonts w:ascii="Source Sans Pro" w:hAnsi="Source Sans Pro" w:cs="Calibri"/>
                <w:color w:val="000000" w:themeColor="text1"/>
                <w:sz w:val="20"/>
                <w:szCs w:val="20"/>
              </w:rPr>
              <w:t>Carbetocin</w:t>
            </w:r>
            <w:proofErr w:type="spellEnd"/>
            <w:r w:rsidRPr="00C474D1">
              <w:rPr>
                <w:rFonts w:ascii="Source Sans Pro" w:hAnsi="Source Sans Pro" w:cs="Calibri"/>
                <w:color w:val="000000" w:themeColor="text1"/>
                <w:sz w:val="20"/>
                <w:szCs w:val="20"/>
              </w:rPr>
              <w:t xml:space="preserve"> (heat-stable or heat-labile formulations) may not yet be registered in-country or incorporated into the national Essential Medicines List.</w:t>
            </w:r>
          </w:p>
          <w:p w14:paraId="1B5CE037" w14:textId="0B6EB1BE" w:rsidR="00143BE7" w:rsidRPr="00C474D1" w:rsidRDefault="00143BE7" w:rsidP="00143BE7">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Midwives may not be authorized to administer intravenous fluids or may require physician supervision to do so, depending on their scope of practice in-country. </w:t>
            </w:r>
          </w:p>
          <w:p w14:paraId="6E72D3BD" w14:textId="77777777" w:rsidR="00143BE7" w:rsidRPr="00C474D1" w:rsidRDefault="00143BE7" w:rsidP="00143BE7">
            <w:pPr>
              <w:rPr>
                <w:rFonts w:ascii="Source Sans Pro" w:hAnsi="Source Sans Pro" w:cs="Calibri"/>
                <w:color w:val="FF0000"/>
                <w:sz w:val="20"/>
                <w:szCs w:val="20"/>
              </w:rPr>
            </w:pPr>
          </w:p>
          <w:p w14:paraId="3C91139A" w14:textId="57215F87"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lastRenderedPageBreak/>
              <w:t>Health workforce</w:t>
            </w:r>
          </w:p>
          <w:p w14:paraId="228E721B" w14:textId="73DAE045" w:rsidR="00143BE7" w:rsidRPr="00C474D1" w:rsidRDefault="00143BE7" w:rsidP="00143BE7">
            <w:pPr>
              <w:pStyle w:val="ListParagraph"/>
              <w:numPr>
                <w:ilvl w:val="0"/>
                <w:numId w:val="18"/>
              </w:numPr>
              <w:ind w:left="438"/>
              <w:rPr>
                <w:rFonts w:ascii="Source Sans Pro" w:hAnsi="Source Sans Pro" w:cs="Calibri"/>
                <w:sz w:val="20"/>
                <w:szCs w:val="20"/>
              </w:rPr>
            </w:pPr>
            <w:proofErr w:type="spellStart"/>
            <w:r w:rsidRPr="00C474D1">
              <w:rPr>
                <w:rFonts w:ascii="Source Sans Pro" w:hAnsi="Source Sans Pro" w:cs="Calibri"/>
                <w:sz w:val="20"/>
                <w:szCs w:val="20"/>
              </w:rPr>
              <w:t>Carbetocin</w:t>
            </w:r>
            <w:proofErr w:type="spellEnd"/>
            <w:r w:rsidRPr="00C474D1">
              <w:rPr>
                <w:rFonts w:ascii="Source Sans Pro" w:hAnsi="Source Sans Pro" w:cs="Calibri"/>
                <w:sz w:val="20"/>
                <w:szCs w:val="20"/>
              </w:rPr>
              <w:t xml:space="preserve"> may be unfamiliar to health workers, especially in facilities with high turnover. </w:t>
            </w:r>
          </w:p>
          <w:p w14:paraId="4EA3B233" w14:textId="77777777" w:rsidR="00143BE7" w:rsidRPr="00C474D1" w:rsidRDefault="00143BE7" w:rsidP="00143BE7">
            <w:pPr>
              <w:rPr>
                <w:rFonts w:ascii="Source Sans Pro" w:hAnsi="Source Sans Pro" w:cs="Calibri"/>
                <w:sz w:val="20"/>
                <w:szCs w:val="20"/>
              </w:rPr>
            </w:pPr>
          </w:p>
          <w:p w14:paraId="4631ED80" w14:textId="24A9D649"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Commodities and supply chain</w:t>
            </w:r>
          </w:p>
          <w:p w14:paraId="53479247" w14:textId="77777777" w:rsidR="00143BE7" w:rsidRPr="00C474D1" w:rsidRDefault="00143BE7" w:rsidP="00143BE7">
            <w:pPr>
              <w:pStyle w:val="ListParagraph"/>
              <w:numPr>
                <w:ilvl w:val="0"/>
                <w:numId w:val="13"/>
              </w:numPr>
              <w:ind w:left="438"/>
              <w:rPr>
                <w:rFonts w:ascii="Source Sans Pro" w:hAnsi="Source Sans Pro" w:cs="Calibri"/>
                <w:sz w:val="20"/>
                <w:szCs w:val="20"/>
              </w:rPr>
            </w:pPr>
            <w:r w:rsidRPr="00C474D1">
              <w:rPr>
                <w:rFonts w:ascii="Source Sans Pro" w:hAnsi="Source Sans Pro" w:cs="Calibri"/>
                <w:sz w:val="20"/>
                <w:szCs w:val="20"/>
              </w:rPr>
              <w:t xml:space="preserve">Procurement may be hindered if </w:t>
            </w:r>
            <w:proofErr w:type="spellStart"/>
            <w:r w:rsidRPr="00C474D1">
              <w:rPr>
                <w:rFonts w:ascii="Source Sans Pro" w:hAnsi="Source Sans Pro" w:cs="Calibri"/>
                <w:sz w:val="20"/>
                <w:szCs w:val="20"/>
              </w:rPr>
              <w:t>carbetocin</w:t>
            </w:r>
            <w:proofErr w:type="spellEnd"/>
            <w:r w:rsidRPr="00C474D1">
              <w:rPr>
                <w:rFonts w:ascii="Source Sans Pro" w:hAnsi="Source Sans Pro" w:cs="Calibri"/>
                <w:sz w:val="20"/>
                <w:szCs w:val="20"/>
              </w:rPr>
              <w:t xml:space="preserve"> is not registered in country.</w:t>
            </w:r>
          </w:p>
          <w:p w14:paraId="2C850AE0" w14:textId="6611C88C" w:rsidR="00143BE7" w:rsidRPr="00C474D1" w:rsidRDefault="00143BE7" w:rsidP="00143BE7">
            <w:pPr>
              <w:pStyle w:val="ListParagraph"/>
              <w:numPr>
                <w:ilvl w:val="0"/>
                <w:numId w:val="13"/>
              </w:numPr>
              <w:ind w:left="438"/>
              <w:rPr>
                <w:rFonts w:ascii="Source Sans Pro" w:hAnsi="Source Sans Pro" w:cs="Calibri"/>
                <w:sz w:val="20"/>
                <w:szCs w:val="20"/>
              </w:rPr>
            </w:pPr>
            <w:r w:rsidRPr="00C474D1">
              <w:rPr>
                <w:rFonts w:ascii="Source Sans Pro" w:hAnsi="Source Sans Pro" w:cs="Calibri"/>
                <w:color w:val="000000" w:themeColor="text1"/>
                <w:sz w:val="20"/>
                <w:szCs w:val="20"/>
              </w:rPr>
              <w:t xml:space="preserve">Depending on the setting, the cost of heat-stable </w:t>
            </w:r>
            <w:proofErr w:type="spellStart"/>
            <w:r w:rsidRPr="00C474D1">
              <w:rPr>
                <w:rFonts w:ascii="Source Sans Pro" w:hAnsi="Source Sans Pro" w:cs="Calibri"/>
                <w:color w:val="000000" w:themeColor="text1"/>
                <w:sz w:val="20"/>
                <w:szCs w:val="20"/>
              </w:rPr>
              <w:t>carbetocin</w:t>
            </w:r>
            <w:proofErr w:type="spellEnd"/>
            <w:r w:rsidRPr="00C474D1">
              <w:rPr>
                <w:rFonts w:ascii="Source Sans Pro" w:hAnsi="Source Sans Pro" w:cs="Calibri"/>
                <w:color w:val="000000" w:themeColor="text1"/>
                <w:sz w:val="20"/>
                <w:szCs w:val="20"/>
              </w:rPr>
              <w:t xml:space="preserve"> may be comparable to that of oxytocin or may be more expensive.</w:t>
            </w:r>
          </w:p>
          <w:p w14:paraId="50FAB6BE" w14:textId="15CDE291" w:rsidR="00143BE7" w:rsidRPr="00C474D1" w:rsidRDefault="00143BE7" w:rsidP="00143BE7">
            <w:pPr>
              <w:rPr>
                <w:rFonts w:ascii="Source Sans Pro" w:hAnsi="Source Sans Pro" w:cs="Calibri"/>
                <w:sz w:val="20"/>
                <w:szCs w:val="20"/>
              </w:rPr>
            </w:pPr>
          </w:p>
        </w:tc>
        <w:tc>
          <w:tcPr>
            <w:tcW w:w="6030" w:type="dxa"/>
          </w:tcPr>
          <w:p w14:paraId="6427E02C" w14:textId="0C8CEF88" w:rsidR="00143BE7" w:rsidRPr="00C474D1" w:rsidRDefault="00143BE7" w:rsidP="00143BE7">
            <w:pPr>
              <w:tabs>
                <w:tab w:val="left" w:pos="1683"/>
              </w:tabs>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 xml:space="preserve">Policy change may be needed to ensure </w:t>
            </w:r>
            <w:proofErr w:type="spellStart"/>
            <w:r w:rsidRPr="00C474D1">
              <w:rPr>
                <w:rFonts w:ascii="Source Sans Pro" w:hAnsi="Source Sans Pro" w:cs="Calibri"/>
                <w:color w:val="000000" w:themeColor="text1"/>
                <w:sz w:val="20"/>
                <w:szCs w:val="20"/>
              </w:rPr>
              <w:t>carbetocin</w:t>
            </w:r>
            <w:proofErr w:type="spellEnd"/>
            <w:r w:rsidRPr="00C474D1">
              <w:rPr>
                <w:rFonts w:ascii="Source Sans Pro" w:hAnsi="Source Sans Pro" w:cs="Calibri"/>
                <w:color w:val="000000" w:themeColor="text1"/>
                <w:sz w:val="20"/>
                <w:szCs w:val="20"/>
              </w:rPr>
              <w:t xml:space="preserve"> can be procured in advance of a humanitarian emergency as part of broader preparedness efforts. </w:t>
            </w:r>
          </w:p>
          <w:p w14:paraId="0BE18D17" w14:textId="77777777" w:rsidR="00143BE7" w:rsidRPr="00C474D1" w:rsidRDefault="00143BE7" w:rsidP="00143BE7">
            <w:pPr>
              <w:tabs>
                <w:tab w:val="left" w:pos="1683"/>
              </w:tabs>
              <w:rPr>
                <w:rFonts w:ascii="Source Sans Pro" w:hAnsi="Source Sans Pro" w:cs="Calibri"/>
                <w:color w:val="000000" w:themeColor="text1"/>
                <w:sz w:val="20"/>
                <w:szCs w:val="20"/>
              </w:rPr>
            </w:pPr>
          </w:p>
          <w:p w14:paraId="36322044" w14:textId="2EF155BB" w:rsidR="00143BE7" w:rsidRPr="00C474D1" w:rsidRDefault="00143BE7" w:rsidP="00143BE7">
            <w:pPr>
              <w:tabs>
                <w:tab w:val="left" w:pos="1683"/>
              </w:tabs>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If midwives are unable to administer intravenous fluids, either use of misoprostol or IM injection of oxytocin can be considered.</w:t>
            </w:r>
          </w:p>
          <w:p w14:paraId="5FDBE1A8" w14:textId="77777777" w:rsidR="00143BE7" w:rsidRPr="00C474D1" w:rsidRDefault="00143BE7" w:rsidP="00143BE7">
            <w:pPr>
              <w:tabs>
                <w:tab w:val="left" w:pos="1683"/>
              </w:tabs>
              <w:rPr>
                <w:rFonts w:ascii="Source Sans Pro" w:hAnsi="Source Sans Pro" w:cs="Calibri"/>
                <w:color w:val="000000" w:themeColor="text1"/>
                <w:sz w:val="20"/>
                <w:szCs w:val="20"/>
              </w:rPr>
            </w:pPr>
          </w:p>
          <w:p w14:paraId="69EB12AE" w14:textId="4CE8F551" w:rsidR="00143BE7" w:rsidRPr="00C474D1" w:rsidRDefault="00143BE7" w:rsidP="00143BE7">
            <w:pPr>
              <w:tabs>
                <w:tab w:val="left" w:pos="1683"/>
              </w:tabs>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Training materials and job aides for health workers should stress that </w:t>
            </w:r>
            <w:proofErr w:type="spellStart"/>
            <w:r w:rsidRPr="00C474D1">
              <w:rPr>
                <w:rFonts w:ascii="Source Sans Pro" w:hAnsi="Source Sans Pro" w:cs="Calibri"/>
                <w:color w:val="000000" w:themeColor="text1"/>
                <w:sz w:val="20"/>
                <w:szCs w:val="20"/>
              </w:rPr>
              <w:t>carbetocin</w:t>
            </w:r>
            <w:proofErr w:type="spellEnd"/>
            <w:r w:rsidRPr="00C474D1">
              <w:rPr>
                <w:rFonts w:ascii="Source Sans Pro" w:hAnsi="Source Sans Pro" w:cs="Calibri"/>
                <w:color w:val="000000" w:themeColor="text1"/>
                <w:sz w:val="20"/>
                <w:szCs w:val="20"/>
              </w:rPr>
              <w:t xml:space="preserve"> is recommended only for prevention of postpartum haemorrhage; it is not a direct substitute for oxytocin.</w:t>
            </w:r>
          </w:p>
          <w:p w14:paraId="651C09CC" w14:textId="77777777" w:rsidR="00143BE7" w:rsidRPr="00C474D1" w:rsidRDefault="00143BE7" w:rsidP="00143BE7">
            <w:pPr>
              <w:tabs>
                <w:tab w:val="left" w:pos="1683"/>
              </w:tabs>
              <w:rPr>
                <w:rFonts w:ascii="Source Sans Pro" w:hAnsi="Source Sans Pro" w:cs="Calibri"/>
                <w:color w:val="000000" w:themeColor="text1"/>
                <w:sz w:val="20"/>
                <w:szCs w:val="20"/>
              </w:rPr>
            </w:pPr>
          </w:p>
          <w:p w14:paraId="44E572D3" w14:textId="4C40D9BD" w:rsidR="00143BE7" w:rsidRPr="00C474D1" w:rsidRDefault="00143BE7" w:rsidP="00143BE7">
            <w:pPr>
              <w:tabs>
                <w:tab w:val="left" w:pos="1683"/>
              </w:tabs>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Although heat-stable </w:t>
            </w:r>
            <w:proofErr w:type="spellStart"/>
            <w:r w:rsidRPr="00C474D1">
              <w:rPr>
                <w:rFonts w:ascii="Source Sans Pro" w:hAnsi="Source Sans Pro" w:cs="Calibri"/>
                <w:color w:val="000000" w:themeColor="text1"/>
                <w:sz w:val="20"/>
                <w:szCs w:val="20"/>
              </w:rPr>
              <w:t>carbetocin</w:t>
            </w:r>
            <w:proofErr w:type="spellEnd"/>
            <w:r w:rsidRPr="00C474D1">
              <w:rPr>
                <w:rFonts w:ascii="Source Sans Pro" w:hAnsi="Source Sans Pro" w:cs="Calibri"/>
                <w:color w:val="000000" w:themeColor="text1"/>
                <w:sz w:val="20"/>
                <w:szCs w:val="20"/>
              </w:rPr>
              <w:t xml:space="preserve"> does not require cold chain, the impact of extreme temperatures (&gt;30°C) on quality and shelf-life is not known. This should be taken into consideration in settings with extreme temperatures. </w:t>
            </w:r>
          </w:p>
          <w:p w14:paraId="22280DC3" w14:textId="77777777" w:rsidR="00143BE7" w:rsidRPr="00C474D1" w:rsidRDefault="00143BE7" w:rsidP="00143BE7">
            <w:pPr>
              <w:tabs>
                <w:tab w:val="left" w:pos="1683"/>
              </w:tabs>
              <w:rPr>
                <w:rFonts w:ascii="Source Sans Pro" w:hAnsi="Source Sans Pro" w:cs="Calibri"/>
                <w:color w:val="A02B93" w:themeColor="accent5"/>
                <w:sz w:val="20"/>
                <w:szCs w:val="20"/>
              </w:rPr>
            </w:pPr>
          </w:p>
          <w:p w14:paraId="48A69B33" w14:textId="5CB5D6BE"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sz w:val="20"/>
                <w:szCs w:val="20"/>
              </w:rPr>
              <w:t xml:space="preserve">Heat-stable </w:t>
            </w:r>
            <w:proofErr w:type="spellStart"/>
            <w:r w:rsidRPr="00C474D1">
              <w:rPr>
                <w:rFonts w:ascii="Source Sans Pro" w:hAnsi="Source Sans Pro" w:cs="Calibri"/>
                <w:sz w:val="20"/>
                <w:szCs w:val="20"/>
              </w:rPr>
              <w:t>carbetocin</w:t>
            </w:r>
            <w:proofErr w:type="spellEnd"/>
            <w:r w:rsidRPr="00C474D1">
              <w:rPr>
                <w:rFonts w:ascii="Source Sans Pro" w:hAnsi="Source Sans Pro" w:cs="Calibri"/>
                <w:sz w:val="20"/>
                <w:szCs w:val="20"/>
              </w:rPr>
              <w:t xml:space="preserve"> is available as a </w:t>
            </w:r>
            <w:r w:rsidRPr="00C474D1">
              <w:rPr>
                <w:rFonts w:ascii="Source Sans Pro" w:hAnsi="Source Sans Pro" w:cs="Calibri"/>
                <w:b/>
                <w:bCs/>
                <w:sz w:val="20"/>
                <w:szCs w:val="20"/>
              </w:rPr>
              <w:t>complementary</w:t>
            </w:r>
            <w:r w:rsidRPr="00C474D1">
              <w:rPr>
                <w:rFonts w:ascii="Source Sans Pro" w:hAnsi="Source Sans Pro" w:cs="Calibri"/>
                <w:sz w:val="20"/>
                <w:szCs w:val="20"/>
              </w:rPr>
              <w:t xml:space="preserve"> commodity for </w:t>
            </w:r>
            <w:r w:rsidRPr="00C474D1">
              <w:rPr>
                <w:rFonts w:ascii="Source Sans Pro" w:hAnsi="Source Sans Pro" w:cs="Calibri"/>
                <w:color w:val="000000" w:themeColor="text1"/>
                <w:sz w:val="20"/>
                <w:szCs w:val="20"/>
              </w:rPr>
              <w:t xml:space="preserve">Inter-Agency Reproductive Health kits 6B (clinical delivery assistance for midwives) and/or 11B (obstetric surgery and severe obstetric complications) </w:t>
            </w:r>
            <w:r w:rsidRPr="00374CE9">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 xml:space="preserve">. </w:t>
            </w:r>
          </w:p>
        </w:tc>
      </w:tr>
      <w:tr w:rsidR="00143BE7" w:rsidRPr="00C474D1" w14:paraId="44857F7F" w14:textId="77777777" w:rsidTr="00A721C8">
        <w:trPr>
          <w:cantSplit/>
        </w:trPr>
        <w:tc>
          <w:tcPr>
            <w:tcW w:w="3865" w:type="dxa"/>
          </w:tcPr>
          <w:p w14:paraId="2A8B3753" w14:textId="237E6031"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lastRenderedPageBreak/>
              <w:t xml:space="preserve">   </w:t>
            </w:r>
            <w:r w:rsidRPr="00C474D1">
              <w:rPr>
                <w:rFonts w:ascii="Source Sans Pro" w:eastAsia="Calibri" w:hAnsi="Source Sans Pro" w:cs="Calibri"/>
                <w:kern w:val="0"/>
                <w:sz w:val="20"/>
                <w:szCs w:val="20"/>
                <w:lang w:bidi="en-US"/>
                <w14:ligatures w14:val="none"/>
              </w:rPr>
              <w:t>7.3</w:t>
            </w:r>
            <w:r w:rsidRPr="00C474D1">
              <w:rPr>
                <w:rFonts w:ascii="Source Sans Pro" w:eastAsia="Calibri" w:hAnsi="Source Sans Pro" w:cs="Calibri"/>
                <w:b/>
                <w:bCs/>
                <w:kern w:val="0"/>
                <w:sz w:val="20"/>
                <w:szCs w:val="20"/>
                <w:lang w:bidi="en-US"/>
                <w14:ligatures w14:val="none"/>
              </w:rPr>
              <w:t xml:space="preserve"> </w:t>
            </w:r>
            <w:r w:rsidRPr="00C474D1">
              <w:rPr>
                <w:rFonts w:ascii="Source Sans Pro" w:eastAsia="Calibri" w:hAnsi="Source Sans Pro" w:cs="Calibri"/>
                <w:kern w:val="0"/>
                <w:sz w:val="20"/>
                <w:szCs w:val="20"/>
                <w:lang w:bidi="en-US"/>
                <w14:ligatures w14:val="none"/>
              </w:rPr>
              <w:t xml:space="preserve">Misoprostol (either 400 </w:t>
            </w:r>
            <w:proofErr w:type="spellStart"/>
            <w:r w:rsidRPr="00C474D1">
              <w:rPr>
                <w:rFonts w:ascii="Source Sans Pro" w:eastAsia="Calibri" w:hAnsi="Source Sans Pro" w:cs="Calibri"/>
                <w:kern w:val="0"/>
                <w:sz w:val="20"/>
                <w:szCs w:val="20"/>
                <w:lang w:bidi="en-US"/>
                <w14:ligatures w14:val="none"/>
              </w:rPr>
              <w:t>μg</w:t>
            </w:r>
            <w:proofErr w:type="spellEnd"/>
            <w:r w:rsidRPr="00C474D1">
              <w:rPr>
                <w:rFonts w:ascii="Source Sans Pro" w:eastAsia="Calibri" w:hAnsi="Source Sans Pro" w:cs="Calibri"/>
                <w:kern w:val="0"/>
                <w:sz w:val="20"/>
                <w:szCs w:val="20"/>
                <w:lang w:bidi="en-US"/>
                <w14:ligatures w14:val="none"/>
              </w:rPr>
              <w:t xml:space="preserve"> or 600 </w:t>
            </w:r>
            <w:proofErr w:type="spellStart"/>
            <w:r w:rsidRPr="00C474D1">
              <w:rPr>
                <w:rFonts w:ascii="Source Sans Pro" w:eastAsia="Calibri" w:hAnsi="Source Sans Pro" w:cs="Calibri"/>
                <w:kern w:val="0"/>
                <w:sz w:val="20"/>
                <w:szCs w:val="20"/>
                <w:lang w:bidi="en-US"/>
                <w14:ligatures w14:val="none"/>
              </w:rPr>
              <w:t>μg</w:t>
            </w:r>
            <w:proofErr w:type="spellEnd"/>
            <w:r w:rsidRPr="00C474D1">
              <w:rPr>
                <w:rFonts w:ascii="Source Sans Pro" w:eastAsia="Calibri" w:hAnsi="Source Sans Pro" w:cs="Calibri"/>
                <w:kern w:val="0"/>
                <w:sz w:val="20"/>
                <w:szCs w:val="20"/>
                <w:lang w:bidi="en-US"/>
                <w14:ligatures w14:val="none"/>
              </w:rPr>
              <w:t xml:space="preserve">, orally) is recommended for the prevention </w:t>
            </w:r>
            <w:proofErr w:type="gramStart"/>
            <w:r w:rsidRPr="00C474D1">
              <w:rPr>
                <w:rFonts w:ascii="Source Sans Pro" w:eastAsia="Calibri" w:hAnsi="Source Sans Pro" w:cs="Calibri"/>
                <w:kern w:val="0"/>
                <w:sz w:val="20"/>
                <w:szCs w:val="20"/>
                <w:lang w:bidi="en-US"/>
                <w14:ligatures w14:val="none"/>
              </w:rPr>
              <w:t xml:space="preserve">of </w:t>
            </w:r>
            <w:r w:rsidR="00A721C8">
              <w:rPr>
                <w:rFonts w:ascii="Source Sans Pro" w:eastAsia="Calibri" w:hAnsi="Source Sans Pro" w:cs="Calibri"/>
                <w:kern w:val="0"/>
                <w:sz w:val="20"/>
                <w:szCs w:val="20"/>
                <w:lang w:bidi="en-US"/>
                <w14:ligatures w14:val="none"/>
              </w:rPr>
              <w:t xml:space="preserve"> postpartum</w:t>
            </w:r>
            <w:proofErr w:type="gramEnd"/>
            <w:r w:rsidR="00A721C8">
              <w:rPr>
                <w:rFonts w:ascii="Source Sans Pro" w:eastAsia="Calibri" w:hAnsi="Source Sans Pro" w:cs="Calibri"/>
                <w:kern w:val="0"/>
                <w:sz w:val="20"/>
                <w:szCs w:val="20"/>
                <w:lang w:bidi="en-US"/>
                <w14:ligatures w14:val="none"/>
              </w:rPr>
              <w:t xml:space="preserve"> haemorrhage</w:t>
            </w:r>
            <w:r w:rsidR="00A721C8" w:rsidRPr="00C474D1">
              <w:rPr>
                <w:rFonts w:ascii="Source Sans Pro" w:eastAsia="Calibri" w:hAnsi="Source Sans Pro" w:cs="Calibri"/>
                <w:kern w:val="0"/>
                <w:sz w:val="20"/>
                <w:szCs w:val="20"/>
                <w:lang w:bidi="en-US"/>
                <w14:ligatures w14:val="none"/>
              </w:rPr>
              <w:t xml:space="preserve"> </w:t>
            </w:r>
            <w:r w:rsidRPr="00C474D1">
              <w:rPr>
                <w:rFonts w:ascii="Source Sans Pro" w:eastAsia="Calibri" w:hAnsi="Source Sans Pro" w:cs="Calibri"/>
                <w:kern w:val="0"/>
                <w:sz w:val="20"/>
                <w:szCs w:val="20"/>
                <w:lang w:bidi="en-US"/>
                <w14:ligatures w14:val="none"/>
              </w:rPr>
              <w:t>for all births.</w:t>
            </w:r>
          </w:p>
        </w:tc>
        <w:tc>
          <w:tcPr>
            <w:tcW w:w="4680" w:type="dxa"/>
          </w:tcPr>
          <w:p w14:paraId="119C57BD" w14:textId="69334CC4"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Norms and policy</w:t>
            </w:r>
          </w:p>
          <w:p w14:paraId="6FF216F8" w14:textId="19891273" w:rsidR="00143BE7" w:rsidRPr="00C474D1" w:rsidRDefault="00143BE7" w:rsidP="00143BE7">
            <w:pPr>
              <w:pStyle w:val="ListParagraph"/>
              <w:numPr>
                <w:ilvl w:val="0"/>
                <w:numId w:val="17"/>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In some settings, national policies may limit access to misoprostol and midwives may not be authorized to administer it. </w:t>
            </w:r>
          </w:p>
          <w:p w14:paraId="04D3A718" w14:textId="08E9A14D" w:rsidR="00143BE7" w:rsidRPr="00C474D1" w:rsidRDefault="00143BE7" w:rsidP="00143BE7">
            <w:pPr>
              <w:pStyle w:val="ListParagraph"/>
              <w:numPr>
                <w:ilvl w:val="0"/>
                <w:numId w:val="17"/>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In contexts where induced abortion is legally restricted and/or heavily stigmatized, midwives may have concerns about using misoprostol for PPH prevention in the event of a stillbirth, due to fears of legal prosecution. This can introduce delays in providing lifesaving care.</w:t>
            </w:r>
          </w:p>
          <w:p w14:paraId="05B9A350" w14:textId="4D33BD33" w:rsidR="00143BE7" w:rsidRPr="00C474D1" w:rsidRDefault="00143BE7" w:rsidP="00143BE7">
            <w:pPr>
              <w:rPr>
                <w:rFonts w:ascii="Source Sans Pro" w:hAnsi="Source Sans Pro" w:cs="Calibri"/>
                <w:color w:val="000000" w:themeColor="text1"/>
                <w:sz w:val="20"/>
                <w:szCs w:val="20"/>
              </w:rPr>
            </w:pPr>
          </w:p>
        </w:tc>
        <w:tc>
          <w:tcPr>
            <w:tcW w:w="6030" w:type="dxa"/>
          </w:tcPr>
          <w:p w14:paraId="566D6D52" w14:textId="2068EA11"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Where national policy limits access to misoprostol, planning and preparedness efforts may consider the need for policy change, generally or within the context of a declared emergency. </w:t>
            </w:r>
          </w:p>
          <w:p w14:paraId="1D2701D4" w14:textId="77777777" w:rsidR="00143BE7" w:rsidRPr="00C474D1" w:rsidRDefault="00143BE7" w:rsidP="00143BE7">
            <w:pPr>
              <w:rPr>
                <w:rFonts w:ascii="Source Sans Pro" w:hAnsi="Source Sans Pro" w:cs="Calibri"/>
                <w:color w:val="000000" w:themeColor="text1"/>
                <w:sz w:val="20"/>
                <w:szCs w:val="20"/>
              </w:rPr>
            </w:pPr>
          </w:p>
          <w:p w14:paraId="4F447685" w14:textId="35250958"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While misoprostol is heat-stable, it can degrade when exposed to humidity. Best practice is for manufacturers to pack misoprostol in an aluminium blister pack to reduce the risk of exposure to moisture in humid environments </w:t>
            </w:r>
            <w:r w:rsidRPr="00374CE9">
              <w:rPr>
                <w:rFonts w:ascii="Source Sans Pro" w:hAnsi="Source Sans Pro" w:cs="Calibri"/>
                <w:i/>
                <w:iCs/>
                <w:noProof/>
                <w:sz w:val="20"/>
                <w:szCs w:val="20"/>
              </w:rPr>
              <w:t>(17)</w:t>
            </w:r>
            <w:r w:rsidRPr="00C474D1">
              <w:rPr>
                <w:rFonts w:ascii="Source Sans Pro" w:hAnsi="Source Sans Pro" w:cs="Calibri"/>
                <w:sz w:val="20"/>
                <w:szCs w:val="20"/>
              </w:rPr>
              <w:t>.</w:t>
            </w:r>
          </w:p>
          <w:p w14:paraId="282D9FD0" w14:textId="77777777" w:rsidR="00143BE7" w:rsidRPr="00C474D1" w:rsidRDefault="00143BE7" w:rsidP="00143BE7">
            <w:pPr>
              <w:rPr>
                <w:rFonts w:ascii="Source Sans Pro" w:hAnsi="Source Sans Pro" w:cs="Calibri"/>
                <w:color w:val="000000" w:themeColor="text1"/>
                <w:sz w:val="20"/>
                <w:szCs w:val="20"/>
              </w:rPr>
            </w:pPr>
          </w:p>
          <w:p w14:paraId="249AB776" w14:textId="46FC2EC2"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Misoprostol is available as a </w:t>
            </w:r>
            <w:r w:rsidRPr="00C474D1">
              <w:rPr>
                <w:rFonts w:ascii="Source Sans Pro" w:hAnsi="Source Sans Pro" w:cs="Calibri"/>
                <w:b/>
                <w:bCs/>
                <w:sz w:val="20"/>
                <w:szCs w:val="20"/>
              </w:rPr>
              <w:t>complementary</w:t>
            </w:r>
            <w:r w:rsidRPr="00C474D1">
              <w:rPr>
                <w:rFonts w:ascii="Source Sans Pro" w:hAnsi="Source Sans Pro" w:cs="Calibri"/>
                <w:sz w:val="20"/>
                <w:szCs w:val="20"/>
              </w:rPr>
              <w:t xml:space="preserve"> commodity for </w:t>
            </w:r>
            <w:r w:rsidRPr="00C474D1">
              <w:rPr>
                <w:rFonts w:ascii="Source Sans Pro" w:hAnsi="Source Sans Pro" w:cs="Calibri"/>
                <w:color w:val="000000" w:themeColor="text1"/>
                <w:sz w:val="20"/>
                <w:szCs w:val="20"/>
              </w:rPr>
              <w:t xml:space="preserve">Inter-Agency Reproductive Health kits 2A (clean delivery kits for individual pregnant women) and 6B (clinical delivery assistance for midwives) </w:t>
            </w:r>
            <w:r w:rsidRPr="00374CE9">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p w14:paraId="0262D53A" w14:textId="77777777" w:rsidR="00143BE7" w:rsidRPr="00C474D1" w:rsidRDefault="00143BE7" w:rsidP="00143BE7">
            <w:pPr>
              <w:rPr>
                <w:rFonts w:ascii="Source Sans Pro" w:hAnsi="Source Sans Pro" w:cs="Calibri"/>
                <w:color w:val="000000" w:themeColor="text1"/>
                <w:sz w:val="20"/>
                <w:szCs w:val="20"/>
              </w:rPr>
            </w:pPr>
          </w:p>
          <w:p w14:paraId="3DBADB8D" w14:textId="0C2BA91B"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Misoprostol may be the preferred uterotonic for most humanitarian settings, given its heat-stability, ease of administration (including in community settings) and cost.</w:t>
            </w:r>
          </w:p>
        </w:tc>
      </w:tr>
      <w:tr w:rsidR="00143BE7" w:rsidRPr="00C474D1" w14:paraId="5FB0E9E4" w14:textId="77777777" w:rsidTr="00A721C8">
        <w:trPr>
          <w:cantSplit/>
        </w:trPr>
        <w:tc>
          <w:tcPr>
            <w:tcW w:w="3865" w:type="dxa"/>
          </w:tcPr>
          <w:p w14:paraId="01A4CF3D" w14:textId="2638B06C"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8. In situations where women giving birth vaginally already have intravenous access, </w:t>
            </w:r>
            <w:r w:rsidRPr="00C474D1">
              <w:rPr>
                <w:rFonts w:ascii="Source Sans Pro" w:hAnsi="Source Sans Pro" w:cs="Calibri"/>
                <w:sz w:val="20"/>
                <w:szCs w:val="20"/>
              </w:rPr>
              <w:lastRenderedPageBreak/>
              <w:t>the administration of 10 IU oxytocin – diluted and administered slowly over 1 to 2 minutes – is recommended in preference to intramuscular administration.</w:t>
            </w:r>
          </w:p>
        </w:tc>
        <w:tc>
          <w:tcPr>
            <w:tcW w:w="4680" w:type="dxa"/>
          </w:tcPr>
          <w:p w14:paraId="2AAF17FA" w14:textId="2E8BE814" w:rsidR="00143BE7" w:rsidRPr="00C474D1" w:rsidRDefault="00143BE7" w:rsidP="00143BE7">
            <w:pPr>
              <w:rPr>
                <w:rFonts w:ascii="Source Sans Pro" w:hAnsi="Source Sans Pro" w:cs="Calibri"/>
                <w:i/>
                <w:iCs/>
                <w:color w:val="000000" w:themeColor="text1"/>
                <w:sz w:val="20"/>
                <w:szCs w:val="20"/>
              </w:rPr>
            </w:pPr>
            <w:r w:rsidRPr="00C474D1">
              <w:rPr>
                <w:rFonts w:ascii="Source Sans Pro" w:hAnsi="Source Sans Pro" w:cs="Calibri"/>
                <w:i/>
                <w:iCs/>
                <w:color w:val="000000" w:themeColor="text1"/>
                <w:sz w:val="20"/>
                <w:szCs w:val="20"/>
              </w:rPr>
              <w:lastRenderedPageBreak/>
              <w:t>See recommendation 7.1.</w:t>
            </w:r>
          </w:p>
        </w:tc>
        <w:tc>
          <w:tcPr>
            <w:tcW w:w="6030" w:type="dxa"/>
          </w:tcPr>
          <w:p w14:paraId="1A3789DF" w14:textId="05B5D924" w:rsidR="00143BE7" w:rsidRPr="00C474D1" w:rsidRDefault="00143BE7" w:rsidP="00143BE7">
            <w:pPr>
              <w:rPr>
                <w:rFonts w:ascii="Source Sans Pro" w:hAnsi="Source Sans Pro" w:cs="Calibri"/>
                <w:i/>
                <w:iCs/>
                <w:color w:val="000000" w:themeColor="text1"/>
                <w:sz w:val="20"/>
                <w:szCs w:val="20"/>
              </w:rPr>
            </w:pPr>
            <w:r w:rsidRPr="00C474D1">
              <w:rPr>
                <w:rFonts w:ascii="Source Sans Pro" w:hAnsi="Source Sans Pro" w:cs="Calibri"/>
                <w:i/>
                <w:iCs/>
                <w:color w:val="000000" w:themeColor="text1"/>
                <w:sz w:val="20"/>
                <w:szCs w:val="20"/>
              </w:rPr>
              <w:t>See recommendation 7.1.</w:t>
            </w:r>
          </w:p>
        </w:tc>
      </w:tr>
      <w:tr w:rsidR="00143BE7" w:rsidRPr="00C474D1" w14:paraId="50456B64" w14:textId="77777777" w:rsidTr="00A721C8">
        <w:trPr>
          <w:cantSplit/>
        </w:trPr>
        <w:tc>
          <w:tcPr>
            <w:tcW w:w="3865" w:type="dxa"/>
          </w:tcPr>
          <w:p w14:paraId="1A51E428" w14:textId="66E1F97E" w:rsidR="00143BE7" w:rsidRPr="00C474D1" w:rsidRDefault="00143BE7" w:rsidP="00143BE7">
            <w:pPr>
              <w:rPr>
                <w:rFonts w:ascii="Source Sans Pro" w:hAnsi="Source Sans Pro" w:cs="Calibri"/>
                <w:sz w:val="20"/>
                <w:szCs w:val="20"/>
              </w:rPr>
            </w:pPr>
            <w:proofErr w:type="gramStart"/>
            <w:r w:rsidRPr="00C474D1">
              <w:rPr>
                <w:rFonts w:ascii="Source Sans Pro" w:hAnsi="Source Sans Pro" w:cs="Calibri"/>
                <w:sz w:val="20"/>
                <w:szCs w:val="20"/>
              </w:rPr>
              <w:t xml:space="preserve">9.1 </w:t>
            </w:r>
            <w:r w:rsidRPr="00C474D1">
              <w:rPr>
                <w:rFonts w:ascii="Source Sans Pro" w:eastAsia="Calibri" w:hAnsi="Source Sans Pro" w:cs="Calibri"/>
                <w:kern w:val="0"/>
                <w:sz w:val="20"/>
                <w:szCs w:val="20"/>
                <w:lang w:bidi="en-US"/>
                <w14:ligatures w14:val="none"/>
              </w:rPr>
              <w:t xml:space="preserve"> Ergometrine</w:t>
            </w:r>
            <w:proofErr w:type="gramEnd"/>
            <w:r w:rsidRPr="00C474D1">
              <w:rPr>
                <w:rFonts w:ascii="Source Sans Pro" w:eastAsia="Calibri" w:hAnsi="Source Sans Pro" w:cs="Calibri"/>
                <w:kern w:val="0"/>
                <w:sz w:val="20"/>
                <w:szCs w:val="20"/>
                <w:lang w:bidi="en-US"/>
                <w14:ligatures w14:val="none"/>
              </w:rPr>
              <w:t xml:space="preserve">/methylergometrine is not recommended for the prevention </w:t>
            </w:r>
            <w:proofErr w:type="gramStart"/>
            <w:r w:rsidRPr="00C474D1">
              <w:rPr>
                <w:rFonts w:ascii="Source Sans Pro" w:eastAsia="Calibri" w:hAnsi="Source Sans Pro" w:cs="Calibri"/>
                <w:kern w:val="0"/>
                <w:sz w:val="20"/>
                <w:szCs w:val="20"/>
                <w:lang w:bidi="en-US"/>
                <w14:ligatures w14:val="none"/>
              </w:rPr>
              <w:t xml:space="preserve">of </w:t>
            </w:r>
            <w:r w:rsidR="00A721C8">
              <w:rPr>
                <w:rFonts w:ascii="Source Sans Pro" w:eastAsia="Calibri" w:hAnsi="Source Sans Pro" w:cs="Calibri"/>
                <w:kern w:val="0"/>
                <w:sz w:val="20"/>
                <w:szCs w:val="20"/>
                <w:lang w:bidi="en-US"/>
                <w14:ligatures w14:val="none"/>
              </w:rPr>
              <w:t xml:space="preserve"> postpartum</w:t>
            </w:r>
            <w:proofErr w:type="gramEnd"/>
            <w:r w:rsidR="00A721C8">
              <w:rPr>
                <w:rFonts w:ascii="Source Sans Pro" w:eastAsia="Calibri" w:hAnsi="Source Sans Pro" w:cs="Calibri"/>
                <w:kern w:val="0"/>
                <w:sz w:val="20"/>
                <w:szCs w:val="20"/>
                <w:lang w:bidi="en-US"/>
                <w14:ligatures w14:val="none"/>
              </w:rPr>
              <w:t xml:space="preserve"> </w:t>
            </w:r>
            <w:proofErr w:type="gramStart"/>
            <w:r w:rsidR="00A721C8">
              <w:rPr>
                <w:rFonts w:ascii="Source Sans Pro" w:eastAsia="Calibri" w:hAnsi="Source Sans Pro" w:cs="Calibri"/>
                <w:kern w:val="0"/>
                <w:sz w:val="20"/>
                <w:szCs w:val="20"/>
                <w:lang w:bidi="en-US"/>
                <w14:ligatures w14:val="none"/>
              </w:rPr>
              <w:t>haemorrhage</w:t>
            </w:r>
            <w:r w:rsidR="00A721C8" w:rsidRPr="00C474D1">
              <w:rPr>
                <w:rFonts w:ascii="Source Sans Pro" w:eastAsia="Calibri" w:hAnsi="Source Sans Pro" w:cs="Calibri"/>
                <w:kern w:val="0"/>
                <w:sz w:val="20"/>
                <w:szCs w:val="20"/>
                <w:lang w:bidi="en-US"/>
                <w14:ligatures w14:val="none"/>
              </w:rPr>
              <w:t xml:space="preserve"> </w:t>
            </w:r>
            <w:r w:rsidRPr="00C474D1">
              <w:rPr>
                <w:rFonts w:ascii="Source Sans Pro" w:eastAsia="Calibri" w:hAnsi="Source Sans Pro" w:cs="Calibri"/>
                <w:kern w:val="0"/>
                <w:sz w:val="20"/>
                <w:szCs w:val="20"/>
                <w:lang w:bidi="en-US"/>
                <w14:ligatures w14:val="none"/>
              </w:rPr>
              <w:t>.</w:t>
            </w:r>
            <w:proofErr w:type="gramEnd"/>
          </w:p>
        </w:tc>
        <w:tc>
          <w:tcPr>
            <w:tcW w:w="4680" w:type="dxa"/>
          </w:tcPr>
          <w:p w14:paraId="787AD8C1" w14:textId="6F7D92F9"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Not applicable.</w:t>
            </w:r>
          </w:p>
        </w:tc>
        <w:tc>
          <w:tcPr>
            <w:tcW w:w="6030" w:type="dxa"/>
          </w:tcPr>
          <w:p w14:paraId="738F01D0" w14:textId="3F7C5497"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Not applicable.</w:t>
            </w:r>
          </w:p>
        </w:tc>
      </w:tr>
      <w:tr w:rsidR="00143BE7" w:rsidRPr="00C474D1" w14:paraId="10F33E8A" w14:textId="77777777" w:rsidTr="00A721C8">
        <w:trPr>
          <w:cantSplit/>
        </w:trPr>
        <w:tc>
          <w:tcPr>
            <w:tcW w:w="3865" w:type="dxa"/>
          </w:tcPr>
          <w:p w14:paraId="1D8F408F" w14:textId="41F68E69" w:rsidR="00143BE7" w:rsidRPr="00C474D1" w:rsidRDefault="00143BE7" w:rsidP="00143BE7">
            <w:pPr>
              <w:rPr>
                <w:rFonts w:ascii="Source Sans Pro" w:hAnsi="Source Sans Pro" w:cs="Calibri"/>
                <w:sz w:val="20"/>
                <w:szCs w:val="20"/>
              </w:rPr>
            </w:pPr>
            <w:proofErr w:type="gramStart"/>
            <w:r w:rsidRPr="00C474D1">
              <w:rPr>
                <w:rFonts w:ascii="Source Sans Pro" w:hAnsi="Source Sans Pro" w:cs="Calibri"/>
                <w:sz w:val="20"/>
                <w:szCs w:val="20"/>
              </w:rPr>
              <w:t xml:space="preserve">9.2 </w:t>
            </w:r>
            <w:r w:rsidRPr="00C474D1">
              <w:rPr>
                <w:rFonts w:ascii="Source Sans Pro" w:eastAsia="Calibri" w:hAnsi="Source Sans Pro" w:cs="Calibri"/>
                <w:sz w:val="20"/>
                <w:szCs w:val="20"/>
                <w:lang w:bidi="en-US"/>
              </w:rPr>
              <w:t xml:space="preserve"> F</w:t>
            </w:r>
            <w:r w:rsidRPr="00C474D1">
              <w:rPr>
                <w:rFonts w:ascii="Source Sans Pro" w:eastAsia="Calibri" w:hAnsi="Source Sans Pro" w:cs="Calibri"/>
                <w:kern w:val="0"/>
                <w:sz w:val="20"/>
                <w:szCs w:val="20"/>
                <w:lang w:bidi="en-US"/>
                <w14:ligatures w14:val="none"/>
              </w:rPr>
              <w:t>ixed</w:t>
            </w:r>
            <w:proofErr w:type="gramEnd"/>
            <w:r w:rsidRPr="00C474D1">
              <w:rPr>
                <w:rFonts w:ascii="Source Sans Pro" w:eastAsia="Calibri" w:hAnsi="Source Sans Pro" w:cs="Calibri"/>
                <w:kern w:val="0"/>
                <w:sz w:val="20"/>
                <w:szCs w:val="20"/>
                <w:lang w:bidi="en-US"/>
                <w14:ligatures w14:val="none"/>
              </w:rPr>
              <w:t xml:space="preserve">-dose combination of oxytocin and ergometrine (5 IU/500 </w:t>
            </w:r>
            <w:proofErr w:type="spellStart"/>
            <w:r w:rsidRPr="00C474D1">
              <w:rPr>
                <w:rFonts w:ascii="Source Sans Pro" w:eastAsia="Calibri" w:hAnsi="Source Sans Pro" w:cs="Calibri"/>
                <w:kern w:val="0"/>
                <w:sz w:val="20"/>
                <w:szCs w:val="20"/>
                <w:lang w:bidi="en-US"/>
                <w14:ligatures w14:val="none"/>
              </w:rPr>
              <w:t>μg</w:t>
            </w:r>
            <w:proofErr w:type="spellEnd"/>
            <w:r w:rsidRPr="00C474D1">
              <w:rPr>
                <w:rFonts w:ascii="Source Sans Pro" w:eastAsia="Calibri" w:hAnsi="Source Sans Pro" w:cs="Calibri"/>
                <w:kern w:val="0"/>
                <w:sz w:val="20"/>
                <w:szCs w:val="20"/>
                <w:lang w:bidi="en-US"/>
                <w14:ligatures w14:val="none"/>
              </w:rPr>
              <w:t xml:space="preserve">, intramuscularly) is not recommended for the prevention </w:t>
            </w:r>
            <w:proofErr w:type="gramStart"/>
            <w:r w:rsidRPr="00C474D1">
              <w:rPr>
                <w:rFonts w:ascii="Source Sans Pro" w:eastAsia="Calibri" w:hAnsi="Source Sans Pro" w:cs="Calibri"/>
                <w:kern w:val="0"/>
                <w:sz w:val="20"/>
                <w:szCs w:val="20"/>
                <w:lang w:bidi="en-US"/>
                <w14:ligatures w14:val="none"/>
              </w:rPr>
              <w:t xml:space="preserve">of </w:t>
            </w:r>
            <w:r w:rsidR="00A721C8">
              <w:rPr>
                <w:rFonts w:ascii="Source Sans Pro" w:eastAsia="Calibri" w:hAnsi="Source Sans Pro" w:cs="Calibri"/>
                <w:kern w:val="0"/>
                <w:sz w:val="20"/>
                <w:szCs w:val="20"/>
                <w:lang w:bidi="en-US"/>
                <w14:ligatures w14:val="none"/>
              </w:rPr>
              <w:t xml:space="preserve"> postpartum</w:t>
            </w:r>
            <w:proofErr w:type="gramEnd"/>
            <w:r w:rsidR="00A721C8">
              <w:rPr>
                <w:rFonts w:ascii="Source Sans Pro" w:eastAsia="Calibri" w:hAnsi="Source Sans Pro" w:cs="Calibri"/>
                <w:kern w:val="0"/>
                <w:sz w:val="20"/>
                <w:szCs w:val="20"/>
                <w:lang w:bidi="en-US"/>
                <w14:ligatures w14:val="none"/>
              </w:rPr>
              <w:t xml:space="preserve"> </w:t>
            </w:r>
            <w:proofErr w:type="gramStart"/>
            <w:r w:rsidR="00A721C8">
              <w:rPr>
                <w:rFonts w:ascii="Source Sans Pro" w:eastAsia="Calibri" w:hAnsi="Source Sans Pro" w:cs="Calibri"/>
                <w:kern w:val="0"/>
                <w:sz w:val="20"/>
                <w:szCs w:val="20"/>
                <w:lang w:bidi="en-US"/>
                <w14:ligatures w14:val="none"/>
              </w:rPr>
              <w:t>haemorrhage</w:t>
            </w:r>
            <w:r w:rsidR="00A721C8" w:rsidRPr="00C474D1">
              <w:rPr>
                <w:rFonts w:ascii="Source Sans Pro" w:eastAsia="Calibri" w:hAnsi="Source Sans Pro" w:cs="Calibri"/>
                <w:kern w:val="0"/>
                <w:sz w:val="20"/>
                <w:szCs w:val="20"/>
                <w:lang w:bidi="en-US"/>
                <w14:ligatures w14:val="none"/>
              </w:rPr>
              <w:t xml:space="preserve"> </w:t>
            </w:r>
            <w:r w:rsidRPr="00C474D1">
              <w:rPr>
                <w:rFonts w:ascii="Source Sans Pro" w:eastAsia="Calibri" w:hAnsi="Source Sans Pro" w:cs="Calibri"/>
                <w:kern w:val="0"/>
                <w:sz w:val="20"/>
                <w:szCs w:val="20"/>
                <w:lang w:bidi="en-US"/>
                <w14:ligatures w14:val="none"/>
              </w:rPr>
              <w:t>.</w:t>
            </w:r>
            <w:proofErr w:type="gramEnd"/>
          </w:p>
        </w:tc>
        <w:tc>
          <w:tcPr>
            <w:tcW w:w="4680" w:type="dxa"/>
          </w:tcPr>
          <w:p w14:paraId="1BAC80E6" w14:textId="0E1AAB17"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Not applicable.</w:t>
            </w:r>
          </w:p>
        </w:tc>
        <w:tc>
          <w:tcPr>
            <w:tcW w:w="6030" w:type="dxa"/>
          </w:tcPr>
          <w:p w14:paraId="43D9ADF4" w14:textId="30223EB0"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Not applicable.</w:t>
            </w:r>
          </w:p>
        </w:tc>
      </w:tr>
      <w:tr w:rsidR="00143BE7" w:rsidRPr="00C474D1" w14:paraId="1C42C6E2" w14:textId="77777777" w:rsidTr="00A721C8">
        <w:trPr>
          <w:cantSplit/>
        </w:trPr>
        <w:tc>
          <w:tcPr>
            <w:tcW w:w="3865" w:type="dxa"/>
          </w:tcPr>
          <w:p w14:paraId="662D1692" w14:textId="65F486F0" w:rsidR="00143BE7" w:rsidRPr="00C474D1" w:rsidRDefault="00143BE7" w:rsidP="00143BE7">
            <w:pPr>
              <w:rPr>
                <w:rFonts w:ascii="Source Sans Pro" w:hAnsi="Source Sans Pro" w:cs="Calibri"/>
                <w:sz w:val="20"/>
                <w:szCs w:val="20"/>
              </w:rPr>
            </w:pPr>
            <w:proofErr w:type="gramStart"/>
            <w:r w:rsidRPr="00C474D1">
              <w:rPr>
                <w:rFonts w:ascii="Source Sans Pro" w:hAnsi="Source Sans Pro" w:cs="Calibri"/>
                <w:sz w:val="20"/>
                <w:szCs w:val="20"/>
              </w:rPr>
              <w:t xml:space="preserve">9.3 </w:t>
            </w:r>
            <w:r w:rsidRPr="00C474D1">
              <w:rPr>
                <w:rFonts w:ascii="Source Sans Pro" w:eastAsia="Calibri" w:hAnsi="Source Sans Pro" w:cs="Calibri"/>
                <w:kern w:val="0"/>
                <w:sz w:val="20"/>
                <w:szCs w:val="20"/>
                <w:lang w:bidi="en-US"/>
                <w14:ligatures w14:val="none"/>
              </w:rPr>
              <w:t xml:space="preserve"> Injectable</w:t>
            </w:r>
            <w:proofErr w:type="gramEnd"/>
            <w:r w:rsidRPr="00C474D1">
              <w:rPr>
                <w:rFonts w:ascii="Source Sans Pro" w:eastAsia="Calibri" w:hAnsi="Source Sans Pro" w:cs="Calibri"/>
                <w:kern w:val="0"/>
                <w:sz w:val="20"/>
                <w:szCs w:val="20"/>
                <w:lang w:bidi="en-US"/>
                <w14:ligatures w14:val="none"/>
              </w:rPr>
              <w:t xml:space="preserve"> prostaglandins (</w:t>
            </w:r>
            <w:proofErr w:type="spellStart"/>
            <w:r w:rsidRPr="00C474D1">
              <w:rPr>
                <w:rFonts w:ascii="Source Sans Pro" w:eastAsia="Calibri" w:hAnsi="Source Sans Pro" w:cs="Calibri"/>
                <w:kern w:val="0"/>
                <w:sz w:val="20"/>
                <w:szCs w:val="20"/>
                <w:lang w:bidi="en-US"/>
                <w14:ligatures w14:val="none"/>
              </w:rPr>
              <w:t>carboprost</w:t>
            </w:r>
            <w:proofErr w:type="spellEnd"/>
            <w:r w:rsidRPr="00C474D1">
              <w:rPr>
                <w:rFonts w:ascii="Source Sans Pro" w:eastAsia="Calibri" w:hAnsi="Source Sans Pro" w:cs="Calibri"/>
                <w:kern w:val="0"/>
                <w:sz w:val="20"/>
                <w:szCs w:val="20"/>
                <w:lang w:bidi="en-US"/>
                <w14:ligatures w14:val="none"/>
              </w:rPr>
              <w:t xml:space="preserve"> or </w:t>
            </w:r>
            <w:proofErr w:type="spellStart"/>
            <w:r w:rsidRPr="00C474D1">
              <w:rPr>
                <w:rFonts w:ascii="Source Sans Pro" w:eastAsia="Calibri" w:hAnsi="Source Sans Pro" w:cs="Calibri"/>
                <w:kern w:val="0"/>
                <w:sz w:val="20"/>
                <w:szCs w:val="20"/>
                <w:lang w:bidi="en-US"/>
                <w14:ligatures w14:val="none"/>
              </w:rPr>
              <w:t>sulprostone</w:t>
            </w:r>
            <w:proofErr w:type="spellEnd"/>
            <w:r w:rsidRPr="00C474D1">
              <w:rPr>
                <w:rFonts w:ascii="Source Sans Pro" w:eastAsia="Calibri" w:hAnsi="Source Sans Pro" w:cs="Calibri"/>
                <w:kern w:val="0"/>
                <w:sz w:val="20"/>
                <w:szCs w:val="20"/>
                <w:lang w:bidi="en-US"/>
                <w14:ligatures w14:val="none"/>
              </w:rPr>
              <w:t xml:space="preserve">) are not recommended for the prevention </w:t>
            </w:r>
            <w:proofErr w:type="gramStart"/>
            <w:r w:rsidRPr="00C474D1">
              <w:rPr>
                <w:rFonts w:ascii="Source Sans Pro" w:eastAsia="Calibri" w:hAnsi="Source Sans Pro" w:cs="Calibri"/>
                <w:kern w:val="0"/>
                <w:sz w:val="20"/>
                <w:szCs w:val="20"/>
                <w:lang w:bidi="en-US"/>
                <w14:ligatures w14:val="none"/>
              </w:rPr>
              <w:t xml:space="preserve">of </w:t>
            </w:r>
            <w:r w:rsidR="00A721C8">
              <w:rPr>
                <w:rFonts w:ascii="Source Sans Pro" w:eastAsia="Calibri" w:hAnsi="Source Sans Pro" w:cs="Calibri"/>
                <w:kern w:val="0"/>
                <w:sz w:val="20"/>
                <w:szCs w:val="20"/>
                <w:lang w:bidi="en-US"/>
                <w14:ligatures w14:val="none"/>
              </w:rPr>
              <w:t xml:space="preserve"> postpartum</w:t>
            </w:r>
            <w:proofErr w:type="gramEnd"/>
            <w:r w:rsidR="00A721C8">
              <w:rPr>
                <w:rFonts w:ascii="Source Sans Pro" w:eastAsia="Calibri" w:hAnsi="Source Sans Pro" w:cs="Calibri"/>
                <w:kern w:val="0"/>
                <w:sz w:val="20"/>
                <w:szCs w:val="20"/>
                <w:lang w:bidi="en-US"/>
                <w14:ligatures w14:val="none"/>
              </w:rPr>
              <w:t xml:space="preserve"> </w:t>
            </w:r>
            <w:proofErr w:type="gramStart"/>
            <w:r w:rsidR="00A721C8">
              <w:rPr>
                <w:rFonts w:ascii="Source Sans Pro" w:eastAsia="Calibri" w:hAnsi="Source Sans Pro" w:cs="Calibri"/>
                <w:kern w:val="0"/>
                <w:sz w:val="20"/>
                <w:szCs w:val="20"/>
                <w:lang w:bidi="en-US"/>
                <w14:ligatures w14:val="none"/>
              </w:rPr>
              <w:t>haemorrhage</w:t>
            </w:r>
            <w:r w:rsidR="00A721C8" w:rsidRPr="00C474D1">
              <w:rPr>
                <w:rFonts w:ascii="Source Sans Pro" w:eastAsia="Calibri" w:hAnsi="Source Sans Pro" w:cs="Calibri"/>
                <w:kern w:val="0"/>
                <w:sz w:val="20"/>
                <w:szCs w:val="20"/>
                <w:lang w:bidi="en-US"/>
                <w14:ligatures w14:val="none"/>
              </w:rPr>
              <w:t xml:space="preserve"> </w:t>
            </w:r>
            <w:r w:rsidRPr="00C474D1">
              <w:rPr>
                <w:rFonts w:ascii="Source Sans Pro" w:eastAsia="Calibri" w:hAnsi="Source Sans Pro" w:cs="Calibri"/>
                <w:kern w:val="0"/>
                <w:sz w:val="20"/>
                <w:szCs w:val="20"/>
                <w:lang w:bidi="en-US"/>
                <w14:ligatures w14:val="none"/>
              </w:rPr>
              <w:t>.</w:t>
            </w:r>
            <w:proofErr w:type="gramEnd"/>
          </w:p>
        </w:tc>
        <w:tc>
          <w:tcPr>
            <w:tcW w:w="4680" w:type="dxa"/>
          </w:tcPr>
          <w:p w14:paraId="6AC7BE1F" w14:textId="08F72AF7"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Not applicable.</w:t>
            </w:r>
          </w:p>
        </w:tc>
        <w:tc>
          <w:tcPr>
            <w:tcW w:w="6030" w:type="dxa"/>
          </w:tcPr>
          <w:p w14:paraId="0BD5985C" w14:textId="0D37E9B3"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Not applicable.</w:t>
            </w:r>
          </w:p>
        </w:tc>
      </w:tr>
      <w:tr w:rsidR="00143BE7" w:rsidRPr="00C474D1" w14:paraId="707E47D0" w14:textId="77777777" w:rsidTr="00A721C8">
        <w:trPr>
          <w:cantSplit/>
        </w:trPr>
        <w:tc>
          <w:tcPr>
            <w:tcW w:w="3865" w:type="dxa"/>
          </w:tcPr>
          <w:p w14:paraId="1235CBA6" w14:textId="0370515C"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10.  In settings where multiple uterotonic options are available, oxytocin (10 IU, intramuscularly/intravenously) is the recommended uterotonic agent for the prevention </w:t>
            </w:r>
            <w:proofErr w:type="gramStart"/>
            <w:r w:rsidRPr="00C474D1">
              <w:rPr>
                <w:rFonts w:ascii="Source Sans Pro" w:hAnsi="Source Sans Pro" w:cs="Calibri"/>
                <w:sz w:val="20"/>
                <w:szCs w:val="20"/>
              </w:rPr>
              <w:t xml:space="preserve">of </w:t>
            </w:r>
            <w:r w:rsidR="00A721C8">
              <w:rPr>
                <w:rFonts w:ascii="Source Sans Pro" w:eastAsia="Calibri" w:hAnsi="Source Sans Pro" w:cs="Calibri"/>
                <w:kern w:val="0"/>
                <w:sz w:val="20"/>
                <w:szCs w:val="20"/>
                <w:lang w:bidi="en-US"/>
                <w14:ligatures w14:val="none"/>
              </w:rPr>
              <w:t xml:space="preserve"> postpartum</w:t>
            </w:r>
            <w:proofErr w:type="gramEnd"/>
            <w:r w:rsidR="00A721C8">
              <w:rPr>
                <w:rFonts w:ascii="Source Sans Pro" w:eastAsia="Calibri" w:hAnsi="Source Sans Pro" w:cs="Calibri"/>
                <w:kern w:val="0"/>
                <w:sz w:val="20"/>
                <w:szCs w:val="20"/>
                <w:lang w:bidi="en-US"/>
                <w14:ligatures w14:val="none"/>
              </w:rPr>
              <w:t xml:space="preserve"> haemorrhage</w:t>
            </w:r>
            <w:r w:rsidR="00A721C8" w:rsidRPr="00C474D1">
              <w:rPr>
                <w:rFonts w:ascii="Source Sans Pro" w:eastAsia="Calibri" w:hAnsi="Source Sans Pro" w:cs="Calibri"/>
                <w:kern w:val="0"/>
                <w:sz w:val="20"/>
                <w:szCs w:val="20"/>
                <w:lang w:bidi="en-US"/>
                <w14:ligatures w14:val="none"/>
              </w:rPr>
              <w:t xml:space="preserve"> </w:t>
            </w:r>
            <w:r w:rsidRPr="00C474D1">
              <w:rPr>
                <w:rFonts w:ascii="Source Sans Pro" w:hAnsi="Source Sans Pro" w:cs="Calibri"/>
                <w:sz w:val="20"/>
                <w:szCs w:val="20"/>
              </w:rPr>
              <w:t>for all births.</w:t>
            </w:r>
          </w:p>
        </w:tc>
        <w:tc>
          <w:tcPr>
            <w:tcW w:w="4680" w:type="dxa"/>
          </w:tcPr>
          <w:p w14:paraId="216DE681" w14:textId="773FD2BC"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See recommendation 7.1.</w:t>
            </w:r>
          </w:p>
        </w:tc>
        <w:tc>
          <w:tcPr>
            <w:tcW w:w="6030" w:type="dxa"/>
          </w:tcPr>
          <w:p w14:paraId="5A1EF3DD" w14:textId="7EB24D0F"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See recommendation 7.1.</w:t>
            </w:r>
          </w:p>
        </w:tc>
      </w:tr>
      <w:tr w:rsidR="00143BE7" w:rsidRPr="00C474D1" w14:paraId="0D5F2A3A" w14:textId="77777777" w:rsidTr="00A721C8">
        <w:trPr>
          <w:cantSplit/>
        </w:trPr>
        <w:tc>
          <w:tcPr>
            <w:tcW w:w="3865" w:type="dxa"/>
          </w:tcPr>
          <w:p w14:paraId="17978081" w14:textId="18561442"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11. Heat-stable </w:t>
            </w:r>
            <w:proofErr w:type="spellStart"/>
            <w:r w:rsidRPr="00C474D1">
              <w:rPr>
                <w:rFonts w:ascii="Source Sans Pro" w:hAnsi="Source Sans Pro" w:cs="Calibri"/>
                <w:sz w:val="20"/>
                <w:szCs w:val="20"/>
              </w:rPr>
              <w:t>carbetocin</w:t>
            </w:r>
            <w:proofErr w:type="spellEnd"/>
            <w:r w:rsidRPr="00C474D1">
              <w:rPr>
                <w:rFonts w:ascii="Source Sans Pro" w:hAnsi="Source Sans Pro" w:cs="Calibri"/>
                <w:sz w:val="20"/>
                <w:szCs w:val="20"/>
              </w:rPr>
              <w:t xml:space="preserve"> (100 µg intramuscularly/intravenously) is the recommended choice for the prevention </w:t>
            </w:r>
            <w:proofErr w:type="gramStart"/>
            <w:r w:rsidRPr="00C474D1">
              <w:rPr>
                <w:rFonts w:ascii="Source Sans Pro" w:hAnsi="Source Sans Pro" w:cs="Calibri"/>
                <w:sz w:val="20"/>
                <w:szCs w:val="20"/>
              </w:rPr>
              <w:t xml:space="preserve">of </w:t>
            </w:r>
            <w:r w:rsidR="00A721C8">
              <w:rPr>
                <w:rFonts w:ascii="Source Sans Pro" w:eastAsia="Calibri" w:hAnsi="Source Sans Pro" w:cs="Calibri"/>
                <w:kern w:val="0"/>
                <w:sz w:val="20"/>
                <w:szCs w:val="20"/>
                <w:lang w:bidi="en-US"/>
                <w14:ligatures w14:val="none"/>
              </w:rPr>
              <w:t xml:space="preserve"> postpartum</w:t>
            </w:r>
            <w:proofErr w:type="gramEnd"/>
            <w:r w:rsidR="00A721C8">
              <w:rPr>
                <w:rFonts w:ascii="Source Sans Pro" w:eastAsia="Calibri" w:hAnsi="Source Sans Pro" w:cs="Calibri"/>
                <w:kern w:val="0"/>
                <w:sz w:val="20"/>
                <w:szCs w:val="20"/>
                <w:lang w:bidi="en-US"/>
                <w14:ligatures w14:val="none"/>
              </w:rPr>
              <w:t xml:space="preserve"> haemorrhage</w:t>
            </w:r>
            <w:r w:rsidR="00A721C8" w:rsidRPr="00C474D1">
              <w:rPr>
                <w:rFonts w:ascii="Source Sans Pro" w:eastAsia="Calibri" w:hAnsi="Source Sans Pro" w:cs="Calibri"/>
                <w:kern w:val="0"/>
                <w:sz w:val="20"/>
                <w:szCs w:val="20"/>
                <w:lang w:bidi="en-US"/>
                <w14:ligatures w14:val="none"/>
              </w:rPr>
              <w:t xml:space="preserve"> </w:t>
            </w:r>
            <w:r w:rsidRPr="00C474D1">
              <w:rPr>
                <w:rFonts w:ascii="Source Sans Pro" w:hAnsi="Source Sans Pro" w:cs="Calibri"/>
                <w:sz w:val="20"/>
                <w:szCs w:val="20"/>
              </w:rPr>
              <w:t xml:space="preserve">in settings where the oxytocin </w:t>
            </w:r>
            <w:r w:rsidR="00374CE9">
              <w:rPr>
                <w:rFonts w:ascii="Source Sans Pro" w:hAnsi="Source Sans Pro" w:cs="Calibri"/>
                <w:sz w:val="20"/>
                <w:szCs w:val="20"/>
              </w:rPr>
              <w:t xml:space="preserve">cold chain </w:t>
            </w:r>
            <w:r w:rsidRPr="00C474D1">
              <w:rPr>
                <w:rFonts w:ascii="Source Sans Pro" w:hAnsi="Source Sans Pro" w:cs="Calibri"/>
                <w:sz w:val="20"/>
                <w:szCs w:val="20"/>
              </w:rPr>
              <w:t xml:space="preserve">cannot be consistently maintained. If heat-stable </w:t>
            </w:r>
            <w:proofErr w:type="spellStart"/>
            <w:r w:rsidRPr="00C474D1">
              <w:rPr>
                <w:rFonts w:ascii="Source Sans Pro" w:hAnsi="Source Sans Pro" w:cs="Calibri"/>
                <w:sz w:val="20"/>
                <w:szCs w:val="20"/>
              </w:rPr>
              <w:t>carbetocin</w:t>
            </w:r>
            <w:proofErr w:type="spellEnd"/>
            <w:r w:rsidRPr="00C474D1">
              <w:rPr>
                <w:rFonts w:ascii="Source Sans Pro" w:hAnsi="Source Sans Pro" w:cs="Calibri"/>
                <w:sz w:val="20"/>
                <w:szCs w:val="20"/>
              </w:rPr>
              <w:t xml:space="preserve"> is not available, misoprostol </w:t>
            </w:r>
            <w:r w:rsidRPr="00C474D1">
              <w:rPr>
                <w:rFonts w:ascii="Source Sans Pro" w:hAnsi="Source Sans Pro" w:cs="Calibri"/>
                <w:sz w:val="20"/>
                <w:szCs w:val="20"/>
              </w:rPr>
              <w:lastRenderedPageBreak/>
              <w:t>(400 µg or 600 µg, orally) can be used as an alternative.</w:t>
            </w:r>
          </w:p>
        </w:tc>
        <w:tc>
          <w:tcPr>
            <w:tcW w:w="4680" w:type="dxa"/>
          </w:tcPr>
          <w:p w14:paraId="2A299CDF" w14:textId="7ABEF9B4" w:rsidR="00143BE7" w:rsidRPr="00C474D1" w:rsidRDefault="00143BE7" w:rsidP="00143BE7">
            <w:pPr>
              <w:rPr>
                <w:rFonts w:ascii="Source Sans Pro" w:hAnsi="Source Sans Pro" w:cs="Calibri"/>
                <w:i/>
                <w:iCs/>
                <w:color w:val="000000" w:themeColor="text1"/>
                <w:sz w:val="20"/>
                <w:szCs w:val="20"/>
              </w:rPr>
            </w:pPr>
            <w:r w:rsidRPr="00C474D1">
              <w:rPr>
                <w:rFonts w:ascii="Source Sans Pro" w:hAnsi="Source Sans Pro" w:cs="Calibri"/>
                <w:i/>
                <w:iCs/>
                <w:color w:val="000000" w:themeColor="text1"/>
                <w:sz w:val="20"/>
                <w:szCs w:val="20"/>
              </w:rPr>
              <w:lastRenderedPageBreak/>
              <w:t>See recommendations 7.2 and 7.3.</w:t>
            </w:r>
          </w:p>
        </w:tc>
        <w:tc>
          <w:tcPr>
            <w:tcW w:w="6030" w:type="dxa"/>
          </w:tcPr>
          <w:p w14:paraId="1973DFD8" w14:textId="716FF1A4" w:rsidR="00143BE7" w:rsidRPr="00C474D1" w:rsidRDefault="00143BE7" w:rsidP="00143BE7">
            <w:pPr>
              <w:rPr>
                <w:rFonts w:ascii="Source Sans Pro" w:hAnsi="Source Sans Pro" w:cs="Calibri"/>
                <w:i/>
                <w:iCs/>
                <w:color w:val="000000" w:themeColor="text1"/>
                <w:sz w:val="20"/>
                <w:szCs w:val="20"/>
              </w:rPr>
            </w:pPr>
            <w:r w:rsidRPr="00C474D1">
              <w:rPr>
                <w:rFonts w:ascii="Source Sans Pro" w:hAnsi="Source Sans Pro" w:cs="Calibri"/>
                <w:i/>
                <w:iCs/>
                <w:color w:val="000000" w:themeColor="text1"/>
                <w:sz w:val="20"/>
                <w:szCs w:val="20"/>
              </w:rPr>
              <w:t>See recommendations 7.2 and 7.3.</w:t>
            </w:r>
          </w:p>
        </w:tc>
      </w:tr>
      <w:tr w:rsidR="00143BE7" w:rsidRPr="00C474D1" w14:paraId="1556284C" w14:textId="77777777" w:rsidTr="00A721C8">
        <w:trPr>
          <w:cantSplit/>
          <w:trHeight w:val="521"/>
        </w:trPr>
        <w:tc>
          <w:tcPr>
            <w:tcW w:w="3865" w:type="dxa"/>
          </w:tcPr>
          <w:p w14:paraId="3795F14C" w14:textId="628A8CE4"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12. The administration of misoprostol (400 µg or 600 µg, orally) by community health workers and lay health workers is recommended for the prevention </w:t>
            </w:r>
            <w:proofErr w:type="gramStart"/>
            <w:r w:rsidRPr="00C474D1">
              <w:rPr>
                <w:rFonts w:ascii="Source Sans Pro" w:hAnsi="Source Sans Pro" w:cs="Calibri"/>
                <w:sz w:val="20"/>
                <w:szCs w:val="20"/>
              </w:rPr>
              <w:t xml:space="preserve">of </w:t>
            </w:r>
            <w:r w:rsidR="00A721C8">
              <w:rPr>
                <w:rFonts w:ascii="Source Sans Pro" w:eastAsia="Calibri" w:hAnsi="Source Sans Pro" w:cs="Calibri"/>
                <w:kern w:val="0"/>
                <w:sz w:val="20"/>
                <w:szCs w:val="20"/>
                <w:lang w:bidi="en-US"/>
                <w14:ligatures w14:val="none"/>
              </w:rPr>
              <w:t xml:space="preserve"> postpartum</w:t>
            </w:r>
            <w:proofErr w:type="gramEnd"/>
            <w:r w:rsidR="00A721C8">
              <w:rPr>
                <w:rFonts w:ascii="Source Sans Pro" w:eastAsia="Calibri" w:hAnsi="Source Sans Pro" w:cs="Calibri"/>
                <w:kern w:val="0"/>
                <w:sz w:val="20"/>
                <w:szCs w:val="20"/>
                <w:lang w:bidi="en-US"/>
                <w14:ligatures w14:val="none"/>
              </w:rPr>
              <w:t xml:space="preserve"> haemorrhage</w:t>
            </w:r>
            <w:r w:rsidR="00A721C8" w:rsidRPr="00C474D1">
              <w:rPr>
                <w:rFonts w:ascii="Source Sans Pro" w:eastAsia="Calibri" w:hAnsi="Source Sans Pro" w:cs="Calibri"/>
                <w:kern w:val="0"/>
                <w:sz w:val="20"/>
                <w:szCs w:val="20"/>
                <w:lang w:bidi="en-US"/>
                <w14:ligatures w14:val="none"/>
              </w:rPr>
              <w:t xml:space="preserve"> </w:t>
            </w:r>
            <w:r w:rsidRPr="00C474D1">
              <w:rPr>
                <w:rFonts w:ascii="Source Sans Pro" w:hAnsi="Source Sans Pro" w:cs="Calibri"/>
                <w:sz w:val="20"/>
                <w:szCs w:val="20"/>
              </w:rPr>
              <w:t>in settings where skilled health personnel are not present to administer injectable uterotonics.</w:t>
            </w:r>
          </w:p>
        </w:tc>
        <w:tc>
          <w:tcPr>
            <w:tcW w:w="4680" w:type="dxa"/>
          </w:tcPr>
          <w:p w14:paraId="15723D1F"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Norms and policy</w:t>
            </w:r>
          </w:p>
          <w:p w14:paraId="5A9F8422" w14:textId="6ABB212A" w:rsidR="00143BE7" w:rsidRPr="00C474D1" w:rsidRDefault="00143BE7" w:rsidP="00143BE7">
            <w:pPr>
              <w:pStyle w:val="ListParagraph"/>
              <w:numPr>
                <w:ilvl w:val="0"/>
                <w:numId w:val="17"/>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In some settings, national policies may limit access to misoprostol and community health workers may not be authorized to administer it. </w:t>
            </w:r>
          </w:p>
          <w:p w14:paraId="257FBF05" w14:textId="77777777" w:rsidR="00143BE7" w:rsidRPr="00C474D1" w:rsidRDefault="00143BE7" w:rsidP="00143BE7">
            <w:pPr>
              <w:pStyle w:val="ListParagraph"/>
              <w:numPr>
                <w:ilvl w:val="0"/>
                <w:numId w:val="17"/>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In contexts where induced abortion is legally restricted and/or heavily stigmatized, midwives may have concerns about using misoprostol for PPH prevention in the event of a stillbirth, due to fears of legal prosecution. This can introduce delays in providing lifesaving care.</w:t>
            </w:r>
          </w:p>
          <w:p w14:paraId="4516650A" w14:textId="77777777" w:rsidR="00143BE7" w:rsidRPr="00C474D1" w:rsidRDefault="00143BE7" w:rsidP="00143BE7">
            <w:pPr>
              <w:rPr>
                <w:rFonts w:ascii="Source Sans Pro" w:hAnsi="Source Sans Pro" w:cs="Calibri"/>
                <w:sz w:val="20"/>
                <w:szCs w:val="20"/>
              </w:rPr>
            </w:pPr>
          </w:p>
          <w:p w14:paraId="796E0C42"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Human resources</w:t>
            </w:r>
          </w:p>
          <w:p w14:paraId="59B9F306" w14:textId="5E98F897" w:rsidR="00143BE7" w:rsidRPr="00C474D1" w:rsidRDefault="00143BE7" w:rsidP="00143BE7">
            <w:pPr>
              <w:pStyle w:val="ListParagraph"/>
              <w:numPr>
                <w:ilvl w:val="0"/>
                <w:numId w:val="31"/>
              </w:numPr>
              <w:rPr>
                <w:rFonts w:ascii="Source Sans Pro" w:hAnsi="Source Sans Pro" w:cs="Calibri"/>
                <w:sz w:val="20"/>
                <w:szCs w:val="20"/>
              </w:rPr>
            </w:pPr>
            <w:r w:rsidRPr="00C474D1">
              <w:rPr>
                <w:rFonts w:ascii="Source Sans Pro" w:hAnsi="Source Sans Pro" w:cs="Calibri"/>
                <w:sz w:val="20"/>
                <w:szCs w:val="20"/>
              </w:rPr>
              <w:t>The community health workforce may not be active or supported within the context of the emergency or may need to be reconstituted.</w:t>
            </w:r>
          </w:p>
        </w:tc>
        <w:tc>
          <w:tcPr>
            <w:tcW w:w="6030" w:type="dxa"/>
          </w:tcPr>
          <w:p w14:paraId="7020B311"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Where national policy limits access to misoprostol, planning and preparedness efforts may consider the need for policy change, generally or within the context of a declared emergency. </w:t>
            </w:r>
          </w:p>
          <w:p w14:paraId="318297A6" w14:textId="77777777" w:rsidR="00143BE7" w:rsidRPr="00C474D1" w:rsidRDefault="00143BE7" w:rsidP="00143BE7">
            <w:pPr>
              <w:rPr>
                <w:rFonts w:ascii="Source Sans Pro" w:hAnsi="Source Sans Pro" w:cs="Calibri"/>
                <w:color w:val="000000" w:themeColor="text1"/>
                <w:sz w:val="20"/>
                <w:szCs w:val="20"/>
              </w:rPr>
            </w:pPr>
          </w:p>
          <w:p w14:paraId="7A009A89" w14:textId="129016C7"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While misoprostol is heat-stable, it can degrade when exposed to humidity. Best practice is for manufacturers to pack misoprostol in an aluminium blister pack to reduce the risk of exposure to moisture in humid environments </w:t>
            </w:r>
            <w:r w:rsidRPr="00374CE9">
              <w:rPr>
                <w:rFonts w:ascii="Source Sans Pro" w:hAnsi="Source Sans Pro" w:cs="Calibri"/>
                <w:i/>
                <w:iCs/>
                <w:noProof/>
                <w:sz w:val="20"/>
                <w:szCs w:val="20"/>
              </w:rPr>
              <w:t>(17)</w:t>
            </w:r>
            <w:r w:rsidRPr="00C474D1">
              <w:rPr>
                <w:rFonts w:ascii="Source Sans Pro" w:hAnsi="Source Sans Pro" w:cs="Calibri"/>
                <w:sz w:val="20"/>
                <w:szCs w:val="20"/>
              </w:rPr>
              <w:t>. Training for community health workers should stress the importance of safe storage and correct usage to treat postpartum haemorrhage.</w:t>
            </w:r>
          </w:p>
          <w:p w14:paraId="043574CE" w14:textId="77777777" w:rsidR="00143BE7" w:rsidRPr="00C474D1" w:rsidRDefault="00143BE7" w:rsidP="00143BE7">
            <w:pPr>
              <w:rPr>
                <w:rFonts w:ascii="Source Sans Pro" w:hAnsi="Source Sans Pro" w:cs="Calibri"/>
                <w:color w:val="000000" w:themeColor="text1"/>
                <w:sz w:val="20"/>
                <w:szCs w:val="20"/>
              </w:rPr>
            </w:pPr>
          </w:p>
          <w:p w14:paraId="11CEC00E" w14:textId="539AAC5B"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Misoprostol is available as a </w:t>
            </w:r>
            <w:r w:rsidRPr="00C474D1">
              <w:rPr>
                <w:rFonts w:ascii="Source Sans Pro" w:hAnsi="Source Sans Pro" w:cs="Calibri"/>
                <w:b/>
                <w:bCs/>
                <w:sz w:val="20"/>
                <w:szCs w:val="20"/>
              </w:rPr>
              <w:t>complementary</w:t>
            </w:r>
            <w:r w:rsidRPr="00C474D1">
              <w:rPr>
                <w:rFonts w:ascii="Source Sans Pro" w:hAnsi="Source Sans Pro" w:cs="Calibri"/>
                <w:sz w:val="20"/>
                <w:szCs w:val="20"/>
              </w:rPr>
              <w:t xml:space="preserve"> commodity for </w:t>
            </w:r>
            <w:r w:rsidRPr="00C474D1">
              <w:rPr>
                <w:rFonts w:ascii="Source Sans Pro" w:hAnsi="Source Sans Pro" w:cs="Calibri"/>
                <w:color w:val="000000" w:themeColor="text1"/>
                <w:sz w:val="20"/>
                <w:szCs w:val="20"/>
              </w:rPr>
              <w:t xml:space="preserve">Inter-Agency Reproductive Health kits 2A (clean delivery kits for individual pregnant women) and 6B (clinical delivery assistance for midwives) </w:t>
            </w:r>
            <w:r w:rsidRPr="00374CE9">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p w14:paraId="43AA9BEC" w14:textId="77777777" w:rsidR="00143BE7" w:rsidRPr="00C474D1" w:rsidRDefault="00143BE7" w:rsidP="00143BE7">
            <w:pPr>
              <w:rPr>
                <w:rFonts w:ascii="Source Sans Pro" w:hAnsi="Source Sans Pro" w:cs="Calibri"/>
                <w:color w:val="000000" w:themeColor="text1"/>
                <w:sz w:val="20"/>
                <w:szCs w:val="20"/>
              </w:rPr>
            </w:pPr>
          </w:p>
          <w:p w14:paraId="78B2A453" w14:textId="4EBDAE05"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Misoprostol may be the preferred uterotonic for most humanitarian settings, given its heat-stability, ease of administration (including in community settings) and cost.</w:t>
            </w:r>
          </w:p>
          <w:p w14:paraId="3B57DF5D" w14:textId="77777777" w:rsidR="00143BE7" w:rsidRPr="00C474D1" w:rsidRDefault="00143BE7" w:rsidP="00143BE7">
            <w:pPr>
              <w:rPr>
                <w:rFonts w:ascii="Source Sans Pro" w:hAnsi="Source Sans Pro" w:cs="Calibri"/>
                <w:color w:val="000000" w:themeColor="text1"/>
                <w:sz w:val="20"/>
                <w:szCs w:val="20"/>
              </w:rPr>
            </w:pPr>
          </w:p>
          <w:p w14:paraId="05151869" w14:textId="4DB1ECC6"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Community health workers should be included as a key human resource during planning and preparedness efforts, where relevant and appropriate. Community health workers may need training or orientation for administration of misoprostol or distribution prior to an emergency if this is not a core part of their non-emergency work.</w:t>
            </w:r>
          </w:p>
        </w:tc>
      </w:tr>
      <w:tr w:rsidR="00143BE7" w:rsidRPr="00C474D1" w14:paraId="1CA332D4" w14:textId="77777777" w:rsidTr="00A721C8">
        <w:trPr>
          <w:cantSplit/>
        </w:trPr>
        <w:tc>
          <w:tcPr>
            <w:tcW w:w="3865" w:type="dxa"/>
          </w:tcPr>
          <w:p w14:paraId="2554AF46" w14:textId="247288BD"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13. In settings where women give birth outside of a health facility and in the absence of skilled health personnel, a </w:t>
            </w:r>
            <w:r w:rsidRPr="00C474D1">
              <w:rPr>
                <w:rFonts w:ascii="Source Sans Pro" w:hAnsi="Source Sans Pro" w:cs="Calibri"/>
                <w:sz w:val="20"/>
                <w:szCs w:val="20"/>
              </w:rPr>
              <w:lastRenderedPageBreak/>
              <w:t xml:space="preserve">strategy of antenatal distribution of misoprostol to pregnant women for self-administration is recommended for prevention of </w:t>
            </w:r>
            <w:r w:rsidR="00A721C8">
              <w:rPr>
                <w:rFonts w:ascii="Source Sans Pro" w:eastAsia="Calibri" w:hAnsi="Source Sans Pro" w:cs="Calibri"/>
                <w:kern w:val="0"/>
                <w:sz w:val="20"/>
                <w:szCs w:val="20"/>
                <w:lang w:bidi="en-US"/>
                <w14:ligatures w14:val="none"/>
              </w:rPr>
              <w:t>postpartum haemorrhage</w:t>
            </w:r>
            <w:r w:rsidRPr="00C474D1">
              <w:rPr>
                <w:rFonts w:ascii="Source Sans Pro" w:hAnsi="Source Sans Pro" w:cs="Calibri"/>
                <w:sz w:val="20"/>
                <w:szCs w:val="20"/>
              </w:rPr>
              <w:t>, only with targeted monitoring and evaluation.</w:t>
            </w:r>
          </w:p>
        </w:tc>
        <w:tc>
          <w:tcPr>
            <w:tcW w:w="4680" w:type="dxa"/>
          </w:tcPr>
          <w:p w14:paraId="1FA56D56"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Norms and policy</w:t>
            </w:r>
          </w:p>
          <w:p w14:paraId="28603916" w14:textId="067D762A" w:rsidR="00143BE7" w:rsidRPr="00C474D1" w:rsidRDefault="00143BE7" w:rsidP="00143BE7">
            <w:pPr>
              <w:pStyle w:val="ListParagraph"/>
              <w:numPr>
                <w:ilvl w:val="0"/>
                <w:numId w:val="17"/>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In some settings, national policies may limit access to misoprostol, preventing advance </w:t>
            </w:r>
            <w:r w:rsidRPr="00C474D1">
              <w:rPr>
                <w:rFonts w:ascii="Source Sans Pro" w:hAnsi="Source Sans Pro" w:cs="Calibri"/>
                <w:color w:val="000000" w:themeColor="text1"/>
                <w:sz w:val="20"/>
                <w:szCs w:val="20"/>
              </w:rPr>
              <w:lastRenderedPageBreak/>
              <w:t xml:space="preserve">distribution to women for self-administration in the third stage of labour. </w:t>
            </w:r>
          </w:p>
          <w:p w14:paraId="2068C322" w14:textId="1494AD26" w:rsidR="00143BE7" w:rsidRPr="00C474D1" w:rsidRDefault="00143BE7" w:rsidP="00143BE7">
            <w:pPr>
              <w:pStyle w:val="ListParagraph"/>
              <w:numPr>
                <w:ilvl w:val="0"/>
                <w:numId w:val="17"/>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In contexts where induced abortion is legally restricted and/or heavily stigmatized, women may have concerns about using misoprostol for PPH prevention in the event of a stillbirth, due to fears of legal prosecution. This can introduce potentially life-threatening delays in seeking care for ongoing bleeding.</w:t>
            </w:r>
          </w:p>
          <w:p w14:paraId="3CD4C4BB" w14:textId="3D6D2807" w:rsidR="00143BE7" w:rsidRPr="00C474D1" w:rsidRDefault="00143BE7" w:rsidP="00143BE7">
            <w:pPr>
              <w:rPr>
                <w:rFonts w:ascii="Source Sans Pro" w:hAnsi="Source Sans Pro" w:cs="Calibri"/>
                <w:sz w:val="20"/>
                <w:szCs w:val="20"/>
              </w:rPr>
            </w:pPr>
          </w:p>
        </w:tc>
        <w:tc>
          <w:tcPr>
            <w:tcW w:w="6030" w:type="dxa"/>
          </w:tcPr>
          <w:p w14:paraId="73CC72E3"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 xml:space="preserve">Where national policy limits access to misoprostol, planning and preparedness efforts may consider the need for policy change, generally or within the context of a declared emergency. </w:t>
            </w:r>
          </w:p>
          <w:p w14:paraId="05607052" w14:textId="77777777" w:rsidR="00143BE7" w:rsidRPr="00C474D1" w:rsidRDefault="00143BE7" w:rsidP="00143BE7">
            <w:pPr>
              <w:rPr>
                <w:rFonts w:ascii="Source Sans Pro" w:hAnsi="Source Sans Pro" w:cs="Calibri"/>
                <w:color w:val="000000" w:themeColor="text1"/>
                <w:sz w:val="20"/>
                <w:szCs w:val="20"/>
              </w:rPr>
            </w:pPr>
          </w:p>
          <w:p w14:paraId="5FC1A505" w14:textId="6F9A1C08"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While misoprostol is heat-stable, it can degrade when exposed to humidity. Best practice is for manufacturers to pack misoprostol in an aluminium blister pack to reduce the risk of exposure to moisture in humid environments </w:t>
            </w:r>
            <w:r w:rsidRPr="00A721C8">
              <w:rPr>
                <w:rFonts w:ascii="Source Sans Pro" w:hAnsi="Source Sans Pro" w:cs="Calibri"/>
                <w:i/>
                <w:iCs/>
                <w:noProof/>
                <w:sz w:val="20"/>
                <w:szCs w:val="20"/>
              </w:rPr>
              <w:t>(17)</w:t>
            </w:r>
            <w:r w:rsidRPr="00C474D1">
              <w:rPr>
                <w:rFonts w:ascii="Source Sans Pro" w:hAnsi="Source Sans Pro" w:cs="Calibri"/>
                <w:sz w:val="20"/>
                <w:szCs w:val="20"/>
              </w:rPr>
              <w:t>. Training for community health workers should stress the importance of safe storage and correct usage to treat postpartum haemorrhage.</w:t>
            </w:r>
          </w:p>
          <w:p w14:paraId="22E4A99A" w14:textId="77777777" w:rsidR="00143BE7" w:rsidRPr="00C474D1" w:rsidRDefault="00143BE7" w:rsidP="00143BE7">
            <w:pPr>
              <w:rPr>
                <w:rFonts w:ascii="Source Sans Pro" w:hAnsi="Source Sans Pro" w:cs="Calibri"/>
                <w:color w:val="000000" w:themeColor="text1"/>
                <w:sz w:val="20"/>
                <w:szCs w:val="20"/>
              </w:rPr>
            </w:pPr>
          </w:p>
          <w:p w14:paraId="394B4B4B" w14:textId="6FD2FDC4"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Misoprostol is available as a </w:t>
            </w:r>
            <w:r w:rsidRPr="00C474D1">
              <w:rPr>
                <w:rFonts w:ascii="Source Sans Pro" w:hAnsi="Source Sans Pro" w:cs="Calibri"/>
                <w:b/>
                <w:bCs/>
                <w:sz w:val="20"/>
                <w:szCs w:val="20"/>
              </w:rPr>
              <w:t>complementary</w:t>
            </w:r>
            <w:r w:rsidRPr="00C474D1">
              <w:rPr>
                <w:rFonts w:ascii="Source Sans Pro" w:hAnsi="Source Sans Pro" w:cs="Calibri"/>
                <w:sz w:val="20"/>
                <w:szCs w:val="20"/>
              </w:rPr>
              <w:t xml:space="preserve"> commodity for </w:t>
            </w:r>
            <w:r w:rsidRPr="00C474D1">
              <w:rPr>
                <w:rFonts w:ascii="Source Sans Pro" w:hAnsi="Source Sans Pro" w:cs="Calibri"/>
                <w:color w:val="000000" w:themeColor="text1"/>
                <w:sz w:val="20"/>
                <w:szCs w:val="20"/>
              </w:rPr>
              <w:t xml:space="preserve">Inter-Agency Reproductive Health kits 2A (clean delivery kits for individual pregnant women) and 6B (clinical delivery assistance for midwives) </w:t>
            </w:r>
            <w:r w:rsidRPr="00A721C8">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p w14:paraId="189447A0" w14:textId="77777777" w:rsidR="00143BE7" w:rsidRPr="00C474D1" w:rsidRDefault="00143BE7" w:rsidP="00143BE7">
            <w:pPr>
              <w:rPr>
                <w:rFonts w:ascii="Source Sans Pro" w:hAnsi="Source Sans Pro" w:cs="Calibri"/>
                <w:color w:val="000000" w:themeColor="text1"/>
                <w:sz w:val="20"/>
                <w:szCs w:val="20"/>
              </w:rPr>
            </w:pPr>
          </w:p>
          <w:p w14:paraId="498C0B88" w14:textId="0309F937" w:rsidR="00143BE7" w:rsidRPr="00C474D1" w:rsidRDefault="00143BE7" w:rsidP="00143BE7">
            <w:pPr>
              <w:rPr>
                <w:rFonts w:ascii="Source Sans Pro" w:hAnsi="Source Sans Pro" w:cs="Calibri"/>
                <w:color w:val="A02B93" w:themeColor="accent5"/>
                <w:sz w:val="20"/>
                <w:szCs w:val="20"/>
              </w:rPr>
            </w:pPr>
            <w:r w:rsidRPr="00C474D1">
              <w:rPr>
                <w:rFonts w:ascii="Source Sans Pro" w:hAnsi="Source Sans Pro" w:cs="Calibri"/>
                <w:color w:val="000000" w:themeColor="text1"/>
                <w:sz w:val="20"/>
                <w:szCs w:val="20"/>
              </w:rPr>
              <w:t>Misoprostol may be the preferred uterotonic for most humanitarian settings, given its heat-stability, ease of administration (including in community settings) and cost.</w:t>
            </w:r>
          </w:p>
        </w:tc>
      </w:tr>
      <w:tr w:rsidR="00143BE7" w:rsidRPr="00C474D1" w14:paraId="4B76F47A" w14:textId="77777777" w:rsidTr="00A721C8">
        <w:trPr>
          <w:cantSplit/>
        </w:trPr>
        <w:tc>
          <w:tcPr>
            <w:tcW w:w="3865" w:type="dxa"/>
          </w:tcPr>
          <w:p w14:paraId="7FCD6CFA" w14:textId="2916B2A5"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14. Tranexamic acid is not recommended for the prevention of</w:t>
            </w:r>
            <w:r w:rsidR="00A721C8">
              <w:rPr>
                <w:rFonts w:ascii="Source Sans Pro" w:eastAsia="Calibri" w:hAnsi="Source Sans Pro" w:cs="Calibri"/>
                <w:kern w:val="0"/>
                <w:sz w:val="20"/>
                <w:szCs w:val="20"/>
                <w:lang w:bidi="en-US"/>
                <w14:ligatures w14:val="none"/>
              </w:rPr>
              <w:t xml:space="preserve"> postpartum haemorrhage </w:t>
            </w:r>
            <w:r w:rsidRPr="00C474D1">
              <w:rPr>
                <w:rFonts w:ascii="Source Sans Pro" w:hAnsi="Source Sans Pro" w:cs="Calibri"/>
                <w:color w:val="000000" w:themeColor="text1"/>
                <w:sz w:val="20"/>
                <w:szCs w:val="20"/>
              </w:rPr>
              <w:t xml:space="preserve">at vaginal birth. </w:t>
            </w:r>
          </w:p>
        </w:tc>
        <w:tc>
          <w:tcPr>
            <w:tcW w:w="4680" w:type="dxa"/>
          </w:tcPr>
          <w:p w14:paraId="06DAB31A" w14:textId="4D402784" w:rsidR="00143BE7" w:rsidRPr="00C474D1" w:rsidRDefault="00143BE7" w:rsidP="00143BE7">
            <w:pPr>
              <w:rPr>
                <w:rFonts w:ascii="Source Sans Pro" w:hAnsi="Source Sans Pro" w:cs="Calibri"/>
                <w:i/>
                <w:iCs/>
                <w:color w:val="000000" w:themeColor="text1"/>
                <w:sz w:val="20"/>
                <w:szCs w:val="20"/>
              </w:rPr>
            </w:pPr>
            <w:r w:rsidRPr="00C474D1">
              <w:rPr>
                <w:rFonts w:ascii="Source Sans Pro" w:hAnsi="Source Sans Pro" w:cs="Calibri"/>
                <w:i/>
                <w:iCs/>
                <w:color w:val="000000" w:themeColor="text1"/>
                <w:sz w:val="20"/>
                <w:szCs w:val="20"/>
              </w:rPr>
              <w:t>Not applicable.</w:t>
            </w:r>
          </w:p>
        </w:tc>
        <w:tc>
          <w:tcPr>
            <w:tcW w:w="6030" w:type="dxa"/>
          </w:tcPr>
          <w:p w14:paraId="0F159EBA" w14:textId="038F2A14" w:rsidR="00143BE7" w:rsidRPr="00C474D1" w:rsidRDefault="00143BE7" w:rsidP="00143BE7">
            <w:pPr>
              <w:rPr>
                <w:rFonts w:ascii="Source Sans Pro" w:hAnsi="Source Sans Pro" w:cs="Calibri"/>
                <w:color w:val="A02B93" w:themeColor="accent5"/>
                <w:sz w:val="20"/>
                <w:szCs w:val="20"/>
              </w:rPr>
            </w:pPr>
            <w:r w:rsidRPr="00C474D1">
              <w:rPr>
                <w:rFonts w:ascii="Source Sans Pro" w:hAnsi="Source Sans Pro" w:cs="Calibri"/>
                <w:i/>
                <w:iCs/>
                <w:color w:val="000000" w:themeColor="text1"/>
                <w:sz w:val="20"/>
                <w:szCs w:val="20"/>
              </w:rPr>
              <w:t>Not applicable.</w:t>
            </w:r>
          </w:p>
        </w:tc>
      </w:tr>
      <w:tr w:rsidR="00143BE7" w:rsidRPr="00C474D1" w14:paraId="10F9C847" w14:textId="77777777" w:rsidTr="00A721C8">
        <w:trPr>
          <w:cantSplit/>
        </w:trPr>
        <w:tc>
          <w:tcPr>
            <w:tcW w:w="3865" w:type="dxa"/>
          </w:tcPr>
          <w:p w14:paraId="45092632" w14:textId="6A45673F"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15. Tranexamic acid is not recommended for the prevention </w:t>
            </w:r>
            <w:proofErr w:type="gramStart"/>
            <w:r w:rsidRPr="00C474D1">
              <w:rPr>
                <w:rFonts w:ascii="Source Sans Pro" w:hAnsi="Source Sans Pro" w:cs="Calibri"/>
                <w:color w:val="000000" w:themeColor="text1"/>
                <w:sz w:val="20"/>
                <w:szCs w:val="20"/>
              </w:rPr>
              <w:t xml:space="preserve">of </w:t>
            </w:r>
            <w:r w:rsidR="00A721C8">
              <w:rPr>
                <w:rFonts w:ascii="Source Sans Pro" w:eastAsia="Calibri" w:hAnsi="Source Sans Pro" w:cs="Calibri"/>
                <w:kern w:val="0"/>
                <w:sz w:val="20"/>
                <w:szCs w:val="20"/>
                <w:lang w:bidi="en-US"/>
                <w14:ligatures w14:val="none"/>
              </w:rPr>
              <w:t xml:space="preserve"> postpartum</w:t>
            </w:r>
            <w:proofErr w:type="gramEnd"/>
            <w:r w:rsidR="00A721C8">
              <w:rPr>
                <w:rFonts w:ascii="Source Sans Pro" w:eastAsia="Calibri" w:hAnsi="Source Sans Pro" w:cs="Calibri"/>
                <w:kern w:val="0"/>
                <w:sz w:val="20"/>
                <w:szCs w:val="20"/>
                <w:lang w:bidi="en-US"/>
                <w14:ligatures w14:val="none"/>
              </w:rPr>
              <w:t xml:space="preserve"> haemorrhage</w:t>
            </w:r>
            <w:r w:rsidR="00A721C8" w:rsidRPr="00C474D1">
              <w:rPr>
                <w:rFonts w:ascii="Source Sans Pro" w:hAnsi="Source Sans Pro" w:cs="Calibri"/>
                <w:color w:val="000000" w:themeColor="text1"/>
                <w:sz w:val="20"/>
                <w:szCs w:val="20"/>
              </w:rPr>
              <w:t xml:space="preserve"> </w:t>
            </w:r>
            <w:r w:rsidRPr="00C474D1">
              <w:rPr>
                <w:rFonts w:ascii="Source Sans Pro" w:hAnsi="Source Sans Pro" w:cs="Calibri"/>
                <w:color w:val="000000" w:themeColor="text1"/>
                <w:sz w:val="20"/>
                <w:szCs w:val="20"/>
              </w:rPr>
              <w:t>at caesarean birth.</w:t>
            </w:r>
          </w:p>
        </w:tc>
        <w:tc>
          <w:tcPr>
            <w:tcW w:w="4680" w:type="dxa"/>
          </w:tcPr>
          <w:p w14:paraId="0B0B15D2" w14:textId="5ECD1C60" w:rsidR="00143BE7" w:rsidRPr="00C474D1" w:rsidRDefault="00143BE7" w:rsidP="00143BE7">
            <w:pPr>
              <w:rPr>
                <w:rFonts w:ascii="Source Sans Pro" w:hAnsi="Source Sans Pro" w:cs="Calibri"/>
                <w:color w:val="E97132" w:themeColor="accent2"/>
                <w:sz w:val="20"/>
                <w:szCs w:val="20"/>
              </w:rPr>
            </w:pPr>
            <w:r w:rsidRPr="00C474D1">
              <w:rPr>
                <w:rFonts w:ascii="Source Sans Pro" w:hAnsi="Source Sans Pro" w:cs="Calibri"/>
                <w:i/>
                <w:iCs/>
                <w:color w:val="000000" w:themeColor="text1"/>
                <w:sz w:val="20"/>
                <w:szCs w:val="20"/>
              </w:rPr>
              <w:t>Not applicable.</w:t>
            </w:r>
          </w:p>
        </w:tc>
        <w:tc>
          <w:tcPr>
            <w:tcW w:w="6030" w:type="dxa"/>
          </w:tcPr>
          <w:p w14:paraId="4350E1F8" w14:textId="7DC67513" w:rsidR="00143BE7" w:rsidRPr="00C474D1" w:rsidRDefault="00143BE7" w:rsidP="00143BE7">
            <w:pPr>
              <w:rPr>
                <w:rFonts w:ascii="Source Sans Pro" w:hAnsi="Source Sans Pro" w:cs="Calibri"/>
                <w:color w:val="A02B93" w:themeColor="accent5"/>
                <w:sz w:val="20"/>
                <w:szCs w:val="20"/>
              </w:rPr>
            </w:pPr>
            <w:r w:rsidRPr="00C474D1">
              <w:rPr>
                <w:rFonts w:ascii="Source Sans Pro" w:hAnsi="Source Sans Pro" w:cs="Calibri"/>
                <w:i/>
                <w:iCs/>
                <w:color w:val="000000" w:themeColor="text1"/>
                <w:sz w:val="20"/>
                <w:szCs w:val="20"/>
              </w:rPr>
              <w:t>Not applicable.</w:t>
            </w:r>
          </w:p>
        </w:tc>
      </w:tr>
      <w:tr w:rsidR="00143BE7" w:rsidRPr="00C474D1" w14:paraId="6D32EB99" w14:textId="77777777" w:rsidTr="00A721C8">
        <w:trPr>
          <w:cantSplit/>
        </w:trPr>
        <w:tc>
          <w:tcPr>
            <w:tcW w:w="3865" w:type="dxa"/>
          </w:tcPr>
          <w:p w14:paraId="3BE1C15D" w14:textId="0D8786C6"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16. In settings where skilled birth attendants are available, controlled cord traction is recommended for vaginal births if the care provider and the woman </w:t>
            </w:r>
            <w:r w:rsidR="00A721C8">
              <w:rPr>
                <w:rFonts w:ascii="Source Sans Pro" w:hAnsi="Source Sans Pro" w:cs="Calibri"/>
                <w:color w:val="000000" w:themeColor="text1"/>
                <w:sz w:val="20"/>
                <w:szCs w:val="20"/>
              </w:rPr>
              <w:t>consider</w:t>
            </w:r>
            <w:r w:rsidRPr="00C474D1">
              <w:rPr>
                <w:rFonts w:ascii="Source Sans Pro" w:hAnsi="Source Sans Pro" w:cs="Calibri"/>
                <w:color w:val="000000" w:themeColor="text1"/>
                <w:sz w:val="20"/>
                <w:szCs w:val="20"/>
              </w:rPr>
              <w:t xml:space="preserve"> a small reduction in blood loss and a small reduction in the duration of the third stage of labour as important.</w:t>
            </w:r>
          </w:p>
        </w:tc>
        <w:tc>
          <w:tcPr>
            <w:tcW w:w="4680" w:type="dxa"/>
          </w:tcPr>
          <w:p w14:paraId="61492E4D"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Waste management</w:t>
            </w:r>
          </w:p>
          <w:p w14:paraId="5EC3D829" w14:textId="51ECF93D" w:rsidR="00143BE7" w:rsidRPr="00C474D1" w:rsidRDefault="00143BE7" w:rsidP="00143BE7">
            <w:pPr>
              <w:pStyle w:val="ListParagraph"/>
              <w:numPr>
                <w:ilvl w:val="0"/>
                <w:numId w:val="19"/>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Managing biohazardous waste can be complex in humanitarian settings. </w:t>
            </w:r>
          </w:p>
        </w:tc>
        <w:tc>
          <w:tcPr>
            <w:tcW w:w="6030" w:type="dxa"/>
          </w:tcPr>
          <w:p w14:paraId="1A4892C2" w14:textId="34CB1E1A"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Waste disposal considerations can be overcome by burying the placenta.</w:t>
            </w:r>
          </w:p>
        </w:tc>
      </w:tr>
      <w:tr w:rsidR="00143BE7" w:rsidRPr="00C474D1" w14:paraId="0D181A1B" w14:textId="77777777" w:rsidTr="00A721C8">
        <w:trPr>
          <w:cantSplit/>
        </w:trPr>
        <w:tc>
          <w:tcPr>
            <w:tcW w:w="3865" w:type="dxa"/>
          </w:tcPr>
          <w:p w14:paraId="55854597" w14:textId="37B3FE96"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17. In settings where skilled birth attendants are unavailable, controlled cord traction is not recommended.</w:t>
            </w:r>
          </w:p>
        </w:tc>
        <w:tc>
          <w:tcPr>
            <w:tcW w:w="4680" w:type="dxa"/>
          </w:tcPr>
          <w:p w14:paraId="74CB992E" w14:textId="238C7ECC" w:rsidR="00143BE7" w:rsidRPr="00C474D1" w:rsidRDefault="00143BE7" w:rsidP="00143BE7">
            <w:pPr>
              <w:rPr>
                <w:rFonts w:ascii="Source Sans Pro" w:hAnsi="Source Sans Pro" w:cs="Calibri"/>
                <w:i/>
                <w:iCs/>
                <w:sz w:val="20"/>
                <w:szCs w:val="20"/>
              </w:rPr>
            </w:pPr>
            <w:r w:rsidRPr="00C474D1">
              <w:rPr>
                <w:rFonts w:ascii="Source Sans Pro" w:hAnsi="Source Sans Pro" w:cs="Calibri"/>
                <w:i/>
                <w:iCs/>
                <w:color w:val="000000" w:themeColor="text1"/>
                <w:sz w:val="20"/>
                <w:szCs w:val="20"/>
              </w:rPr>
              <w:t>Not applicable.</w:t>
            </w:r>
          </w:p>
        </w:tc>
        <w:tc>
          <w:tcPr>
            <w:tcW w:w="6030" w:type="dxa"/>
          </w:tcPr>
          <w:p w14:paraId="41C0660F" w14:textId="0A8B09E0"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Not applicable.</w:t>
            </w:r>
          </w:p>
        </w:tc>
      </w:tr>
      <w:tr w:rsidR="00143BE7" w:rsidRPr="00C474D1" w14:paraId="7889F709" w14:textId="77777777" w:rsidTr="00A721C8">
        <w:trPr>
          <w:cantSplit/>
        </w:trPr>
        <w:tc>
          <w:tcPr>
            <w:tcW w:w="3865" w:type="dxa"/>
          </w:tcPr>
          <w:p w14:paraId="70AE2A50" w14:textId="3CBB561A"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18. Cord traction is the recommended method for the removal of the placenta in caesarean section</w:t>
            </w:r>
          </w:p>
        </w:tc>
        <w:tc>
          <w:tcPr>
            <w:tcW w:w="4680" w:type="dxa"/>
          </w:tcPr>
          <w:p w14:paraId="649A3B37" w14:textId="40865FB4" w:rsidR="00143BE7" w:rsidRPr="00C474D1" w:rsidRDefault="00143BE7" w:rsidP="00143BE7">
            <w:pPr>
              <w:rPr>
                <w:rFonts w:ascii="Source Sans Pro" w:hAnsi="Source Sans Pro" w:cs="Calibri"/>
                <w:i/>
                <w:iCs/>
                <w:color w:val="000000" w:themeColor="text1"/>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0BDEAC70" w14:textId="06B133F8" w:rsidR="00143BE7" w:rsidRPr="00C474D1" w:rsidRDefault="00143BE7" w:rsidP="00143BE7">
            <w:pPr>
              <w:rPr>
                <w:rFonts w:ascii="Source Sans Pro" w:hAnsi="Source Sans Pro" w:cs="Calibri"/>
                <w:i/>
                <w:iCs/>
                <w:sz w:val="20"/>
                <w:szCs w:val="20"/>
              </w:rPr>
            </w:pPr>
            <w:r w:rsidRPr="00C474D1">
              <w:rPr>
                <w:rFonts w:ascii="Source Sans Pro" w:hAnsi="Source Sans Pro" w:cs="Calibri"/>
                <w:i/>
                <w:iCs/>
                <w:color w:val="000000" w:themeColor="text1"/>
                <w:sz w:val="20"/>
                <w:szCs w:val="20"/>
              </w:rPr>
              <w:t>None.</w:t>
            </w:r>
          </w:p>
        </w:tc>
      </w:tr>
      <w:tr w:rsidR="00143BE7" w:rsidRPr="00C474D1" w14:paraId="4CE9D3DC" w14:textId="77777777" w:rsidTr="00A721C8">
        <w:trPr>
          <w:cantSplit/>
        </w:trPr>
        <w:tc>
          <w:tcPr>
            <w:tcW w:w="3865" w:type="dxa"/>
          </w:tcPr>
          <w:p w14:paraId="3BBC1364" w14:textId="5614627D"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19. Early cord clamping (&lt;1 minute after birth) is not recommended unless the neonate is asphyxiated and needs to be moved immediately for resuscitation.</w:t>
            </w:r>
          </w:p>
        </w:tc>
        <w:tc>
          <w:tcPr>
            <w:tcW w:w="4680" w:type="dxa"/>
          </w:tcPr>
          <w:p w14:paraId="3940AA83" w14:textId="1FDC2E9C" w:rsidR="00143BE7" w:rsidRPr="00C474D1" w:rsidRDefault="00143BE7" w:rsidP="00143BE7">
            <w:pPr>
              <w:rPr>
                <w:rFonts w:ascii="Source Sans Pro" w:hAnsi="Source Sans Pro" w:cs="Calibri"/>
                <w:i/>
                <w:iCs/>
                <w:color w:val="E97132" w:themeColor="accent2"/>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00DA2C80" w14:textId="45467E09" w:rsidR="00143BE7" w:rsidRPr="00C474D1" w:rsidRDefault="00143BE7" w:rsidP="00143BE7">
            <w:pPr>
              <w:rPr>
                <w:rFonts w:ascii="Source Sans Pro" w:hAnsi="Source Sans Pro" w:cs="Calibri"/>
                <w:i/>
                <w:iCs/>
                <w:color w:val="A02B93" w:themeColor="accent5"/>
                <w:sz w:val="20"/>
                <w:szCs w:val="20"/>
              </w:rPr>
            </w:pPr>
            <w:r w:rsidRPr="00C474D1">
              <w:rPr>
                <w:rFonts w:ascii="Source Sans Pro" w:hAnsi="Source Sans Pro" w:cs="Calibri"/>
                <w:i/>
                <w:iCs/>
                <w:color w:val="000000" w:themeColor="text1"/>
                <w:sz w:val="20"/>
                <w:szCs w:val="20"/>
              </w:rPr>
              <w:t>None.</w:t>
            </w:r>
          </w:p>
        </w:tc>
      </w:tr>
      <w:tr w:rsidR="00143BE7" w:rsidRPr="00C474D1" w14:paraId="20EA9A58" w14:textId="77777777" w:rsidTr="00A721C8">
        <w:trPr>
          <w:cantSplit/>
        </w:trPr>
        <w:tc>
          <w:tcPr>
            <w:tcW w:w="3865" w:type="dxa"/>
          </w:tcPr>
          <w:p w14:paraId="5FD716DE" w14:textId="79AD67A9"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20. Sustained uterine massage is not recommended as an intervention to prevent </w:t>
            </w:r>
            <w:r w:rsidR="00A721C8">
              <w:rPr>
                <w:rFonts w:ascii="Source Sans Pro" w:eastAsia="Calibri" w:hAnsi="Source Sans Pro" w:cs="Calibri"/>
                <w:kern w:val="0"/>
                <w:sz w:val="20"/>
                <w:szCs w:val="20"/>
                <w:lang w:bidi="en-US"/>
                <w14:ligatures w14:val="none"/>
              </w:rPr>
              <w:t>postpartum haemorrhage</w:t>
            </w:r>
            <w:r w:rsidR="00A721C8" w:rsidRPr="00C474D1">
              <w:rPr>
                <w:rFonts w:ascii="Source Sans Pro" w:hAnsi="Source Sans Pro" w:cs="Calibri"/>
                <w:sz w:val="20"/>
                <w:szCs w:val="20"/>
              </w:rPr>
              <w:t xml:space="preserve"> </w:t>
            </w:r>
            <w:r w:rsidRPr="00C474D1">
              <w:rPr>
                <w:rFonts w:ascii="Source Sans Pro" w:hAnsi="Source Sans Pro" w:cs="Calibri"/>
                <w:sz w:val="20"/>
                <w:szCs w:val="20"/>
              </w:rPr>
              <w:t xml:space="preserve">in women who have received prophylactic oxytocin </w:t>
            </w:r>
          </w:p>
        </w:tc>
        <w:tc>
          <w:tcPr>
            <w:tcW w:w="4680" w:type="dxa"/>
          </w:tcPr>
          <w:p w14:paraId="59953390" w14:textId="11C29D9C"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Not applicable.</w:t>
            </w:r>
          </w:p>
        </w:tc>
        <w:tc>
          <w:tcPr>
            <w:tcW w:w="6030" w:type="dxa"/>
          </w:tcPr>
          <w:p w14:paraId="4BE81140" w14:textId="17FB2887"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Not applicable.</w:t>
            </w:r>
          </w:p>
        </w:tc>
      </w:tr>
      <w:tr w:rsidR="00143BE7" w:rsidRPr="00C474D1" w14:paraId="2AA58E18" w14:textId="77777777" w:rsidTr="00A721C8">
        <w:trPr>
          <w:cantSplit/>
        </w:trPr>
        <w:tc>
          <w:tcPr>
            <w:tcW w:w="14575" w:type="dxa"/>
            <w:gridSpan w:val="3"/>
            <w:shd w:val="clear" w:color="auto" w:fill="A6A6A6" w:themeFill="background1" w:themeFillShade="A6"/>
          </w:tcPr>
          <w:p w14:paraId="3CB94554" w14:textId="36C084E3" w:rsidR="00143BE7" w:rsidRPr="00C474D1" w:rsidRDefault="00143BE7" w:rsidP="00143BE7">
            <w:pPr>
              <w:rPr>
                <w:rFonts w:ascii="Source Sans Pro" w:hAnsi="Source Sans Pro" w:cs="Calibri"/>
                <w:b/>
                <w:bCs/>
                <w:sz w:val="20"/>
                <w:szCs w:val="20"/>
              </w:rPr>
            </w:pPr>
            <w:r w:rsidRPr="00C474D1">
              <w:rPr>
                <w:rFonts w:ascii="Source Sans Pro" w:hAnsi="Source Sans Pro" w:cs="Calibri"/>
                <w:b/>
                <w:bCs/>
                <w:sz w:val="20"/>
                <w:szCs w:val="20"/>
              </w:rPr>
              <w:t xml:space="preserve">D. Diagnosis of PPH </w:t>
            </w:r>
          </w:p>
        </w:tc>
      </w:tr>
      <w:tr w:rsidR="00143BE7" w:rsidRPr="00C474D1" w14:paraId="33F6BA36" w14:textId="77777777" w:rsidTr="00A721C8">
        <w:trPr>
          <w:cantSplit/>
          <w:trHeight w:val="179"/>
        </w:trPr>
        <w:tc>
          <w:tcPr>
            <w:tcW w:w="3865" w:type="dxa"/>
          </w:tcPr>
          <w:p w14:paraId="7E55F858" w14:textId="0C6EAAD2"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21. For all women giving birth, routine objective measurement of postpartum blood loss is recommended to improve the detection and prompt treatment of </w:t>
            </w:r>
            <w:r w:rsidR="00A721C8">
              <w:rPr>
                <w:rFonts w:ascii="Source Sans Pro" w:eastAsia="Calibri" w:hAnsi="Source Sans Pro" w:cs="Calibri"/>
                <w:kern w:val="0"/>
                <w:sz w:val="20"/>
                <w:szCs w:val="20"/>
                <w:lang w:bidi="en-US"/>
                <w14:ligatures w14:val="none"/>
              </w:rPr>
              <w:t>postpartum haemorrhage</w:t>
            </w:r>
            <w:r w:rsidRPr="00C474D1">
              <w:rPr>
                <w:rFonts w:ascii="Source Sans Pro" w:hAnsi="Source Sans Pro" w:cs="Calibri"/>
                <w:sz w:val="20"/>
                <w:szCs w:val="20"/>
              </w:rPr>
              <w:t>. Methods to objectively quantify blood loss, such as calibrated drapes for women having vaginal birth, can achieve this.</w:t>
            </w:r>
          </w:p>
        </w:tc>
        <w:tc>
          <w:tcPr>
            <w:tcW w:w="4680" w:type="dxa"/>
          </w:tcPr>
          <w:p w14:paraId="1709979C"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Access</w:t>
            </w:r>
          </w:p>
          <w:p w14:paraId="79179DFC" w14:textId="46A3F08F" w:rsidR="00143BE7" w:rsidRPr="00C474D1" w:rsidRDefault="00143BE7" w:rsidP="00143BE7">
            <w:pPr>
              <w:pStyle w:val="ListParagraph"/>
              <w:numPr>
                <w:ilvl w:val="0"/>
                <w:numId w:val="19"/>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There are not yet well-established methods for quantifying blood loss in community settings. </w:t>
            </w:r>
          </w:p>
          <w:p w14:paraId="47C76CEA" w14:textId="77777777" w:rsidR="00143BE7" w:rsidRPr="00C474D1" w:rsidRDefault="00143BE7" w:rsidP="00143BE7">
            <w:pPr>
              <w:rPr>
                <w:rFonts w:ascii="Source Sans Pro" w:hAnsi="Source Sans Pro" w:cs="Calibri"/>
                <w:color w:val="000000" w:themeColor="text1"/>
                <w:sz w:val="20"/>
                <w:szCs w:val="20"/>
              </w:rPr>
            </w:pPr>
          </w:p>
          <w:p w14:paraId="645BAAC1" w14:textId="51B50279"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Human resources</w:t>
            </w:r>
          </w:p>
          <w:p w14:paraId="567DC253" w14:textId="3ADC236B" w:rsidR="00143BE7" w:rsidRPr="00C474D1" w:rsidRDefault="00143BE7" w:rsidP="00143BE7">
            <w:pPr>
              <w:pStyle w:val="ListParagraph"/>
              <w:numPr>
                <w:ilvl w:val="0"/>
                <w:numId w:val="19"/>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In under-resourced settings, there may be human resource constraints to close monitoring of women during the postpartum period, especially in facilities with high volume of births.</w:t>
            </w:r>
          </w:p>
          <w:p w14:paraId="1A2A87EA" w14:textId="77777777" w:rsidR="00143BE7" w:rsidRPr="00C474D1" w:rsidRDefault="00143BE7" w:rsidP="00143BE7">
            <w:pPr>
              <w:rPr>
                <w:rFonts w:ascii="Source Sans Pro" w:hAnsi="Source Sans Pro" w:cs="Calibri"/>
                <w:color w:val="000000" w:themeColor="text1"/>
                <w:sz w:val="20"/>
                <w:szCs w:val="20"/>
              </w:rPr>
            </w:pPr>
          </w:p>
          <w:p w14:paraId="4657142D"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Procurement and supply chain</w:t>
            </w:r>
          </w:p>
          <w:p w14:paraId="15ADEC39" w14:textId="5317E8EA" w:rsidR="00143BE7" w:rsidRPr="00C474D1" w:rsidRDefault="00143BE7" w:rsidP="00143BE7">
            <w:pPr>
              <w:pStyle w:val="ListParagraph"/>
              <w:numPr>
                <w:ilvl w:val="0"/>
                <w:numId w:val="19"/>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Calibrated drapes may not be available in some settings, especially where procurement and </w:t>
            </w:r>
            <w:r w:rsidRPr="00C474D1">
              <w:rPr>
                <w:rFonts w:ascii="Source Sans Pro" w:hAnsi="Source Sans Pro" w:cs="Calibri"/>
                <w:color w:val="000000" w:themeColor="text1"/>
                <w:sz w:val="20"/>
                <w:szCs w:val="20"/>
              </w:rPr>
              <w:lastRenderedPageBreak/>
              <w:t>supply chains have been disrupted due to a humanitarian emergency.</w:t>
            </w:r>
          </w:p>
          <w:p w14:paraId="0C6B676D" w14:textId="77777777" w:rsidR="00143BE7" w:rsidRPr="00C474D1" w:rsidRDefault="00143BE7" w:rsidP="00143BE7">
            <w:pPr>
              <w:rPr>
                <w:rFonts w:ascii="Source Sans Pro" w:hAnsi="Source Sans Pro" w:cs="Calibri"/>
                <w:color w:val="000000" w:themeColor="text1"/>
                <w:sz w:val="20"/>
                <w:szCs w:val="20"/>
              </w:rPr>
            </w:pPr>
          </w:p>
          <w:p w14:paraId="684AB6F9" w14:textId="1DACE21E"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Waste management</w:t>
            </w:r>
          </w:p>
          <w:p w14:paraId="0D1E8E6E" w14:textId="676728BB" w:rsidR="00143BE7" w:rsidRPr="00C474D1" w:rsidRDefault="00143BE7" w:rsidP="00143BE7">
            <w:pPr>
              <w:pStyle w:val="ListParagraph"/>
              <w:numPr>
                <w:ilvl w:val="0"/>
                <w:numId w:val="19"/>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Appropriate infrastructure for disposing of single-use drapes (e.g., incinerators) may not be available.</w:t>
            </w:r>
          </w:p>
          <w:p w14:paraId="3D83C77F" w14:textId="77777777" w:rsidR="00143BE7" w:rsidRPr="00C474D1" w:rsidRDefault="00143BE7" w:rsidP="00143BE7">
            <w:pPr>
              <w:pStyle w:val="ListParagraph"/>
              <w:rPr>
                <w:rFonts w:ascii="Source Sans Pro" w:hAnsi="Source Sans Pro" w:cs="Calibri"/>
                <w:color w:val="000000" w:themeColor="text1"/>
                <w:sz w:val="20"/>
                <w:szCs w:val="20"/>
              </w:rPr>
            </w:pPr>
          </w:p>
          <w:p w14:paraId="7C91DC3D" w14:textId="77777777" w:rsidR="00143BE7" w:rsidRPr="00C474D1" w:rsidRDefault="00143BE7" w:rsidP="00143BE7">
            <w:pPr>
              <w:rPr>
                <w:rFonts w:ascii="Source Sans Pro" w:hAnsi="Source Sans Pro" w:cs="Calibri"/>
                <w:color w:val="A02B93" w:themeColor="accent5"/>
                <w:sz w:val="20"/>
                <w:szCs w:val="20"/>
              </w:rPr>
            </w:pPr>
          </w:p>
          <w:p w14:paraId="109C6029" w14:textId="627015E7" w:rsidR="00143BE7" w:rsidRPr="00C474D1" w:rsidRDefault="00143BE7" w:rsidP="00143BE7">
            <w:pPr>
              <w:rPr>
                <w:rFonts w:ascii="Source Sans Pro" w:hAnsi="Source Sans Pro" w:cs="Calibri"/>
                <w:sz w:val="20"/>
                <w:szCs w:val="20"/>
              </w:rPr>
            </w:pPr>
          </w:p>
        </w:tc>
        <w:tc>
          <w:tcPr>
            <w:tcW w:w="6030" w:type="dxa"/>
          </w:tcPr>
          <w:p w14:paraId="28988F2D" w14:textId="08B37EBB"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Research and development on methods for quantifying blood loss in community settings is urgently needed.</w:t>
            </w:r>
          </w:p>
          <w:p w14:paraId="08BF2BE0" w14:textId="77777777" w:rsidR="00143BE7" w:rsidRPr="00C474D1" w:rsidRDefault="00143BE7" w:rsidP="00143BE7">
            <w:pPr>
              <w:rPr>
                <w:rFonts w:ascii="Source Sans Pro" w:hAnsi="Source Sans Pro" w:cs="Calibri"/>
                <w:color w:val="000000" w:themeColor="text1"/>
                <w:sz w:val="20"/>
                <w:szCs w:val="20"/>
              </w:rPr>
            </w:pPr>
          </w:p>
          <w:p w14:paraId="71029BCF" w14:textId="52139739"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Most postpartum haemorrhages occur within the first two hours following birth, though excessive bleeding is possible throughout the first 24 hours postpartum. In settings with human resource constraints that prohibit monitoring for the first 24 hours, priority should be placed on close monitoring every 15 minutes for the first hour, followed by close monitoring every 30 minutes for the next two hours.</w:t>
            </w:r>
          </w:p>
          <w:p w14:paraId="44531CC2" w14:textId="77777777" w:rsidR="00143BE7" w:rsidRPr="00C474D1" w:rsidRDefault="00143BE7" w:rsidP="00143BE7">
            <w:pPr>
              <w:rPr>
                <w:rFonts w:ascii="Source Sans Pro" w:hAnsi="Source Sans Pro" w:cs="Calibri"/>
                <w:color w:val="000000" w:themeColor="text1"/>
                <w:sz w:val="20"/>
                <w:szCs w:val="20"/>
              </w:rPr>
            </w:pPr>
          </w:p>
          <w:p w14:paraId="7AC06CBD" w14:textId="4751ADA4"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A flat bedpan and measuring cup for collecting and measuring blood loss is currently included in Inter-Agency Reproductive Health kit 6A (clinical delivery assistance for midwives). </w:t>
            </w:r>
            <w:r w:rsidRPr="00C474D1">
              <w:rPr>
                <w:rFonts w:ascii="Source Sans Pro" w:hAnsi="Source Sans Pro" w:cs="Calibri"/>
                <w:sz w:val="20"/>
                <w:szCs w:val="20"/>
              </w:rPr>
              <w:t xml:space="preserve">Calibrated drapes are </w:t>
            </w:r>
            <w:r w:rsidRPr="00C474D1">
              <w:rPr>
                <w:rFonts w:ascii="Source Sans Pro" w:hAnsi="Source Sans Pro" w:cs="Calibri"/>
                <w:sz w:val="20"/>
                <w:szCs w:val="20"/>
              </w:rPr>
              <w:lastRenderedPageBreak/>
              <w:t xml:space="preserve">available as a </w:t>
            </w:r>
            <w:r w:rsidRPr="00C474D1">
              <w:rPr>
                <w:rFonts w:ascii="Source Sans Pro" w:hAnsi="Source Sans Pro" w:cs="Calibri"/>
                <w:b/>
                <w:bCs/>
                <w:sz w:val="20"/>
                <w:szCs w:val="20"/>
              </w:rPr>
              <w:t>complementary</w:t>
            </w:r>
            <w:r w:rsidRPr="00C474D1">
              <w:rPr>
                <w:rFonts w:ascii="Source Sans Pro" w:hAnsi="Source Sans Pro" w:cs="Calibri"/>
                <w:sz w:val="20"/>
                <w:szCs w:val="20"/>
              </w:rPr>
              <w:t xml:space="preserve"> commodity for </w:t>
            </w:r>
            <w:r w:rsidRPr="00C474D1">
              <w:rPr>
                <w:rFonts w:ascii="Source Sans Pro" w:hAnsi="Source Sans Pro" w:cs="Calibri"/>
                <w:color w:val="000000" w:themeColor="text1"/>
                <w:sz w:val="20"/>
                <w:szCs w:val="20"/>
              </w:rPr>
              <w:t xml:space="preserve">Inter-Agency Reproductive Health kits 6B (clinical delivery assistance for midwives) and/or 11B (obstetric surgery and severe obstetric complications) </w:t>
            </w:r>
            <w:r w:rsidRPr="00A721C8">
              <w:rPr>
                <w:rFonts w:ascii="Source Sans Pro" w:hAnsi="Source Sans Pro" w:cs="Calibri"/>
                <w:i/>
                <w:iCs/>
                <w:color w:val="000000" w:themeColor="text1"/>
                <w:sz w:val="20"/>
                <w:szCs w:val="20"/>
              </w:rPr>
              <w:t>(16)</w:t>
            </w:r>
            <w:r w:rsidRPr="00C474D1">
              <w:rPr>
                <w:rFonts w:ascii="Source Sans Pro" w:hAnsi="Source Sans Pro" w:cs="Calibri"/>
                <w:color w:val="000000" w:themeColor="text1"/>
                <w:sz w:val="20"/>
                <w:szCs w:val="20"/>
              </w:rPr>
              <w:t xml:space="preserve">. </w:t>
            </w:r>
          </w:p>
          <w:p w14:paraId="6FB46A1A" w14:textId="77777777" w:rsidR="00143BE7" w:rsidRPr="00C474D1" w:rsidRDefault="00143BE7" w:rsidP="00143BE7">
            <w:pPr>
              <w:rPr>
                <w:rFonts w:ascii="Source Sans Pro" w:hAnsi="Source Sans Pro" w:cs="Calibri"/>
                <w:color w:val="000000" w:themeColor="text1"/>
                <w:sz w:val="20"/>
                <w:szCs w:val="20"/>
              </w:rPr>
            </w:pPr>
          </w:p>
          <w:p w14:paraId="7961C8FC" w14:textId="1BE65E1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For longer term solutions, health workers may consider developing local solutions for measuring blood loss. For example, calibration lines could be added manually to uncalibrated collector receptacles such as uncalibrated drapes, bed pans or buckets. These kinds of improvised devices for measuring blood loss could also be cleaned, disinfected and reused, reducing the waste management needs.</w:t>
            </w:r>
          </w:p>
          <w:p w14:paraId="205206DA" w14:textId="77777777" w:rsidR="00143BE7" w:rsidRPr="00C474D1" w:rsidRDefault="00143BE7" w:rsidP="00143BE7">
            <w:pPr>
              <w:rPr>
                <w:rFonts w:ascii="Source Sans Pro" w:hAnsi="Source Sans Pro" w:cs="Calibri"/>
                <w:color w:val="000000" w:themeColor="text1"/>
                <w:sz w:val="20"/>
                <w:szCs w:val="20"/>
              </w:rPr>
            </w:pPr>
          </w:p>
          <w:p w14:paraId="1870BFC8" w14:textId="300F1CBC"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Where no incineration options compatible with the need for drape disposal are available, health workers may employ a three-step approach with other measuring devices:</w:t>
            </w:r>
          </w:p>
          <w:p w14:paraId="2A6AA8D7" w14:textId="234A1E1E" w:rsidR="00143BE7" w:rsidRPr="00C474D1" w:rsidRDefault="00143BE7" w:rsidP="00143BE7">
            <w:pPr>
              <w:pStyle w:val="ListParagraph"/>
              <w:numPr>
                <w:ilvl w:val="0"/>
                <w:numId w:val="20"/>
              </w:num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Disposal of blood, clots and placenta in the placenta pit</w:t>
            </w:r>
            <w:r w:rsidR="00A721C8">
              <w:rPr>
                <w:rFonts w:ascii="Source Sans Pro" w:hAnsi="Source Sans Pro" w:cs="Calibri"/>
                <w:color w:val="000000" w:themeColor="text1"/>
                <w:sz w:val="20"/>
                <w:szCs w:val="20"/>
              </w:rPr>
              <w:t>.</w:t>
            </w:r>
          </w:p>
          <w:p w14:paraId="2E02050C" w14:textId="6D72239C" w:rsidR="00143BE7" w:rsidRPr="00C474D1" w:rsidRDefault="00143BE7" w:rsidP="00143BE7">
            <w:pPr>
              <w:pStyle w:val="ListParagraph"/>
              <w:numPr>
                <w:ilvl w:val="0"/>
                <w:numId w:val="20"/>
              </w:num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Cleaning and disinfection of the device</w:t>
            </w:r>
            <w:r w:rsidR="00A721C8">
              <w:rPr>
                <w:rFonts w:ascii="Source Sans Pro" w:hAnsi="Source Sans Pro" w:cs="Calibri"/>
                <w:color w:val="000000" w:themeColor="text1"/>
                <w:sz w:val="20"/>
                <w:szCs w:val="20"/>
              </w:rPr>
              <w:t>.</w:t>
            </w:r>
          </w:p>
          <w:p w14:paraId="122F19A0" w14:textId="0087066D" w:rsidR="00143BE7" w:rsidRPr="00C474D1" w:rsidRDefault="00143BE7" w:rsidP="00143BE7">
            <w:pPr>
              <w:pStyle w:val="ListParagraph"/>
              <w:numPr>
                <w:ilvl w:val="0"/>
                <w:numId w:val="20"/>
              </w:numPr>
              <w:rPr>
                <w:rFonts w:ascii="Source Sans Pro" w:hAnsi="Source Sans Pro" w:cs="Calibri"/>
                <w:color w:val="124F1A" w:themeColor="accent3" w:themeShade="BF"/>
                <w:sz w:val="20"/>
                <w:szCs w:val="20"/>
              </w:rPr>
            </w:pPr>
            <w:r w:rsidRPr="00C474D1">
              <w:rPr>
                <w:rFonts w:ascii="Source Sans Pro" w:hAnsi="Source Sans Pro" w:cs="Calibri"/>
                <w:color w:val="000000" w:themeColor="text1"/>
                <w:sz w:val="20"/>
                <w:szCs w:val="20"/>
              </w:rPr>
              <w:t>Disposal or</w:t>
            </w:r>
            <w:r w:rsidR="00A721C8">
              <w:rPr>
                <w:rFonts w:ascii="Source Sans Pro" w:hAnsi="Source Sans Pro" w:cs="Calibri"/>
                <w:color w:val="000000" w:themeColor="text1"/>
                <w:sz w:val="20"/>
                <w:szCs w:val="20"/>
              </w:rPr>
              <w:t xml:space="preserve"> </w:t>
            </w:r>
            <w:r w:rsidRPr="00C474D1">
              <w:rPr>
                <w:rFonts w:ascii="Source Sans Pro" w:hAnsi="Source Sans Pro" w:cs="Calibri"/>
                <w:color w:val="000000" w:themeColor="text1"/>
                <w:sz w:val="20"/>
                <w:szCs w:val="20"/>
              </w:rPr>
              <w:t>re</w:t>
            </w:r>
            <w:r w:rsidR="00A721C8">
              <w:rPr>
                <w:rFonts w:ascii="Source Sans Pro" w:hAnsi="Source Sans Pro" w:cs="Calibri"/>
                <w:color w:val="000000" w:themeColor="text1"/>
                <w:sz w:val="20"/>
                <w:szCs w:val="20"/>
              </w:rPr>
              <w:t>-</w:t>
            </w:r>
            <w:r w:rsidRPr="00C474D1">
              <w:rPr>
                <w:rFonts w:ascii="Source Sans Pro" w:hAnsi="Source Sans Pro" w:cs="Calibri"/>
                <w:color w:val="000000" w:themeColor="text1"/>
                <w:sz w:val="20"/>
                <w:szCs w:val="20"/>
              </w:rPr>
              <w:t>use of the disinfected device.</w:t>
            </w:r>
          </w:p>
        </w:tc>
      </w:tr>
      <w:tr w:rsidR="00143BE7" w:rsidRPr="00C474D1" w14:paraId="2FDA1708" w14:textId="77777777" w:rsidTr="00A721C8">
        <w:trPr>
          <w:cantSplit/>
          <w:trHeight w:val="179"/>
        </w:trPr>
        <w:tc>
          <w:tcPr>
            <w:tcW w:w="3865" w:type="dxa"/>
          </w:tcPr>
          <w:p w14:paraId="7938EC73" w14:textId="17448029"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lastRenderedPageBreak/>
              <w:t xml:space="preserve">22. To identify women at risk of adverse outcomes from postpartum bleeding and initiate first-response treatment, it is recommended to use the following criteria: objectively measured blood loss threshold of ≥ 300 ml with any abnormal haemodynamic sign (pulse &gt;100 bpm, shock index &gt;1, systolic blood pressure &lt;100 mmHg, or diastolic blood pressure &lt;60 mmHg), or objectively measured blood loss of ≥500 ml, whichever occurs first within 24 </w:t>
            </w:r>
            <w:r w:rsidRPr="00C474D1">
              <w:rPr>
                <w:rFonts w:ascii="Source Sans Pro" w:hAnsi="Source Sans Pro" w:cs="Calibri"/>
                <w:sz w:val="20"/>
                <w:szCs w:val="20"/>
              </w:rPr>
              <w:lastRenderedPageBreak/>
              <w:t>hours after birth, and with particular vigilance during the first 2 hours.</w:t>
            </w:r>
          </w:p>
          <w:p w14:paraId="2F8D2A93" w14:textId="1F69EEE9" w:rsidR="00143BE7" w:rsidRPr="00C474D1" w:rsidRDefault="00143BE7" w:rsidP="00143BE7">
            <w:pPr>
              <w:rPr>
                <w:rFonts w:ascii="Source Sans Pro" w:hAnsi="Source Sans Pro" w:cs="Calibri"/>
                <w:sz w:val="20"/>
                <w:szCs w:val="20"/>
              </w:rPr>
            </w:pPr>
          </w:p>
        </w:tc>
        <w:tc>
          <w:tcPr>
            <w:tcW w:w="4680" w:type="dxa"/>
          </w:tcPr>
          <w:p w14:paraId="55A71694" w14:textId="54A51E74" w:rsidR="00143BE7" w:rsidRPr="00C474D1" w:rsidRDefault="00143BE7" w:rsidP="00143BE7">
            <w:pPr>
              <w:rPr>
                <w:rFonts w:ascii="Source Sans Pro" w:hAnsi="Source Sans Pro" w:cs="Calibri"/>
                <w:i/>
                <w:iCs/>
                <w:color w:val="A02B93" w:themeColor="accent5"/>
                <w:sz w:val="20"/>
                <w:szCs w:val="20"/>
              </w:rPr>
            </w:pPr>
            <w:r w:rsidRPr="00C474D1">
              <w:rPr>
                <w:rFonts w:ascii="Source Sans Pro" w:hAnsi="Source Sans Pro" w:cs="Calibri"/>
                <w:i/>
                <w:iCs/>
                <w:color w:val="000000" w:themeColor="text1"/>
                <w:sz w:val="20"/>
                <w:szCs w:val="20"/>
              </w:rPr>
              <w:lastRenderedPageBreak/>
              <w:t>See recommendation 20.</w:t>
            </w:r>
          </w:p>
        </w:tc>
        <w:tc>
          <w:tcPr>
            <w:tcW w:w="6030" w:type="dxa"/>
          </w:tcPr>
          <w:p w14:paraId="061A090E" w14:textId="31D9DEED" w:rsidR="00143BE7" w:rsidRPr="00C474D1" w:rsidRDefault="00143BE7" w:rsidP="00143BE7">
            <w:pPr>
              <w:rPr>
                <w:rFonts w:ascii="Source Sans Pro" w:hAnsi="Source Sans Pro" w:cs="Calibri"/>
                <w:color w:val="A02B93" w:themeColor="accent5"/>
                <w:sz w:val="20"/>
                <w:szCs w:val="20"/>
              </w:rPr>
            </w:pPr>
            <w:r w:rsidRPr="00C474D1">
              <w:rPr>
                <w:rFonts w:ascii="Source Sans Pro" w:hAnsi="Source Sans Pro" w:cs="Calibri"/>
                <w:i/>
                <w:iCs/>
                <w:color w:val="000000" w:themeColor="text1"/>
                <w:sz w:val="20"/>
                <w:szCs w:val="20"/>
              </w:rPr>
              <w:t>See recommendation 20.</w:t>
            </w:r>
          </w:p>
        </w:tc>
      </w:tr>
      <w:tr w:rsidR="00143BE7" w:rsidRPr="00C474D1" w14:paraId="51B75D9B" w14:textId="77777777" w:rsidTr="00A721C8">
        <w:trPr>
          <w:cantSplit/>
          <w:trHeight w:val="179"/>
        </w:trPr>
        <w:tc>
          <w:tcPr>
            <w:tcW w:w="3865" w:type="dxa"/>
          </w:tcPr>
          <w:p w14:paraId="57CE00CA" w14:textId="77777777" w:rsidR="00143BE7" w:rsidRDefault="00143BE7" w:rsidP="00143BE7">
            <w:pPr>
              <w:rPr>
                <w:rFonts w:ascii="Source Sans Pro" w:hAnsi="Source Sans Pro" w:cs="Calibri"/>
                <w:sz w:val="20"/>
                <w:szCs w:val="20"/>
              </w:rPr>
            </w:pPr>
            <w:r w:rsidRPr="00C474D1">
              <w:rPr>
                <w:rFonts w:ascii="Source Sans Pro" w:hAnsi="Source Sans Pro" w:cs="Calibri"/>
                <w:sz w:val="20"/>
                <w:szCs w:val="20"/>
              </w:rPr>
              <w:t>23. Postpartum abdominal uterine tonus assessment for early identification of uterine atony is recommended for all women.</w:t>
            </w:r>
          </w:p>
          <w:p w14:paraId="4C4AFF32" w14:textId="5179AC6F" w:rsidR="00A721C8" w:rsidRPr="00C474D1" w:rsidRDefault="00A721C8" w:rsidP="00143BE7">
            <w:pPr>
              <w:rPr>
                <w:rFonts w:ascii="Source Sans Pro" w:hAnsi="Source Sans Pro" w:cs="Calibri"/>
                <w:sz w:val="20"/>
                <w:szCs w:val="20"/>
              </w:rPr>
            </w:pPr>
          </w:p>
        </w:tc>
        <w:tc>
          <w:tcPr>
            <w:tcW w:w="4680" w:type="dxa"/>
          </w:tcPr>
          <w:p w14:paraId="742D0B7C" w14:textId="70C18D48" w:rsidR="00143BE7" w:rsidRPr="00C474D1" w:rsidRDefault="00143BE7" w:rsidP="00143BE7">
            <w:pPr>
              <w:rPr>
                <w:rFonts w:ascii="Source Sans Pro" w:hAnsi="Source Sans Pro" w:cs="Calibri"/>
                <w:color w:val="A02B93" w:themeColor="accent5"/>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7F1E8A94" w14:textId="781A13E7" w:rsidR="00143BE7" w:rsidRPr="00C474D1" w:rsidRDefault="00143BE7" w:rsidP="00143BE7">
            <w:pPr>
              <w:rPr>
                <w:rFonts w:ascii="Source Sans Pro" w:hAnsi="Source Sans Pro" w:cs="Calibri"/>
                <w:i/>
                <w:iCs/>
                <w:color w:val="A02B93" w:themeColor="accent5"/>
                <w:sz w:val="20"/>
                <w:szCs w:val="20"/>
              </w:rPr>
            </w:pPr>
            <w:r w:rsidRPr="00C474D1">
              <w:rPr>
                <w:rFonts w:ascii="Source Sans Pro" w:hAnsi="Source Sans Pro" w:cs="Calibri"/>
                <w:i/>
                <w:iCs/>
                <w:color w:val="000000" w:themeColor="text1"/>
                <w:sz w:val="20"/>
                <w:szCs w:val="20"/>
              </w:rPr>
              <w:t>None.</w:t>
            </w:r>
          </w:p>
        </w:tc>
      </w:tr>
      <w:tr w:rsidR="00143BE7" w:rsidRPr="00C474D1" w14:paraId="4456B609" w14:textId="77777777" w:rsidTr="00A721C8">
        <w:trPr>
          <w:cantSplit/>
        </w:trPr>
        <w:tc>
          <w:tcPr>
            <w:tcW w:w="14575" w:type="dxa"/>
            <w:gridSpan w:val="3"/>
            <w:shd w:val="clear" w:color="auto" w:fill="A6A6A6" w:themeFill="background1" w:themeFillShade="A6"/>
          </w:tcPr>
          <w:p w14:paraId="1B526E1B" w14:textId="77777777" w:rsidR="00143BE7" w:rsidRPr="00C474D1" w:rsidRDefault="00143BE7" w:rsidP="00143BE7">
            <w:pPr>
              <w:rPr>
                <w:rFonts w:ascii="Source Sans Pro" w:hAnsi="Source Sans Pro" w:cs="Calibri"/>
                <w:b/>
                <w:bCs/>
                <w:sz w:val="20"/>
                <w:szCs w:val="20"/>
              </w:rPr>
            </w:pPr>
            <w:r w:rsidRPr="00C474D1">
              <w:rPr>
                <w:rFonts w:ascii="Source Sans Pro" w:hAnsi="Source Sans Pro" w:cs="Calibri"/>
                <w:b/>
                <w:bCs/>
                <w:sz w:val="20"/>
                <w:szCs w:val="20"/>
              </w:rPr>
              <w:t>E. PPH first-response treatment (tone, trauma, tissue, thrombin)</w:t>
            </w:r>
          </w:p>
        </w:tc>
      </w:tr>
      <w:tr w:rsidR="00143BE7" w:rsidRPr="00C474D1" w14:paraId="454817AA" w14:textId="77777777" w:rsidTr="00A721C8">
        <w:trPr>
          <w:cantSplit/>
        </w:trPr>
        <w:tc>
          <w:tcPr>
            <w:tcW w:w="3865" w:type="dxa"/>
          </w:tcPr>
          <w:p w14:paraId="41214117" w14:textId="76049CB7"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24. Intravenous oxytocin is the recommended uterotonic drug for the treatment of </w:t>
            </w:r>
            <w:r w:rsidR="00A721C8">
              <w:rPr>
                <w:rFonts w:ascii="Source Sans Pro" w:eastAsia="Calibri" w:hAnsi="Source Sans Pro" w:cs="Calibri"/>
                <w:kern w:val="0"/>
                <w:sz w:val="20"/>
                <w:szCs w:val="20"/>
                <w:lang w:bidi="en-US"/>
                <w14:ligatures w14:val="none"/>
              </w:rPr>
              <w:t>postpartum haemorrhage.</w:t>
            </w:r>
          </w:p>
        </w:tc>
        <w:tc>
          <w:tcPr>
            <w:tcW w:w="4680" w:type="dxa"/>
          </w:tcPr>
          <w:p w14:paraId="116A38A9"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Norms and Policy</w:t>
            </w:r>
          </w:p>
          <w:p w14:paraId="330C6B03" w14:textId="619621C6" w:rsidR="00143BE7" w:rsidRPr="00C474D1" w:rsidRDefault="00143BE7" w:rsidP="00143BE7">
            <w:pPr>
              <w:pStyle w:val="ListParagraph"/>
              <w:numPr>
                <w:ilvl w:val="0"/>
                <w:numId w:val="19"/>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Midwives may not be authorized to administer intravenous medications or may require physician supervision to do so, depending on their scope of practice in-country. </w:t>
            </w:r>
          </w:p>
          <w:p w14:paraId="7E720DBB" w14:textId="77777777" w:rsidR="00143BE7" w:rsidRPr="00C474D1" w:rsidRDefault="00143BE7" w:rsidP="00143BE7">
            <w:pPr>
              <w:rPr>
                <w:rFonts w:ascii="Source Sans Pro" w:hAnsi="Source Sans Pro" w:cs="Calibri"/>
                <w:color w:val="E97132" w:themeColor="accent2"/>
                <w:sz w:val="20"/>
                <w:szCs w:val="20"/>
              </w:rPr>
            </w:pPr>
          </w:p>
          <w:p w14:paraId="0F0D2E10"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Commodities and supply chain</w:t>
            </w:r>
          </w:p>
          <w:p w14:paraId="07ACCF24" w14:textId="77777777" w:rsidR="00143BE7" w:rsidRPr="00C474D1" w:rsidRDefault="00143BE7" w:rsidP="00143BE7">
            <w:pPr>
              <w:pStyle w:val="ListParagraph"/>
              <w:numPr>
                <w:ilvl w:val="0"/>
                <w:numId w:val="16"/>
              </w:numPr>
              <w:ind w:left="438"/>
              <w:rPr>
                <w:rFonts w:ascii="Source Sans Pro" w:hAnsi="Source Sans Pro" w:cs="Calibri"/>
                <w:sz w:val="20"/>
                <w:szCs w:val="20"/>
              </w:rPr>
            </w:pPr>
            <w:r w:rsidRPr="00C474D1">
              <w:rPr>
                <w:rFonts w:ascii="Source Sans Pro" w:hAnsi="Source Sans Pro" w:cs="Calibri"/>
                <w:sz w:val="20"/>
                <w:szCs w:val="20"/>
              </w:rPr>
              <w:t>Oxytocin must be kept cold, which may not be feasible in some humanitarian settings where electricity may not be consistent or refrigerators are not available.</w:t>
            </w:r>
          </w:p>
          <w:p w14:paraId="3537D7C2" w14:textId="77777777" w:rsidR="00143BE7" w:rsidRPr="00C474D1" w:rsidRDefault="00143BE7" w:rsidP="00143BE7">
            <w:pPr>
              <w:rPr>
                <w:rFonts w:ascii="Source Sans Pro" w:hAnsi="Source Sans Pro" w:cs="Calibri"/>
                <w:color w:val="A02B93" w:themeColor="accent5"/>
                <w:sz w:val="20"/>
                <w:szCs w:val="20"/>
              </w:rPr>
            </w:pPr>
          </w:p>
          <w:p w14:paraId="19FAAD9F" w14:textId="77777777" w:rsidR="00143BE7" w:rsidRPr="00C474D1" w:rsidRDefault="00143BE7" w:rsidP="00143BE7">
            <w:pPr>
              <w:rPr>
                <w:rFonts w:ascii="Source Sans Pro" w:hAnsi="Source Sans Pro" w:cs="Calibri"/>
                <w:color w:val="A02B93" w:themeColor="accent5"/>
                <w:sz w:val="20"/>
                <w:szCs w:val="20"/>
              </w:rPr>
            </w:pPr>
          </w:p>
          <w:p w14:paraId="33CAE26A" w14:textId="47ED17D1" w:rsidR="00143BE7" w:rsidRPr="00C474D1" w:rsidRDefault="00143BE7" w:rsidP="00143BE7">
            <w:pPr>
              <w:rPr>
                <w:rFonts w:ascii="Source Sans Pro" w:hAnsi="Source Sans Pro" w:cs="Calibri"/>
                <w:sz w:val="20"/>
                <w:szCs w:val="20"/>
              </w:rPr>
            </w:pPr>
          </w:p>
        </w:tc>
        <w:tc>
          <w:tcPr>
            <w:tcW w:w="6030" w:type="dxa"/>
          </w:tcPr>
          <w:p w14:paraId="37F5AAB5" w14:textId="43873620" w:rsidR="00143BE7" w:rsidRPr="00C474D1" w:rsidRDefault="00143BE7" w:rsidP="00143BE7">
            <w:pPr>
              <w:tabs>
                <w:tab w:val="left" w:pos="1683"/>
              </w:tabs>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If midwives are unable to administer intravenous medications, sublingual misoprostol can be considered. In addition, planning and preparedness efforts may consider the need for policy change to broaden midwives’ scope of practice, generally or within the context of a declared emergency. Any change to scope of practice will need to be supported by training to reinforce the activities included within the broadened scope.</w:t>
            </w:r>
          </w:p>
          <w:p w14:paraId="66A2A63D" w14:textId="77777777" w:rsidR="00143BE7" w:rsidRPr="00C474D1" w:rsidRDefault="00143BE7" w:rsidP="00143BE7">
            <w:pPr>
              <w:tabs>
                <w:tab w:val="left" w:pos="1683"/>
              </w:tabs>
              <w:rPr>
                <w:rFonts w:ascii="Source Sans Pro" w:hAnsi="Source Sans Pro" w:cs="Calibri"/>
                <w:color w:val="000000" w:themeColor="text1"/>
                <w:sz w:val="20"/>
                <w:szCs w:val="20"/>
              </w:rPr>
            </w:pPr>
          </w:p>
          <w:p w14:paraId="095CB994" w14:textId="15B6AA6E" w:rsidR="00143BE7" w:rsidRPr="00C474D1" w:rsidRDefault="00143BE7" w:rsidP="00143BE7">
            <w:pPr>
              <w:tabs>
                <w:tab w:val="left" w:pos="1683"/>
              </w:tabs>
              <w:rPr>
                <w:rFonts w:ascii="Source Sans Pro" w:hAnsi="Source Sans Pro" w:cs="Calibri"/>
                <w:color w:val="000000" w:themeColor="text1"/>
                <w:sz w:val="20"/>
                <w:szCs w:val="20"/>
              </w:rPr>
            </w:pPr>
            <w:r w:rsidRPr="00C474D1">
              <w:rPr>
                <w:rFonts w:ascii="Source Sans Pro" w:hAnsi="Source Sans Pro" w:cs="Calibri"/>
                <w:sz w:val="20"/>
                <w:szCs w:val="20"/>
              </w:rPr>
              <w:t xml:space="preserve">Oxytocin procured as part of the </w:t>
            </w:r>
            <w:r w:rsidRPr="00C474D1">
              <w:rPr>
                <w:rFonts w:ascii="Source Sans Pro" w:hAnsi="Source Sans Pro" w:cs="Calibri"/>
                <w:color w:val="000000" w:themeColor="text1"/>
                <w:sz w:val="20"/>
                <w:szCs w:val="20"/>
              </w:rPr>
              <w:t xml:space="preserve">Inter-Agency Reproductive Health kits 6B (clinical delivery assistance for midwives) and/or 11B (obstetric surgery and severe obstetric complications) is packed and shipped separately from other kit contents in a cold box and active cold chain </w:t>
            </w:r>
            <w:r w:rsidRPr="00A721C8">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tc>
      </w:tr>
      <w:tr w:rsidR="00143BE7" w:rsidRPr="00C474D1" w14:paraId="65D16566" w14:textId="77777777" w:rsidTr="00A721C8">
        <w:trPr>
          <w:cantSplit/>
        </w:trPr>
        <w:tc>
          <w:tcPr>
            <w:tcW w:w="3865" w:type="dxa"/>
          </w:tcPr>
          <w:p w14:paraId="79C0B7BC" w14:textId="7742B805"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25. If intravenous oxytocin is unavailable, or if the bleeding does not respond to oxytocin, the use of intravenous ergometrine, oxytocin</w:t>
            </w:r>
            <w:r w:rsidR="00A721C8">
              <w:rPr>
                <w:rFonts w:ascii="Source Sans Pro" w:hAnsi="Source Sans Pro" w:cs="Calibri"/>
                <w:sz w:val="20"/>
                <w:szCs w:val="20"/>
              </w:rPr>
              <w:t xml:space="preserve"> and </w:t>
            </w:r>
            <w:r w:rsidRPr="00C474D1">
              <w:rPr>
                <w:rFonts w:ascii="Source Sans Pro" w:hAnsi="Source Sans Pro" w:cs="Calibri"/>
                <w:sz w:val="20"/>
                <w:szCs w:val="20"/>
              </w:rPr>
              <w:t>ergometrine fixed</w:t>
            </w:r>
            <w:r w:rsidR="00A721C8">
              <w:rPr>
                <w:rFonts w:ascii="Source Sans Pro" w:hAnsi="Source Sans Pro" w:cs="Calibri"/>
                <w:sz w:val="20"/>
                <w:szCs w:val="20"/>
              </w:rPr>
              <w:t>-</w:t>
            </w:r>
            <w:r w:rsidRPr="00C474D1">
              <w:rPr>
                <w:rFonts w:ascii="Source Sans Pro" w:hAnsi="Source Sans Pro" w:cs="Calibri"/>
                <w:sz w:val="20"/>
                <w:szCs w:val="20"/>
              </w:rPr>
              <w:t>dose</w:t>
            </w:r>
            <w:r w:rsidR="00A721C8">
              <w:rPr>
                <w:rFonts w:ascii="Source Sans Pro" w:hAnsi="Source Sans Pro" w:cs="Calibri"/>
                <w:sz w:val="20"/>
                <w:szCs w:val="20"/>
              </w:rPr>
              <w:t xml:space="preserve"> combination</w:t>
            </w:r>
            <w:r w:rsidRPr="00C474D1">
              <w:rPr>
                <w:rFonts w:ascii="Source Sans Pro" w:hAnsi="Source Sans Pro" w:cs="Calibri"/>
                <w:sz w:val="20"/>
                <w:szCs w:val="20"/>
              </w:rPr>
              <w:t xml:space="preserve">, or a prostaglandin drug (including sublingual misoprostol, 800 </w:t>
            </w:r>
            <w:proofErr w:type="spellStart"/>
            <w:r w:rsidRPr="00C474D1">
              <w:rPr>
                <w:rFonts w:ascii="Source Sans Pro" w:hAnsi="Source Sans Pro" w:cs="Calibri"/>
                <w:sz w:val="20"/>
                <w:szCs w:val="20"/>
              </w:rPr>
              <w:t>μg</w:t>
            </w:r>
            <w:proofErr w:type="spellEnd"/>
            <w:r w:rsidRPr="00C474D1">
              <w:rPr>
                <w:rFonts w:ascii="Source Sans Pro" w:hAnsi="Source Sans Pro" w:cs="Calibri"/>
                <w:sz w:val="20"/>
                <w:szCs w:val="20"/>
              </w:rPr>
              <w:t>) is recommended.</w:t>
            </w:r>
          </w:p>
        </w:tc>
        <w:tc>
          <w:tcPr>
            <w:tcW w:w="4680" w:type="dxa"/>
          </w:tcPr>
          <w:p w14:paraId="7155A579" w14:textId="30166E27" w:rsidR="00143BE7" w:rsidRPr="00C474D1" w:rsidRDefault="00143BE7" w:rsidP="00143BE7">
            <w:pPr>
              <w:rPr>
                <w:rFonts w:ascii="Source Sans Pro" w:hAnsi="Source Sans Pro" w:cs="Calibri"/>
                <w:i/>
                <w:iCs/>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04F2C507" w14:textId="1BB50525"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Misoprostol is available as a </w:t>
            </w:r>
            <w:r w:rsidRPr="00C474D1">
              <w:rPr>
                <w:rFonts w:ascii="Source Sans Pro" w:hAnsi="Source Sans Pro" w:cs="Calibri"/>
                <w:b/>
                <w:bCs/>
                <w:sz w:val="20"/>
                <w:szCs w:val="20"/>
              </w:rPr>
              <w:t>complementary</w:t>
            </w:r>
            <w:r w:rsidRPr="00C474D1">
              <w:rPr>
                <w:rFonts w:ascii="Source Sans Pro" w:hAnsi="Source Sans Pro" w:cs="Calibri"/>
                <w:sz w:val="20"/>
                <w:szCs w:val="20"/>
              </w:rPr>
              <w:t xml:space="preserve"> commodity for </w:t>
            </w:r>
            <w:r w:rsidRPr="00C474D1">
              <w:rPr>
                <w:rFonts w:ascii="Source Sans Pro" w:hAnsi="Source Sans Pro" w:cs="Calibri"/>
                <w:color w:val="000000" w:themeColor="text1"/>
                <w:sz w:val="20"/>
                <w:szCs w:val="20"/>
              </w:rPr>
              <w:t xml:space="preserve">Inter-Agency Reproductive Health kits 2A (clean delivery kits for individual pregnant women) and 6B (clinical delivery assistance for midwives) </w:t>
            </w:r>
            <w:r w:rsidRPr="00A721C8">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p w14:paraId="7DBA0EA9" w14:textId="168EF251" w:rsidR="00143BE7" w:rsidRPr="00C474D1" w:rsidRDefault="00143BE7" w:rsidP="00143BE7">
            <w:pPr>
              <w:rPr>
                <w:rFonts w:ascii="Source Sans Pro" w:hAnsi="Source Sans Pro" w:cs="Calibri"/>
                <w:sz w:val="20"/>
                <w:szCs w:val="20"/>
              </w:rPr>
            </w:pPr>
          </w:p>
        </w:tc>
      </w:tr>
      <w:tr w:rsidR="00143BE7" w:rsidRPr="00C474D1" w14:paraId="69854725" w14:textId="77777777" w:rsidTr="00A721C8">
        <w:trPr>
          <w:cantSplit/>
        </w:trPr>
        <w:tc>
          <w:tcPr>
            <w:tcW w:w="3865" w:type="dxa"/>
          </w:tcPr>
          <w:p w14:paraId="2D2BEB93" w14:textId="45D6C1FD"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lastRenderedPageBreak/>
              <w:t xml:space="preserve">26. Uterine massage is recommended for the treatment of </w:t>
            </w:r>
            <w:r w:rsidR="00A721C8">
              <w:rPr>
                <w:rFonts w:ascii="Source Sans Pro" w:eastAsia="Calibri" w:hAnsi="Source Sans Pro" w:cs="Calibri"/>
                <w:kern w:val="0"/>
                <w:sz w:val="20"/>
                <w:szCs w:val="20"/>
                <w:lang w:bidi="en-US"/>
                <w14:ligatures w14:val="none"/>
              </w:rPr>
              <w:t>postpartum haemorrhage</w:t>
            </w:r>
            <w:r w:rsidRPr="00C474D1">
              <w:rPr>
                <w:rFonts w:ascii="Source Sans Pro" w:hAnsi="Source Sans Pro" w:cs="Calibri"/>
                <w:sz w:val="20"/>
                <w:szCs w:val="20"/>
              </w:rPr>
              <w:t>.</w:t>
            </w:r>
          </w:p>
        </w:tc>
        <w:tc>
          <w:tcPr>
            <w:tcW w:w="4680" w:type="dxa"/>
          </w:tcPr>
          <w:p w14:paraId="08F92100" w14:textId="15D1D78C" w:rsidR="00143BE7" w:rsidRPr="00C474D1" w:rsidRDefault="00143BE7" w:rsidP="00143BE7">
            <w:pPr>
              <w:rPr>
                <w:rFonts w:ascii="Source Sans Pro" w:hAnsi="Source Sans Pro" w:cs="Calibri"/>
                <w:i/>
                <w:iCs/>
                <w:color w:val="000000" w:themeColor="text1"/>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5873B21F" w14:textId="0969E3AF" w:rsidR="00143BE7" w:rsidRPr="00C474D1" w:rsidRDefault="00143BE7" w:rsidP="00143BE7">
            <w:pPr>
              <w:rPr>
                <w:rFonts w:ascii="Source Sans Pro" w:hAnsi="Source Sans Pro" w:cs="Calibri"/>
                <w:i/>
                <w:iCs/>
                <w:color w:val="000000" w:themeColor="text1"/>
                <w:sz w:val="20"/>
                <w:szCs w:val="20"/>
              </w:rPr>
            </w:pPr>
            <w:r w:rsidRPr="00C474D1">
              <w:rPr>
                <w:rFonts w:ascii="Source Sans Pro" w:hAnsi="Source Sans Pro" w:cs="Calibri"/>
                <w:i/>
                <w:iCs/>
                <w:color w:val="000000" w:themeColor="text1"/>
                <w:sz w:val="20"/>
                <w:szCs w:val="20"/>
              </w:rPr>
              <w:t>None.</w:t>
            </w:r>
          </w:p>
        </w:tc>
      </w:tr>
      <w:tr w:rsidR="00143BE7" w:rsidRPr="00C474D1" w14:paraId="49ACE78F" w14:textId="77777777" w:rsidTr="00A721C8">
        <w:trPr>
          <w:cantSplit/>
        </w:trPr>
        <w:tc>
          <w:tcPr>
            <w:tcW w:w="3865" w:type="dxa"/>
          </w:tcPr>
          <w:p w14:paraId="39074842" w14:textId="559A84D6"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27. Early use of intravenous tranexamic acid (within 3 hours of birth) in addition to standard care is recommended for women with postpartum haemorrhage following vaginal birth or caesarean section.</w:t>
            </w:r>
          </w:p>
        </w:tc>
        <w:tc>
          <w:tcPr>
            <w:tcW w:w="4680" w:type="dxa"/>
          </w:tcPr>
          <w:p w14:paraId="49DBA244"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Norms and Policy</w:t>
            </w:r>
          </w:p>
          <w:p w14:paraId="09ECF840" w14:textId="09FDA5FC" w:rsidR="00143BE7" w:rsidRPr="00C474D1" w:rsidRDefault="00143BE7" w:rsidP="00143BE7">
            <w:pPr>
              <w:pStyle w:val="ListParagraph"/>
              <w:numPr>
                <w:ilvl w:val="0"/>
                <w:numId w:val="19"/>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Midwives may not be authorized to administer intravenous medications or may require physician supervision to do so, depending on their scope of practice in-country. </w:t>
            </w:r>
          </w:p>
          <w:p w14:paraId="30DAFA6B" w14:textId="66AB0494" w:rsidR="00143BE7" w:rsidRPr="00C474D1" w:rsidRDefault="00143BE7" w:rsidP="00143BE7">
            <w:pPr>
              <w:rPr>
                <w:rFonts w:ascii="Source Sans Pro" w:hAnsi="Source Sans Pro" w:cs="Calibri"/>
                <w:i/>
                <w:iCs/>
                <w:color w:val="000000" w:themeColor="text1"/>
                <w:sz w:val="20"/>
                <w:szCs w:val="20"/>
              </w:rPr>
            </w:pPr>
          </w:p>
        </w:tc>
        <w:tc>
          <w:tcPr>
            <w:tcW w:w="6030" w:type="dxa"/>
          </w:tcPr>
          <w:p w14:paraId="38CC133A" w14:textId="5D9EDCAB"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Planning and preparedness efforts may consider the need for policy change to broaden midwives’ scope of practice, generally or within the context of a declared emergency. Any change to scope of practice will need to be supported by training to reinforce the activities included within the broadened scope.</w:t>
            </w:r>
          </w:p>
          <w:p w14:paraId="102EB272" w14:textId="77777777" w:rsidR="00143BE7" w:rsidRPr="00C474D1" w:rsidRDefault="00143BE7" w:rsidP="00143BE7">
            <w:pPr>
              <w:rPr>
                <w:rFonts w:ascii="Source Sans Pro" w:hAnsi="Source Sans Pro" w:cs="Calibri"/>
                <w:sz w:val="20"/>
                <w:szCs w:val="20"/>
              </w:rPr>
            </w:pPr>
          </w:p>
          <w:p w14:paraId="5BC5ADE4" w14:textId="237F35B6"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Tranexamic acid is procured as part of the </w:t>
            </w:r>
            <w:r w:rsidRPr="00C474D1">
              <w:rPr>
                <w:rFonts w:ascii="Source Sans Pro" w:hAnsi="Source Sans Pro" w:cs="Calibri"/>
                <w:color w:val="000000" w:themeColor="text1"/>
                <w:sz w:val="20"/>
                <w:szCs w:val="20"/>
              </w:rPr>
              <w:t xml:space="preserve">Inter-Agency Reproductive Health kit 11B (obstetric surgery and severe obstetric complications) </w:t>
            </w:r>
            <w:r w:rsidRPr="00A721C8">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tc>
      </w:tr>
      <w:tr w:rsidR="00143BE7" w:rsidRPr="00C474D1" w14:paraId="51742103" w14:textId="77777777" w:rsidTr="00A721C8">
        <w:trPr>
          <w:cantSplit/>
        </w:trPr>
        <w:tc>
          <w:tcPr>
            <w:tcW w:w="3865" w:type="dxa"/>
          </w:tcPr>
          <w:p w14:paraId="093C29BA" w14:textId="17E86750"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28. Isotonic crystalloids are recommended in preference to colloids for intravenous fluid resuscitation of women with </w:t>
            </w:r>
            <w:r w:rsidR="00A721C8">
              <w:rPr>
                <w:rFonts w:ascii="Source Sans Pro" w:eastAsia="Calibri" w:hAnsi="Source Sans Pro" w:cs="Calibri"/>
                <w:kern w:val="0"/>
                <w:sz w:val="20"/>
                <w:szCs w:val="20"/>
                <w:lang w:bidi="en-US"/>
                <w14:ligatures w14:val="none"/>
              </w:rPr>
              <w:t>postpartum haemorrhage</w:t>
            </w:r>
            <w:r w:rsidRPr="00C474D1">
              <w:rPr>
                <w:rFonts w:ascii="Source Sans Pro" w:hAnsi="Source Sans Pro" w:cs="Calibri"/>
                <w:sz w:val="20"/>
                <w:szCs w:val="20"/>
              </w:rPr>
              <w:t>.</w:t>
            </w:r>
          </w:p>
        </w:tc>
        <w:tc>
          <w:tcPr>
            <w:tcW w:w="4680" w:type="dxa"/>
          </w:tcPr>
          <w:p w14:paraId="641970B4" w14:textId="35B2F2A9" w:rsidR="00143BE7" w:rsidRPr="00C474D1" w:rsidRDefault="00143BE7" w:rsidP="00143BE7">
            <w:pPr>
              <w:rPr>
                <w:rFonts w:ascii="Source Sans Pro" w:hAnsi="Source Sans Pro" w:cs="Calibri"/>
                <w:i/>
                <w:iCs/>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3F0582B5" w14:textId="0A93255A"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Isotonic crystalloids are procured as part of the </w:t>
            </w:r>
            <w:r w:rsidRPr="00C474D1">
              <w:rPr>
                <w:rFonts w:ascii="Source Sans Pro" w:hAnsi="Source Sans Pro" w:cs="Calibri"/>
                <w:color w:val="000000" w:themeColor="text1"/>
                <w:sz w:val="20"/>
                <w:szCs w:val="20"/>
              </w:rPr>
              <w:t xml:space="preserve">Inter-Agency Reproductive Health kits 6B (clinical delivery assistance for midwives) and 11B (obstetric surgery and severe obstetric complications) </w:t>
            </w:r>
            <w:r w:rsidRPr="00A721C8">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tc>
      </w:tr>
      <w:tr w:rsidR="00143BE7" w:rsidRPr="00C474D1" w14:paraId="395FB2A9" w14:textId="77777777" w:rsidTr="00A721C8">
        <w:trPr>
          <w:cantSplit/>
        </w:trPr>
        <w:tc>
          <w:tcPr>
            <w:tcW w:w="3865" w:type="dxa"/>
          </w:tcPr>
          <w:p w14:paraId="244C85FB" w14:textId="2F3499D1"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29. A standardized and timely approach to the management of postpartum haemorrhage, comprising an objective assessment of blood loss and use of a treatment bundle supported by an implementation strategy, is recommended for all women having a vaginal birth. The care bundle for first-line treatment of postpartum haemorrhage should include rapid institution of uterine massage, administration of an oxytocic agent and tranexamic acid, intravenous fluids, examination of the genital tract and escalation of care.</w:t>
            </w:r>
          </w:p>
        </w:tc>
        <w:tc>
          <w:tcPr>
            <w:tcW w:w="4680" w:type="dxa"/>
          </w:tcPr>
          <w:p w14:paraId="2BF7FBDA" w14:textId="39CB957E" w:rsidR="00143BE7" w:rsidRPr="00C474D1" w:rsidRDefault="00143BE7" w:rsidP="00143BE7">
            <w:pPr>
              <w:rPr>
                <w:rFonts w:ascii="Source Sans Pro" w:hAnsi="Source Sans Pro" w:cs="Calibri"/>
                <w:i/>
                <w:iCs/>
                <w:sz w:val="20"/>
                <w:szCs w:val="20"/>
              </w:rPr>
            </w:pPr>
            <w:r w:rsidRPr="00C474D1">
              <w:rPr>
                <w:rFonts w:ascii="Source Sans Pro" w:hAnsi="Source Sans Pro" w:cs="Calibri"/>
                <w:i/>
                <w:iCs/>
                <w:sz w:val="20"/>
                <w:szCs w:val="20"/>
              </w:rPr>
              <w:t>See recommendations 24-27.</w:t>
            </w:r>
          </w:p>
          <w:p w14:paraId="26BCC1CE" w14:textId="77777777" w:rsidR="00143BE7" w:rsidRPr="00C474D1" w:rsidRDefault="00143BE7" w:rsidP="00143BE7">
            <w:pPr>
              <w:rPr>
                <w:rFonts w:ascii="Source Sans Pro" w:hAnsi="Source Sans Pro" w:cs="Calibri"/>
                <w:color w:val="A02B93" w:themeColor="accent5"/>
                <w:sz w:val="20"/>
                <w:szCs w:val="20"/>
              </w:rPr>
            </w:pPr>
          </w:p>
        </w:tc>
        <w:tc>
          <w:tcPr>
            <w:tcW w:w="6030" w:type="dxa"/>
          </w:tcPr>
          <w:p w14:paraId="314EE0CB" w14:textId="77777777" w:rsidR="00143BE7" w:rsidRPr="00C474D1" w:rsidRDefault="00143BE7" w:rsidP="00143BE7">
            <w:pPr>
              <w:rPr>
                <w:rFonts w:ascii="Source Sans Pro" w:hAnsi="Source Sans Pro" w:cs="Calibri"/>
                <w:i/>
                <w:iCs/>
                <w:sz w:val="20"/>
                <w:szCs w:val="20"/>
              </w:rPr>
            </w:pPr>
            <w:r w:rsidRPr="00C474D1">
              <w:rPr>
                <w:rFonts w:ascii="Source Sans Pro" w:hAnsi="Source Sans Pro" w:cs="Calibri"/>
                <w:i/>
                <w:iCs/>
                <w:sz w:val="20"/>
                <w:szCs w:val="20"/>
              </w:rPr>
              <w:t>See recommendations 24-27.</w:t>
            </w:r>
          </w:p>
          <w:p w14:paraId="3263CA96" w14:textId="424D7A05" w:rsidR="00143BE7" w:rsidRPr="00C474D1" w:rsidRDefault="00143BE7" w:rsidP="00143BE7">
            <w:pPr>
              <w:rPr>
                <w:rFonts w:ascii="Source Sans Pro" w:hAnsi="Source Sans Pro" w:cs="Calibri"/>
                <w:color w:val="A02B93" w:themeColor="accent5"/>
                <w:sz w:val="20"/>
                <w:szCs w:val="20"/>
              </w:rPr>
            </w:pPr>
          </w:p>
        </w:tc>
      </w:tr>
      <w:tr w:rsidR="00143BE7" w:rsidRPr="00C474D1" w14:paraId="1058F1D2" w14:textId="77777777" w:rsidTr="00A721C8">
        <w:trPr>
          <w:cantSplit/>
        </w:trPr>
        <w:tc>
          <w:tcPr>
            <w:tcW w:w="3865" w:type="dxa"/>
          </w:tcPr>
          <w:p w14:paraId="6F233FF6" w14:textId="78F28186" w:rsidR="00A721C8" w:rsidRPr="00A721C8" w:rsidRDefault="00143BE7" w:rsidP="00A721C8">
            <w:pPr>
              <w:rPr>
                <w:rFonts w:ascii="Source Sans Pro" w:hAnsi="Source Sans Pro" w:cs="Calibri"/>
                <w:sz w:val="20"/>
                <w:szCs w:val="20"/>
              </w:rPr>
            </w:pPr>
            <w:r w:rsidRPr="00C474D1">
              <w:rPr>
                <w:rFonts w:ascii="Source Sans Pro" w:hAnsi="Source Sans Pro" w:cs="Calibri"/>
                <w:sz w:val="20"/>
                <w:szCs w:val="20"/>
              </w:rPr>
              <w:lastRenderedPageBreak/>
              <w:t xml:space="preserve">30. Administration of a uterotonic agent is recommended for the treatment of retained placenta after vaginal birth only in the presence of </w:t>
            </w:r>
            <w:r w:rsidR="00A721C8">
              <w:rPr>
                <w:rFonts w:ascii="Source Sans Pro" w:eastAsia="Calibri" w:hAnsi="Source Sans Pro" w:cs="Calibri"/>
                <w:kern w:val="0"/>
                <w:sz w:val="20"/>
                <w:szCs w:val="20"/>
                <w:lang w:bidi="en-US"/>
                <w14:ligatures w14:val="none"/>
              </w:rPr>
              <w:t>postpartum haemorrhage.</w:t>
            </w:r>
          </w:p>
        </w:tc>
        <w:tc>
          <w:tcPr>
            <w:tcW w:w="4680" w:type="dxa"/>
          </w:tcPr>
          <w:p w14:paraId="4988E70B"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Norms and Policy</w:t>
            </w:r>
          </w:p>
          <w:p w14:paraId="24145AA7" w14:textId="3FA9895F" w:rsidR="00143BE7" w:rsidRPr="00C474D1" w:rsidRDefault="00143BE7" w:rsidP="00143BE7">
            <w:pPr>
              <w:pStyle w:val="ListParagraph"/>
              <w:numPr>
                <w:ilvl w:val="0"/>
                <w:numId w:val="19"/>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Midwives may not be authorized to administer intravenous medications or may require physician supervision to do so, depending on their scope of practice in-country. </w:t>
            </w:r>
          </w:p>
          <w:p w14:paraId="3BE68159" w14:textId="77777777" w:rsidR="00143BE7" w:rsidRPr="00C474D1" w:rsidRDefault="00143BE7" w:rsidP="00143BE7">
            <w:pPr>
              <w:rPr>
                <w:rFonts w:ascii="Source Sans Pro" w:hAnsi="Source Sans Pro" w:cs="Calibri"/>
                <w:color w:val="E97132" w:themeColor="accent2"/>
                <w:sz w:val="20"/>
                <w:szCs w:val="20"/>
              </w:rPr>
            </w:pPr>
          </w:p>
          <w:p w14:paraId="14FD1484"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Commodities and supply chain</w:t>
            </w:r>
          </w:p>
          <w:p w14:paraId="4C08D5FB" w14:textId="77777777" w:rsidR="00143BE7" w:rsidRPr="00C474D1" w:rsidRDefault="00143BE7" w:rsidP="00143BE7">
            <w:pPr>
              <w:pStyle w:val="ListParagraph"/>
              <w:numPr>
                <w:ilvl w:val="0"/>
                <w:numId w:val="16"/>
              </w:numPr>
              <w:ind w:left="438"/>
              <w:rPr>
                <w:rFonts w:ascii="Source Sans Pro" w:hAnsi="Source Sans Pro" w:cs="Calibri"/>
                <w:sz w:val="20"/>
                <w:szCs w:val="20"/>
              </w:rPr>
            </w:pPr>
            <w:r w:rsidRPr="00C474D1">
              <w:rPr>
                <w:rFonts w:ascii="Source Sans Pro" w:hAnsi="Source Sans Pro" w:cs="Calibri"/>
                <w:sz w:val="20"/>
                <w:szCs w:val="20"/>
              </w:rPr>
              <w:t>Oxytocin must be kept cold, which may not be feasible in some humanitarian settings where electricity may not be consistent or refrigerators are not available.</w:t>
            </w:r>
          </w:p>
          <w:p w14:paraId="0A05E9B6" w14:textId="77777777" w:rsidR="00143BE7" w:rsidRPr="00C474D1" w:rsidRDefault="00143BE7" w:rsidP="00143BE7">
            <w:pPr>
              <w:rPr>
                <w:rFonts w:ascii="Source Sans Pro" w:hAnsi="Source Sans Pro" w:cs="Calibri"/>
                <w:color w:val="A02B93" w:themeColor="accent5"/>
                <w:sz w:val="20"/>
                <w:szCs w:val="20"/>
              </w:rPr>
            </w:pPr>
          </w:p>
          <w:p w14:paraId="1FE39155" w14:textId="77777777" w:rsidR="00143BE7" w:rsidRPr="00C474D1" w:rsidRDefault="00143BE7" w:rsidP="00143BE7">
            <w:pPr>
              <w:rPr>
                <w:rFonts w:ascii="Source Sans Pro" w:hAnsi="Source Sans Pro" w:cs="Calibri"/>
                <w:color w:val="A02B93" w:themeColor="accent5"/>
                <w:sz w:val="20"/>
                <w:szCs w:val="20"/>
              </w:rPr>
            </w:pPr>
          </w:p>
          <w:p w14:paraId="3659B256" w14:textId="584AD2E1" w:rsidR="00143BE7" w:rsidRPr="00C474D1" w:rsidRDefault="00143BE7" w:rsidP="00143BE7">
            <w:pPr>
              <w:rPr>
                <w:rFonts w:ascii="Source Sans Pro" w:hAnsi="Source Sans Pro" w:cs="Calibri"/>
                <w:color w:val="0070C0"/>
                <w:sz w:val="20"/>
                <w:szCs w:val="20"/>
              </w:rPr>
            </w:pPr>
          </w:p>
        </w:tc>
        <w:tc>
          <w:tcPr>
            <w:tcW w:w="6030" w:type="dxa"/>
          </w:tcPr>
          <w:p w14:paraId="785B1391" w14:textId="726FB88A" w:rsidR="00143BE7" w:rsidRPr="00C474D1" w:rsidRDefault="00143BE7" w:rsidP="00143BE7">
            <w:pPr>
              <w:tabs>
                <w:tab w:val="left" w:pos="1683"/>
              </w:tabs>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If midwives are unable to administer intravenous medications, sublingual misoprostol can be considered. In addition, </w:t>
            </w:r>
            <w:bookmarkStart w:id="0" w:name="OLE_LINK5"/>
            <w:r w:rsidRPr="00C474D1">
              <w:rPr>
                <w:rFonts w:ascii="Source Sans Pro" w:hAnsi="Source Sans Pro" w:cs="Calibri"/>
                <w:color w:val="000000" w:themeColor="text1"/>
                <w:sz w:val="20"/>
                <w:szCs w:val="20"/>
              </w:rPr>
              <w:t>planning and preparedness efforts may consider the need for policy change to broaden midwives’ scope of practice, generally or within the context of a declared emergency. Any change to scope of practice will need to be supported by training to reinforce the activities included within the broadened scope.</w:t>
            </w:r>
            <w:bookmarkEnd w:id="0"/>
          </w:p>
          <w:p w14:paraId="590AA0AE" w14:textId="77777777" w:rsidR="00143BE7" w:rsidRPr="00C474D1" w:rsidRDefault="00143BE7" w:rsidP="00143BE7">
            <w:pPr>
              <w:tabs>
                <w:tab w:val="left" w:pos="1683"/>
              </w:tabs>
              <w:rPr>
                <w:rFonts w:ascii="Source Sans Pro" w:hAnsi="Source Sans Pro" w:cs="Calibri"/>
                <w:color w:val="000000" w:themeColor="text1"/>
                <w:sz w:val="20"/>
                <w:szCs w:val="20"/>
              </w:rPr>
            </w:pPr>
          </w:p>
          <w:p w14:paraId="7426D226" w14:textId="0DED30B2"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Oxytocin is procured as part of the </w:t>
            </w:r>
            <w:r w:rsidRPr="00C474D1">
              <w:rPr>
                <w:rFonts w:ascii="Source Sans Pro" w:hAnsi="Source Sans Pro" w:cs="Calibri"/>
                <w:color w:val="000000" w:themeColor="text1"/>
                <w:sz w:val="20"/>
                <w:szCs w:val="20"/>
              </w:rPr>
              <w:t xml:space="preserve">Inter-Agency Reproductive Health kits 6B (clinical delivery assistance for midwives) and/or 11B (obstetric surgery and severe obstetric complications) is packed and shipped separately from other kit contents in a cold box and active cold chain </w:t>
            </w:r>
            <w:r w:rsidRPr="00A721C8">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tc>
      </w:tr>
      <w:tr w:rsidR="00143BE7" w:rsidRPr="00C474D1" w14:paraId="7578C059" w14:textId="77777777" w:rsidTr="00A721C8">
        <w:trPr>
          <w:cantSplit/>
        </w:trPr>
        <w:tc>
          <w:tcPr>
            <w:tcW w:w="3865" w:type="dxa"/>
          </w:tcPr>
          <w:p w14:paraId="1A5704BD" w14:textId="77777777" w:rsidR="00143BE7" w:rsidRDefault="00143BE7" w:rsidP="00143BE7">
            <w:pPr>
              <w:rPr>
                <w:rFonts w:ascii="Source Sans Pro" w:hAnsi="Source Sans Pro" w:cs="Calibri"/>
                <w:sz w:val="20"/>
                <w:szCs w:val="20"/>
              </w:rPr>
            </w:pPr>
            <w:r w:rsidRPr="00C474D1">
              <w:rPr>
                <w:rFonts w:ascii="Source Sans Pro" w:hAnsi="Source Sans Pro" w:cs="Calibri"/>
                <w:sz w:val="20"/>
                <w:szCs w:val="20"/>
              </w:rPr>
              <w:t>31. Routine antibiotic prophylaxis is recommended for women undergoing manual removal of the placenta.</w:t>
            </w:r>
          </w:p>
          <w:p w14:paraId="3F41BC10" w14:textId="5709E5D5" w:rsidR="00A721C8" w:rsidRPr="00C474D1" w:rsidRDefault="00A721C8" w:rsidP="00143BE7">
            <w:pPr>
              <w:rPr>
                <w:rFonts w:ascii="Source Sans Pro" w:hAnsi="Source Sans Pro" w:cs="Calibri"/>
                <w:sz w:val="20"/>
                <w:szCs w:val="20"/>
              </w:rPr>
            </w:pPr>
          </w:p>
        </w:tc>
        <w:tc>
          <w:tcPr>
            <w:tcW w:w="4680" w:type="dxa"/>
          </w:tcPr>
          <w:p w14:paraId="57D8832F" w14:textId="785E2ED9" w:rsidR="00143BE7" w:rsidRPr="00C474D1" w:rsidRDefault="00143BE7" w:rsidP="00143BE7">
            <w:pPr>
              <w:rPr>
                <w:rFonts w:ascii="Source Sans Pro" w:hAnsi="Source Sans Pro" w:cs="Calibri"/>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282D85F5" w14:textId="5F71C965"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Antibiotics are procured as part of the </w:t>
            </w:r>
            <w:r w:rsidRPr="00C474D1">
              <w:rPr>
                <w:rFonts w:ascii="Source Sans Pro" w:hAnsi="Source Sans Pro" w:cs="Calibri"/>
                <w:color w:val="000000" w:themeColor="text1"/>
                <w:sz w:val="20"/>
                <w:szCs w:val="20"/>
              </w:rPr>
              <w:t xml:space="preserve">Inter-Agency Reproductive Health kits 6B (clinical delivery assistance for midwives) and/or 11B (obstetric surgery and severe obstetric complications) </w:t>
            </w:r>
            <w:r w:rsidRPr="00A721C8">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tc>
      </w:tr>
      <w:tr w:rsidR="00143BE7" w:rsidRPr="00C474D1" w14:paraId="6D50F423" w14:textId="77777777" w:rsidTr="00A721C8">
        <w:trPr>
          <w:cantSplit/>
        </w:trPr>
        <w:tc>
          <w:tcPr>
            <w:tcW w:w="3865" w:type="dxa"/>
          </w:tcPr>
          <w:p w14:paraId="3636F40A" w14:textId="77777777"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32. Umbilical vein injection of oxytocin is recommended for the treatment of retained placenta only in the context of rigorous research.</w:t>
            </w:r>
          </w:p>
          <w:p w14:paraId="347806F3" w14:textId="1DA85ABE" w:rsidR="00143BE7" w:rsidRPr="00C474D1" w:rsidRDefault="00143BE7" w:rsidP="00143BE7">
            <w:pPr>
              <w:rPr>
                <w:rFonts w:ascii="Source Sans Pro" w:hAnsi="Source Sans Pro" w:cs="Calibri"/>
                <w:sz w:val="20"/>
                <w:szCs w:val="20"/>
              </w:rPr>
            </w:pPr>
          </w:p>
        </w:tc>
        <w:tc>
          <w:tcPr>
            <w:tcW w:w="4680" w:type="dxa"/>
          </w:tcPr>
          <w:p w14:paraId="7BAF726A" w14:textId="02E3CFC2" w:rsidR="00143BE7" w:rsidRPr="00C474D1" w:rsidRDefault="00143BE7" w:rsidP="00143BE7">
            <w:pPr>
              <w:rPr>
                <w:rFonts w:ascii="Source Sans Pro" w:hAnsi="Source Sans Pro" w:cs="Calibri"/>
                <w:i/>
                <w:iCs/>
                <w:color w:val="000000" w:themeColor="text1"/>
                <w:sz w:val="20"/>
                <w:szCs w:val="20"/>
              </w:rPr>
            </w:pPr>
            <w:r w:rsidRPr="00C474D1">
              <w:rPr>
                <w:rFonts w:ascii="Source Sans Pro" w:hAnsi="Source Sans Pro" w:cs="Calibri"/>
                <w:i/>
                <w:iCs/>
                <w:color w:val="000000" w:themeColor="text1"/>
                <w:sz w:val="20"/>
                <w:szCs w:val="20"/>
              </w:rPr>
              <w:t>Not applicable.</w:t>
            </w:r>
          </w:p>
        </w:tc>
        <w:tc>
          <w:tcPr>
            <w:tcW w:w="6030" w:type="dxa"/>
          </w:tcPr>
          <w:p w14:paraId="14C53A0E" w14:textId="213AE7C6" w:rsidR="00143BE7" w:rsidRPr="00C474D1" w:rsidRDefault="00143BE7" w:rsidP="00143BE7">
            <w:pPr>
              <w:rPr>
                <w:rFonts w:ascii="Source Sans Pro" w:hAnsi="Source Sans Pro" w:cs="Calibri"/>
                <w:i/>
                <w:iCs/>
                <w:color w:val="000000" w:themeColor="text1"/>
                <w:sz w:val="20"/>
                <w:szCs w:val="20"/>
              </w:rPr>
            </w:pPr>
            <w:r w:rsidRPr="00C474D1">
              <w:rPr>
                <w:rFonts w:ascii="Source Sans Pro" w:hAnsi="Source Sans Pro" w:cs="Calibri"/>
                <w:i/>
                <w:iCs/>
                <w:color w:val="000000" w:themeColor="text1"/>
                <w:sz w:val="20"/>
                <w:szCs w:val="20"/>
              </w:rPr>
              <w:t>Not applicable.</w:t>
            </w:r>
          </w:p>
        </w:tc>
      </w:tr>
      <w:tr w:rsidR="00143BE7" w:rsidRPr="00C474D1" w14:paraId="4B4ABC99" w14:textId="77777777" w:rsidTr="00A721C8">
        <w:trPr>
          <w:cantSplit/>
        </w:trPr>
        <w:tc>
          <w:tcPr>
            <w:tcW w:w="14575" w:type="dxa"/>
            <w:gridSpan w:val="3"/>
            <w:shd w:val="clear" w:color="auto" w:fill="A6A6A6" w:themeFill="background1" w:themeFillShade="A6"/>
          </w:tcPr>
          <w:p w14:paraId="55B2E6BD" w14:textId="77777777" w:rsidR="00143BE7" w:rsidRPr="00C474D1" w:rsidRDefault="00143BE7" w:rsidP="00143BE7">
            <w:pPr>
              <w:rPr>
                <w:rFonts w:ascii="Source Sans Pro" w:hAnsi="Source Sans Pro" w:cs="Calibri"/>
                <w:b/>
                <w:bCs/>
                <w:sz w:val="20"/>
                <w:szCs w:val="20"/>
              </w:rPr>
            </w:pPr>
            <w:r w:rsidRPr="00C474D1">
              <w:rPr>
                <w:rFonts w:ascii="Source Sans Pro" w:hAnsi="Source Sans Pro" w:cs="Calibri"/>
                <w:b/>
                <w:bCs/>
                <w:sz w:val="20"/>
                <w:szCs w:val="20"/>
              </w:rPr>
              <w:t>F. PPH refractory treatment</w:t>
            </w:r>
          </w:p>
        </w:tc>
      </w:tr>
      <w:tr w:rsidR="00143BE7" w:rsidRPr="00C474D1" w14:paraId="267A62E5" w14:textId="77777777" w:rsidTr="00A721C8">
        <w:trPr>
          <w:cantSplit/>
        </w:trPr>
        <w:tc>
          <w:tcPr>
            <w:tcW w:w="3865" w:type="dxa"/>
          </w:tcPr>
          <w:p w14:paraId="186C4339" w14:textId="0E7DD121"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33. Bimanual uterine compression is recommended as a temporizing measure until appropriate care is available for the treatment of</w:t>
            </w:r>
            <w:r w:rsidR="00A721C8">
              <w:rPr>
                <w:rFonts w:ascii="Source Sans Pro" w:eastAsia="Calibri" w:hAnsi="Source Sans Pro" w:cs="Calibri"/>
                <w:kern w:val="0"/>
                <w:sz w:val="20"/>
                <w:szCs w:val="20"/>
                <w:lang w:bidi="en-US"/>
                <w14:ligatures w14:val="none"/>
              </w:rPr>
              <w:t xml:space="preserve"> postpartum haemorrhage</w:t>
            </w:r>
            <w:r w:rsidRPr="00C474D1">
              <w:rPr>
                <w:rFonts w:ascii="Source Sans Pro" w:hAnsi="Source Sans Pro" w:cs="Calibri"/>
                <w:sz w:val="20"/>
                <w:szCs w:val="20"/>
              </w:rPr>
              <w:t xml:space="preserve"> due to uterine atony after vaginal birth.</w:t>
            </w:r>
          </w:p>
        </w:tc>
        <w:tc>
          <w:tcPr>
            <w:tcW w:w="4680" w:type="dxa"/>
          </w:tcPr>
          <w:p w14:paraId="0C5BA37F" w14:textId="2A5DE548"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329C050C" w14:textId="38C4C6DB" w:rsidR="00143BE7" w:rsidRPr="00C474D1" w:rsidRDefault="00143BE7" w:rsidP="00143BE7">
            <w:pPr>
              <w:rPr>
                <w:rFonts w:ascii="Source Sans Pro" w:hAnsi="Source Sans Pro" w:cs="Calibri"/>
                <w:i/>
                <w:iCs/>
                <w:color w:val="000000" w:themeColor="text1"/>
                <w:sz w:val="20"/>
                <w:szCs w:val="20"/>
              </w:rPr>
            </w:pPr>
            <w:r w:rsidRPr="00C474D1">
              <w:rPr>
                <w:rFonts w:ascii="Source Sans Pro" w:hAnsi="Source Sans Pro" w:cs="Calibri"/>
                <w:i/>
                <w:iCs/>
                <w:color w:val="000000" w:themeColor="text1"/>
                <w:sz w:val="20"/>
                <w:szCs w:val="20"/>
              </w:rPr>
              <w:t>None.</w:t>
            </w:r>
          </w:p>
        </w:tc>
      </w:tr>
      <w:tr w:rsidR="00143BE7" w:rsidRPr="00C474D1" w14:paraId="13E12757" w14:textId="77777777" w:rsidTr="00A721C8">
        <w:trPr>
          <w:cantSplit/>
        </w:trPr>
        <w:tc>
          <w:tcPr>
            <w:tcW w:w="3865" w:type="dxa"/>
          </w:tcPr>
          <w:p w14:paraId="4030B43F" w14:textId="13A0A6AF"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lastRenderedPageBreak/>
              <w:t xml:space="preserve">34. External aortic compression is recommended as a temporizing measure until appropriate care is available for the treatment of </w:t>
            </w:r>
            <w:r w:rsidR="00A721C8">
              <w:rPr>
                <w:rFonts w:ascii="Source Sans Pro" w:eastAsia="Calibri" w:hAnsi="Source Sans Pro" w:cs="Calibri"/>
                <w:kern w:val="0"/>
                <w:sz w:val="20"/>
                <w:szCs w:val="20"/>
                <w:lang w:bidi="en-US"/>
                <w14:ligatures w14:val="none"/>
              </w:rPr>
              <w:t>postpartum haemorrhage</w:t>
            </w:r>
            <w:r w:rsidR="00A721C8" w:rsidRPr="00C474D1">
              <w:rPr>
                <w:rFonts w:ascii="Source Sans Pro" w:hAnsi="Source Sans Pro" w:cs="Calibri"/>
                <w:sz w:val="20"/>
                <w:szCs w:val="20"/>
              </w:rPr>
              <w:t xml:space="preserve"> </w:t>
            </w:r>
            <w:r w:rsidRPr="00C474D1">
              <w:rPr>
                <w:rFonts w:ascii="Source Sans Pro" w:hAnsi="Source Sans Pro" w:cs="Calibri"/>
                <w:sz w:val="20"/>
                <w:szCs w:val="20"/>
              </w:rPr>
              <w:t>due to uterine atony after vaginal birth.</w:t>
            </w:r>
          </w:p>
        </w:tc>
        <w:tc>
          <w:tcPr>
            <w:tcW w:w="4680" w:type="dxa"/>
          </w:tcPr>
          <w:p w14:paraId="277FB28D" w14:textId="64C817B0" w:rsidR="00143BE7" w:rsidRPr="00C474D1" w:rsidRDefault="00143BE7" w:rsidP="00143BE7">
            <w:pPr>
              <w:rPr>
                <w:rFonts w:ascii="Source Sans Pro" w:hAnsi="Source Sans Pro" w:cs="Calibri"/>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68F180A5" w14:textId="39919319" w:rsidR="00143BE7" w:rsidRPr="00C474D1" w:rsidRDefault="00143BE7" w:rsidP="00143BE7">
            <w:pPr>
              <w:rPr>
                <w:rFonts w:ascii="Source Sans Pro" w:hAnsi="Source Sans Pro" w:cs="Calibri"/>
                <w:i/>
                <w:iCs/>
                <w:sz w:val="20"/>
                <w:szCs w:val="20"/>
              </w:rPr>
            </w:pPr>
            <w:r w:rsidRPr="00C474D1">
              <w:rPr>
                <w:rFonts w:ascii="Source Sans Pro" w:hAnsi="Source Sans Pro" w:cs="Calibri"/>
                <w:i/>
                <w:iCs/>
                <w:color w:val="000000" w:themeColor="text1"/>
                <w:sz w:val="20"/>
                <w:szCs w:val="20"/>
              </w:rPr>
              <w:t>None.</w:t>
            </w:r>
          </w:p>
        </w:tc>
      </w:tr>
      <w:tr w:rsidR="00143BE7" w:rsidRPr="00C474D1" w14:paraId="21332F11" w14:textId="77777777" w:rsidTr="00A721C8">
        <w:trPr>
          <w:cantSplit/>
        </w:trPr>
        <w:tc>
          <w:tcPr>
            <w:tcW w:w="3865" w:type="dxa"/>
          </w:tcPr>
          <w:p w14:paraId="3FAEEF93" w14:textId="2244A914"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35. Non-pneumatic anti-shock garment is recommended as a temporizing measure until appropriate care is available for the treatment of </w:t>
            </w:r>
            <w:r w:rsidR="00A721C8">
              <w:rPr>
                <w:rFonts w:ascii="Source Sans Pro" w:eastAsia="Calibri" w:hAnsi="Source Sans Pro" w:cs="Calibri"/>
                <w:kern w:val="0"/>
                <w:sz w:val="20"/>
                <w:szCs w:val="20"/>
                <w:lang w:bidi="en-US"/>
                <w14:ligatures w14:val="none"/>
              </w:rPr>
              <w:t>postpartum haemorrhage</w:t>
            </w:r>
            <w:r w:rsidRPr="00C474D1">
              <w:rPr>
                <w:rFonts w:ascii="Source Sans Pro" w:hAnsi="Source Sans Pro" w:cs="Calibri"/>
                <w:sz w:val="20"/>
                <w:szCs w:val="20"/>
              </w:rPr>
              <w:t>.</w:t>
            </w:r>
          </w:p>
        </w:tc>
        <w:tc>
          <w:tcPr>
            <w:tcW w:w="4680" w:type="dxa"/>
          </w:tcPr>
          <w:p w14:paraId="46873E70" w14:textId="507F0ABD" w:rsidR="00143BE7" w:rsidRPr="00C474D1" w:rsidRDefault="00143BE7" w:rsidP="00143BE7">
            <w:pPr>
              <w:rPr>
                <w:rFonts w:ascii="Source Sans Pro" w:hAnsi="Source Sans Pro" w:cs="Calibri"/>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57D4FE78" w14:textId="623C4561"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The non-pneumatic anti-shock garment is available as a </w:t>
            </w:r>
            <w:r w:rsidRPr="00C474D1">
              <w:rPr>
                <w:rFonts w:ascii="Source Sans Pro" w:hAnsi="Source Sans Pro" w:cs="Calibri"/>
                <w:b/>
                <w:bCs/>
                <w:sz w:val="20"/>
                <w:szCs w:val="20"/>
              </w:rPr>
              <w:t>complementary</w:t>
            </w:r>
            <w:r w:rsidRPr="00C474D1">
              <w:rPr>
                <w:rFonts w:ascii="Source Sans Pro" w:hAnsi="Source Sans Pro" w:cs="Calibri"/>
                <w:sz w:val="20"/>
                <w:szCs w:val="20"/>
              </w:rPr>
              <w:t xml:space="preserve"> commodity for </w:t>
            </w:r>
            <w:r w:rsidRPr="00C474D1">
              <w:rPr>
                <w:rFonts w:ascii="Source Sans Pro" w:hAnsi="Source Sans Pro" w:cs="Calibri"/>
                <w:color w:val="000000" w:themeColor="text1"/>
                <w:sz w:val="20"/>
                <w:szCs w:val="20"/>
              </w:rPr>
              <w:t xml:space="preserve">Inter-Agency Reproductive Health kit 6A (clinical delivery assistance for midwives) </w:t>
            </w:r>
            <w:r w:rsidRPr="00AF7CBA">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tc>
      </w:tr>
      <w:tr w:rsidR="00143BE7" w:rsidRPr="00C474D1" w14:paraId="3D20D085" w14:textId="77777777" w:rsidTr="00A721C8">
        <w:trPr>
          <w:cantSplit/>
        </w:trPr>
        <w:tc>
          <w:tcPr>
            <w:tcW w:w="3865" w:type="dxa"/>
          </w:tcPr>
          <w:p w14:paraId="02C6A445" w14:textId="58B6275F"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36. Uterine balloon tamponade is recommended for the treatment of </w:t>
            </w:r>
            <w:r w:rsidR="00A721C8">
              <w:rPr>
                <w:rFonts w:ascii="Source Sans Pro" w:eastAsia="Calibri" w:hAnsi="Source Sans Pro" w:cs="Calibri"/>
                <w:kern w:val="0"/>
                <w:sz w:val="20"/>
                <w:szCs w:val="20"/>
                <w:lang w:bidi="en-US"/>
                <w14:ligatures w14:val="none"/>
              </w:rPr>
              <w:t>postpartum haemorrhage</w:t>
            </w:r>
            <w:r w:rsidR="00A721C8" w:rsidRPr="00C474D1">
              <w:rPr>
                <w:rFonts w:ascii="Source Sans Pro" w:hAnsi="Source Sans Pro" w:cs="Calibri"/>
                <w:sz w:val="20"/>
                <w:szCs w:val="20"/>
              </w:rPr>
              <w:t xml:space="preserve"> </w:t>
            </w:r>
            <w:r w:rsidRPr="00C474D1">
              <w:rPr>
                <w:rFonts w:ascii="Source Sans Pro" w:hAnsi="Source Sans Pro" w:cs="Calibri"/>
                <w:sz w:val="20"/>
                <w:szCs w:val="20"/>
              </w:rPr>
              <w:t>due to uterine atony after vaginal birth in women who do not respond to standard first-line treatment, provided the following conditions are met:</w:t>
            </w:r>
          </w:p>
          <w:p w14:paraId="1998A97C" w14:textId="29F6400D" w:rsidR="00143BE7" w:rsidRPr="00A721C8" w:rsidRDefault="00143BE7" w:rsidP="00A721C8">
            <w:pPr>
              <w:pStyle w:val="ListParagraph"/>
              <w:numPr>
                <w:ilvl w:val="0"/>
                <w:numId w:val="32"/>
              </w:numPr>
              <w:ind w:left="423"/>
              <w:rPr>
                <w:rFonts w:ascii="Source Sans Pro" w:hAnsi="Source Sans Pro" w:cs="Calibri"/>
                <w:sz w:val="20"/>
                <w:szCs w:val="20"/>
              </w:rPr>
            </w:pPr>
            <w:r w:rsidRPr="00A721C8">
              <w:rPr>
                <w:rFonts w:ascii="Source Sans Pro" w:hAnsi="Source Sans Pro" w:cs="Calibri"/>
                <w:sz w:val="20"/>
                <w:szCs w:val="20"/>
              </w:rPr>
              <w:t>Immediate recourse to surgical intervention and access to blood products is possible if needed.</w:t>
            </w:r>
          </w:p>
          <w:p w14:paraId="10AAB94B" w14:textId="178CE38B" w:rsidR="00143BE7" w:rsidRPr="00A721C8" w:rsidRDefault="00143BE7" w:rsidP="00A721C8">
            <w:pPr>
              <w:pStyle w:val="ListParagraph"/>
              <w:numPr>
                <w:ilvl w:val="0"/>
                <w:numId w:val="32"/>
              </w:numPr>
              <w:ind w:left="423"/>
              <w:rPr>
                <w:rFonts w:ascii="Source Sans Pro" w:hAnsi="Source Sans Pro" w:cs="Calibri"/>
                <w:sz w:val="20"/>
                <w:szCs w:val="20"/>
              </w:rPr>
            </w:pPr>
            <w:r w:rsidRPr="00A721C8">
              <w:rPr>
                <w:rFonts w:ascii="Source Sans Pro" w:hAnsi="Source Sans Pro" w:cs="Calibri"/>
                <w:sz w:val="20"/>
                <w:szCs w:val="20"/>
              </w:rPr>
              <w:t xml:space="preserve">A primary </w:t>
            </w:r>
            <w:r w:rsidR="00A721C8" w:rsidRPr="00A721C8">
              <w:rPr>
                <w:rFonts w:ascii="Source Sans Pro" w:eastAsia="Calibri" w:hAnsi="Source Sans Pro" w:cs="Calibri"/>
                <w:kern w:val="0"/>
                <w:sz w:val="20"/>
                <w:szCs w:val="20"/>
                <w:lang w:bidi="en-US"/>
                <w14:ligatures w14:val="none"/>
              </w:rPr>
              <w:t>postpartum haemorrhage</w:t>
            </w:r>
            <w:r w:rsidR="00A721C8" w:rsidRPr="00A721C8">
              <w:rPr>
                <w:rFonts w:ascii="Source Sans Pro" w:hAnsi="Source Sans Pro" w:cs="Calibri"/>
                <w:sz w:val="20"/>
                <w:szCs w:val="20"/>
              </w:rPr>
              <w:t xml:space="preserve"> </w:t>
            </w:r>
            <w:r w:rsidRPr="00A721C8">
              <w:rPr>
                <w:rFonts w:ascii="Source Sans Pro" w:hAnsi="Source Sans Pro" w:cs="Calibri"/>
                <w:sz w:val="20"/>
                <w:szCs w:val="20"/>
              </w:rPr>
              <w:t>first-line treatment protocol (including the use of uterotonics, tranexamic acid, intravenous fluids) is available and routinely implemented.</w:t>
            </w:r>
          </w:p>
          <w:p w14:paraId="0093220E" w14:textId="179781EA" w:rsidR="00143BE7" w:rsidRPr="00A721C8" w:rsidRDefault="00143BE7" w:rsidP="00A721C8">
            <w:pPr>
              <w:pStyle w:val="ListParagraph"/>
              <w:numPr>
                <w:ilvl w:val="0"/>
                <w:numId w:val="32"/>
              </w:numPr>
              <w:ind w:left="423"/>
              <w:rPr>
                <w:rFonts w:ascii="Source Sans Pro" w:hAnsi="Source Sans Pro" w:cs="Calibri"/>
                <w:sz w:val="20"/>
                <w:szCs w:val="20"/>
              </w:rPr>
            </w:pPr>
            <w:r w:rsidRPr="00A721C8">
              <w:rPr>
                <w:rFonts w:ascii="Source Sans Pro" w:hAnsi="Source Sans Pro" w:cs="Calibri"/>
                <w:sz w:val="20"/>
                <w:szCs w:val="20"/>
              </w:rPr>
              <w:t xml:space="preserve">Other causes of </w:t>
            </w:r>
            <w:r w:rsidR="00A721C8" w:rsidRPr="00A721C8">
              <w:rPr>
                <w:rFonts w:ascii="Source Sans Pro" w:eastAsia="Calibri" w:hAnsi="Source Sans Pro" w:cs="Calibri"/>
                <w:kern w:val="0"/>
                <w:sz w:val="20"/>
                <w:szCs w:val="20"/>
                <w:lang w:bidi="en-US"/>
                <w14:ligatures w14:val="none"/>
              </w:rPr>
              <w:t>postpartum haemorrhage</w:t>
            </w:r>
            <w:r w:rsidR="00A721C8" w:rsidRPr="00A721C8">
              <w:rPr>
                <w:rFonts w:ascii="Source Sans Pro" w:hAnsi="Source Sans Pro" w:cs="Calibri"/>
                <w:sz w:val="20"/>
                <w:szCs w:val="20"/>
              </w:rPr>
              <w:t xml:space="preserve"> </w:t>
            </w:r>
            <w:r w:rsidRPr="00A721C8">
              <w:rPr>
                <w:rFonts w:ascii="Source Sans Pro" w:hAnsi="Source Sans Pro" w:cs="Calibri"/>
                <w:sz w:val="20"/>
                <w:szCs w:val="20"/>
              </w:rPr>
              <w:t>(retained placental tissue, trauma) can be reasonably excluded.</w:t>
            </w:r>
          </w:p>
          <w:p w14:paraId="278E2238" w14:textId="5E622874" w:rsidR="00143BE7" w:rsidRPr="00A721C8" w:rsidRDefault="00143BE7" w:rsidP="00A721C8">
            <w:pPr>
              <w:pStyle w:val="ListParagraph"/>
              <w:numPr>
                <w:ilvl w:val="0"/>
                <w:numId w:val="32"/>
              </w:numPr>
              <w:ind w:left="423"/>
              <w:rPr>
                <w:rFonts w:ascii="Source Sans Pro" w:hAnsi="Source Sans Pro" w:cs="Calibri"/>
                <w:sz w:val="20"/>
                <w:szCs w:val="20"/>
              </w:rPr>
            </w:pPr>
            <w:r w:rsidRPr="00A721C8">
              <w:rPr>
                <w:rFonts w:ascii="Source Sans Pro" w:hAnsi="Source Sans Pro" w:cs="Calibri"/>
                <w:sz w:val="20"/>
                <w:szCs w:val="20"/>
              </w:rPr>
              <w:t xml:space="preserve">The procedure is performed by health personnel who are trained and skilled </w:t>
            </w:r>
            <w:r w:rsidRPr="00A721C8">
              <w:rPr>
                <w:rFonts w:ascii="Source Sans Pro" w:hAnsi="Source Sans Pro" w:cs="Calibri"/>
                <w:sz w:val="20"/>
                <w:szCs w:val="20"/>
              </w:rPr>
              <w:lastRenderedPageBreak/>
              <w:t xml:space="preserve">in the management of </w:t>
            </w:r>
            <w:r w:rsidR="00A721C8" w:rsidRPr="00A721C8">
              <w:rPr>
                <w:rFonts w:ascii="Source Sans Pro" w:eastAsia="Calibri" w:hAnsi="Source Sans Pro" w:cs="Calibri"/>
                <w:kern w:val="0"/>
                <w:sz w:val="20"/>
                <w:szCs w:val="20"/>
                <w:lang w:bidi="en-US"/>
                <w14:ligatures w14:val="none"/>
              </w:rPr>
              <w:t>postpartum haemorrhage</w:t>
            </w:r>
            <w:r w:rsidRPr="00A721C8">
              <w:rPr>
                <w:rFonts w:ascii="Source Sans Pro" w:hAnsi="Source Sans Pro" w:cs="Calibri"/>
                <w:sz w:val="20"/>
                <w:szCs w:val="20"/>
              </w:rPr>
              <w:t>, including the use of uterine balloon tamponade.</w:t>
            </w:r>
          </w:p>
          <w:p w14:paraId="43A1611D" w14:textId="5CA7F4E0" w:rsidR="00143BE7" w:rsidRPr="00A721C8" w:rsidRDefault="00143BE7" w:rsidP="00A721C8">
            <w:pPr>
              <w:pStyle w:val="ListParagraph"/>
              <w:numPr>
                <w:ilvl w:val="0"/>
                <w:numId w:val="32"/>
              </w:numPr>
              <w:ind w:left="423"/>
              <w:rPr>
                <w:rFonts w:ascii="Source Sans Pro" w:hAnsi="Source Sans Pro" w:cs="Calibri"/>
                <w:sz w:val="20"/>
                <w:szCs w:val="20"/>
              </w:rPr>
            </w:pPr>
            <w:r w:rsidRPr="00A721C8">
              <w:rPr>
                <w:rFonts w:ascii="Source Sans Pro" w:hAnsi="Source Sans Pro" w:cs="Calibri"/>
                <w:sz w:val="20"/>
                <w:szCs w:val="20"/>
              </w:rPr>
              <w:t>Maternal condition can be regularly and adequately monitored for prompt identification of any signs of deterioration.</w:t>
            </w:r>
          </w:p>
        </w:tc>
        <w:tc>
          <w:tcPr>
            <w:tcW w:w="4680" w:type="dxa"/>
          </w:tcPr>
          <w:p w14:paraId="7E086311" w14:textId="61989918"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Infrastructure</w:t>
            </w:r>
          </w:p>
          <w:p w14:paraId="26DF67AF" w14:textId="550B9875" w:rsidR="00143BE7" w:rsidRPr="00C474D1" w:rsidRDefault="00143BE7" w:rsidP="00143BE7">
            <w:pPr>
              <w:pStyle w:val="ListParagraph"/>
              <w:numPr>
                <w:ilvl w:val="0"/>
                <w:numId w:val="16"/>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Meeting the conditions under which the use of uterine balloon tamponade is recommended may be challenging in humanitarian settings. </w:t>
            </w:r>
          </w:p>
          <w:p w14:paraId="3E3394A5" w14:textId="77777777" w:rsidR="00143BE7" w:rsidRPr="00C474D1" w:rsidRDefault="00143BE7" w:rsidP="00143BE7">
            <w:pPr>
              <w:rPr>
                <w:rFonts w:ascii="Source Sans Pro" w:hAnsi="Source Sans Pro" w:cs="Calibri"/>
                <w:color w:val="000000" w:themeColor="text1"/>
                <w:sz w:val="20"/>
                <w:szCs w:val="20"/>
              </w:rPr>
            </w:pPr>
          </w:p>
          <w:p w14:paraId="3CD803E7" w14:textId="7B87EC84"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Human resources</w:t>
            </w:r>
          </w:p>
          <w:p w14:paraId="3D131620" w14:textId="4623F4BB" w:rsidR="00143BE7" w:rsidRPr="00C474D1" w:rsidRDefault="00143BE7" w:rsidP="00143BE7">
            <w:pPr>
              <w:pStyle w:val="ListParagraph"/>
              <w:numPr>
                <w:ilvl w:val="0"/>
                <w:numId w:val="16"/>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It may be difficult to meet the human resource requirements associated with recommended use of uterine balloon tamponade devices, especially in settings with high turnover of health workers.</w:t>
            </w:r>
          </w:p>
          <w:p w14:paraId="04373E4B" w14:textId="77777777" w:rsidR="00143BE7" w:rsidRPr="00C474D1" w:rsidRDefault="00143BE7" w:rsidP="00143BE7">
            <w:pPr>
              <w:rPr>
                <w:rFonts w:ascii="Source Sans Pro" w:hAnsi="Source Sans Pro" w:cs="Calibri"/>
                <w:color w:val="000000" w:themeColor="text1"/>
                <w:sz w:val="20"/>
                <w:szCs w:val="20"/>
              </w:rPr>
            </w:pPr>
          </w:p>
          <w:p w14:paraId="65080633" w14:textId="0129B5B8"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Procurement and supply chain</w:t>
            </w:r>
          </w:p>
          <w:p w14:paraId="3960EED3" w14:textId="7B66DEBA" w:rsidR="00143BE7" w:rsidRPr="00C474D1" w:rsidRDefault="00143BE7" w:rsidP="00143BE7">
            <w:pPr>
              <w:pStyle w:val="ListParagraph"/>
              <w:numPr>
                <w:ilvl w:val="0"/>
                <w:numId w:val="16"/>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Costs of uterine balloon tamponade devices vary substantially, with some devices priced too high for use in humanitarian settings.</w:t>
            </w:r>
          </w:p>
          <w:p w14:paraId="3A7C1B6D" w14:textId="77777777" w:rsidR="00143BE7" w:rsidRPr="00C474D1" w:rsidRDefault="00143BE7" w:rsidP="00143BE7">
            <w:pPr>
              <w:rPr>
                <w:rFonts w:ascii="Source Sans Pro" w:hAnsi="Source Sans Pro" w:cs="Calibri"/>
                <w:color w:val="000000" w:themeColor="text1"/>
                <w:sz w:val="20"/>
                <w:szCs w:val="20"/>
              </w:rPr>
            </w:pPr>
          </w:p>
          <w:p w14:paraId="6754E66E" w14:textId="347B81A7" w:rsidR="00143BE7" w:rsidRPr="00C474D1" w:rsidRDefault="00143BE7" w:rsidP="00143BE7">
            <w:pPr>
              <w:rPr>
                <w:rFonts w:ascii="Source Sans Pro" w:hAnsi="Source Sans Pro" w:cs="Calibri"/>
                <w:sz w:val="20"/>
                <w:szCs w:val="20"/>
              </w:rPr>
            </w:pPr>
          </w:p>
        </w:tc>
        <w:tc>
          <w:tcPr>
            <w:tcW w:w="6030" w:type="dxa"/>
          </w:tcPr>
          <w:p w14:paraId="0426C004" w14:textId="77777777"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Given the challenges of meeting the conditions under which uterine balloon tamponade is recommended, humanitarian programmes may consider prioritizing support for other recommended temporizing interventions, such as bimanual compression, external aortic compression and the non-pneumatic anti-shock garment. </w:t>
            </w:r>
          </w:p>
          <w:p w14:paraId="065FF94D" w14:textId="77777777" w:rsidR="00143BE7" w:rsidRPr="00C474D1" w:rsidRDefault="00143BE7" w:rsidP="00143BE7">
            <w:pPr>
              <w:rPr>
                <w:rFonts w:ascii="Source Sans Pro" w:hAnsi="Source Sans Pro" w:cs="Calibri"/>
                <w:sz w:val="20"/>
                <w:szCs w:val="20"/>
              </w:rPr>
            </w:pPr>
          </w:p>
          <w:p w14:paraId="56B6F370" w14:textId="78A1FC34"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Both purpose-designed and improvised uterine balloon tamponade devices have been described in the literature. Though purpose-designed devices were once much more expensive than improvised devices, in recent years the cost of purpose-designed balloons has dropped substantially and has been deemed cost-effective in most settings. </w:t>
            </w:r>
          </w:p>
          <w:p w14:paraId="7C10D2CC" w14:textId="77777777" w:rsidR="00143BE7" w:rsidRPr="00C474D1" w:rsidRDefault="00143BE7" w:rsidP="00143BE7">
            <w:pPr>
              <w:rPr>
                <w:rFonts w:ascii="Source Sans Pro" w:hAnsi="Source Sans Pro" w:cs="Calibri"/>
                <w:sz w:val="20"/>
                <w:szCs w:val="20"/>
              </w:rPr>
            </w:pPr>
          </w:p>
          <w:p w14:paraId="3F18FFF9" w14:textId="3E3661C6"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A purpose-designed uterine balloon tamponade device is procured as part of </w:t>
            </w:r>
            <w:r w:rsidRPr="00C474D1">
              <w:rPr>
                <w:rFonts w:ascii="Source Sans Pro" w:hAnsi="Source Sans Pro" w:cs="Calibri"/>
                <w:color w:val="000000" w:themeColor="text1"/>
                <w:sz w:val="20"/>
                <w:szCs w:val="20"/>
              </w:rPr>
              <w:t xml:space="preserve">Inter-Agency Reproductive Health kit 6B (clinical delivery assistance for midwives) </w:t>
            </w:r>
            <w:r w:rsidRPr="00AF7CBA">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tc>
      </w:tr>
      <w:tr w:rsidR="00143BE7" w:rsidRPr="00C474D1" w14:paraId="4739AA9D" w14:textId="77777777" w:rsidTr="00A721C8">
        <w:trPr>
          <w:cantSplit/>
        </w:trPr>
        <w:tc>
          <w:tcPr>
            <w:tcW w:w="3865" w:type="dxa"/>
          </w:tcPr>
          <w:p w14:paraId="1507EF6A" w14:textId="77777777" w:rsidR="00143BE7"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37. Uterine packing with plain gauze or gauze impregnated with haemostatic agent(s) is not recommended for the treatment of </w:t>
            </w:r>
            <w:r w:rsidR="00AF7CBA">
              <w:rPr>
                <w:rFonts w:ascii="Source Sans Pro" w:eastAsia="Calibri" w:hAnsi="Source Sans Pro" w:cs="Calibri"/>
                <w:kern w:val="0"/>
                <w:sz w:val="20"/>
                <w:szCs w:val="20"/>
                <w:lang w:bidi="en-US"/>
                <w14:ligatures w14:val="none"/>
              </w:rPr>
              <w:t>postpartum haemorrhage</w:t>
            </w:r>
            <w:r w:rsidRPr="00C474D1">
              <w:rPr>
                <w:rFonts w:ascii="Source Sans Pro" w:hAnsi="Source Sans Pro" w:cs="Calibri"/>
                <w:sz w:val="20"/>
                <w:szCs w:val="20"/>
              </w:rPr>
              <w:t>.</w:t>
            </w:r>
          </w:p>
          <w:p w14:paraId="2EEC48B9" w14:textId="5BF03502" w:rsidR="00AF7CBA" w:rsidRPr="00C474D1" w:rsidRDefault="00AF7CBA" w:rsidP="00143BE7">
            <w:pPr>
              <w:rPr>
                <w:rFonts w:ascii="Source Sans Pro" w:hAnsi="Source Sans Pro" w:cs="Calibri"/>
                <w:sz w:val="20"/>
                <w:szCs w:val="20"/>
              </w:rPr>
            </w:pPr>
          </w:p>
        </w:tc>
        <w:tc>
          <w:tcPr>
            <w:tcW w:w="4680" w:type="dxa"/>
          </w:tcPr>
          <w:p w14:paraId="39AEA2D8" w14:textId="4CBAC803"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Not applicable.</w:t>
            </w:r>
          </w:p>
        </w:tc>
        <w:tc>
          <w:tcPr>
            <w:tcW w:w="6030" w:type="dxa"/>
          </w:tcPr>
          <w:p w14:paraId="7BAA16CD" w14:textId="47763F49" w:rsidR="00143BE7" w:rsidRPr="00C474D1" w:rsidRDefault="00143BE7" w:rsidP="00143BE7">
            <w:pPr>
              <w:rPr>
                <w:rFonts w:ascii="Source Sans Pro" w:hAnsi="Source Sans Pro" w:cs="Calibri"/>
                <w:sz w:val="20"/>
                <w:szCs w:val="20"/>
              </w:rPr>
            </w:pPr>
            <w:r w:rsidRPr="00C474D1">
              <w:rPr>
                <w:rFonts w:ascii="Source Sans Pro" w:hAnsi="Source Sans Pro" w:cs="Calibri"/>
                <w:i/>
                <w:iCs/>
                <w:color w:val="000000" w:themeColor="text1"/>
                <w:sz w:val="20"/>
                <w:szCs w:val="20"/>
              </w:rPr>
              <w:t>Not applicable.</w:t>
            </w:r>
          </w:p>
        </w:tc>
      </w:tr>
      <w:tr w:rsidR="00143BE7" w:rsidRPr="00C474D1" w14:paraId="3E833AEF" w14:textId="77777777" w:rsidTr="00A721C8">
        <w:trPr>
          <w:cantSplit/>
        </w:trPr>
        <w:tc>
          <w:tcPr>
            <w:tcW w:w="3865" w:type="dxa"/>
          </w:tcPr>
          <w:p w14:paraId="6268FCD4" w14:textId="77777777" w:rsidR="00143BE7"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38. If other measures have failed and if the necessary resources are available, the use of uterine artery embolization is recommended as a treatment for </w:t>
            </w:r>
            <w:r w:rsidR="00AF7CBA">
              <w:rPr>
                <w:rFonts w:ascii="Source Sans Pro" w:eastAsia="Calibri" w:hAnsi="Source Sans Pro" w:cs="Calibri"/>
                <w:kern w:val="0"/>
                <w:sz w:val="20"/>
                <w:szCs w:val="20"/>
                <w:lang w:bidi="en-US"/>
                <w14:ligatures w14:val="none"/>
              </w:rPr>
              <w:t>postpartum haemorrhage</w:t>
            </w:r>
            <w:r w:rsidR="00AF7CBA" w:rsidRPr="00C474D1">
              <w:rPr>
                <w:rFonts w:ascii="Source Sans Pro" w:hAnsi="Source Sans Pro" w:cs="Calibri"/>
                <w:sz w:val="20"/>
                <w:szCs w:val="20"/>
              </w:rPr>
              <w:t xml:space="preserve"> </w:t>
            </w:r>
            <w:r w:rsidRPr="00C474D1">
              <w:rPr>
                <w:rFonts w:ascii="Source Sans Pro" w:hAnsi="Source Sans Pro" w:cs="Calibri"/>
                <w:sz w:val="20"/>
                <w:szCs w:val="20"/>
              </w:rPr>
              <w:t>due to uterine atony.</w:t>
            </w:r>
          </w:p>
          <w:p w14:paraId="0A53117F" w14:textId="54181FBE" w:rsidR="00AF7CBA" w:rsidRPr="00C474D1" w:rsidRDefault="00AF7CBA" w:rsidP="00143BE7">
            <w:pPr>
              <w:rPr>
                <w:rFonts w:ascii="Source Sans Pro" w:hAnsi="Source Sans Pro" w:cs="Calibri"/>
                <w:sz w:val="20"/>
                <w:szCs w:val="20"/>
              </w:rPr>
            </w:pPr>
          </w:p>
        </w:tc>
        <w:tc>
          <w:tcPr>
            <w:tcW w:w="4680" w:type="dxa"/>
          </w:tcPr>
          <w:p w14:paraId="2FD2DB0D" w14:textId="1823D974" w:rsidR="00143BE7" w:rsidRPr="00C474D1" w:rsidRDefault="00143BE7" w:rsidP="00143BE7">
            <w:pPr>
              <w:rPr>
                <w:rFonts w:ascii="Source Sans Pro" w:hAnsi="Source Sans Pro" w:cs="Calibri"/>
                <w:color w:val="E97132" w:themeColor="accent2"/>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472A581D" w14:textId="282F2A64" w:rsidR="00143BE7" w:rsidRPr="00C474D1" w:rsidRDefault="00143BE7" w:rsidP="00143BE7">
            <w:pPr>
              <w:rPr>
                <w:rFonts w:ascii="Source Sans Pro" w:hAnsi="Source Sans Pro" w:cs="Calibri"/>
                <w:sz w:val="20"/>
                <w:szCs w:val="20"/>
              </w:rPr>
            </w:pPr>
            <w:r w:rsidRPr="00C474D1">
              <w:rPr>
                <w:rFonts w:ascii="Source Sans Pro" w:hAnsi="Source Sans Pro" w:cs="Calibri"/>
                <w:color w:val="000000" w:themeColor="text1"/>
                <w:sz w:val="20"/>
                <w:szCs w:val="20"/>
              </w:rPr>
              <w:t>None.</w:t>
            </w:r>
          </w:p>
        </w:tc>
      </w:tr>
      <w:tr w:rsidR="00143BE7" w:rsidRPr="00C474D1" w14:paraId="245073B3" w14:textId="77777777" w:rsidTr="00A721C8">
        <w:trPr>
          <w:cantSplit/>
        </w:trPr>
        <w:tc>
          <w:tcPr>
            <w:tcW w:w="3865" w:type="dxa"/>
          </w:tcPr>
          <w:p w14:paraId="6827F900" w14:textId="77777777" w:rsidR="00143BE7"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39. If bleeding does not stop </w:t>
            </w:r>
            <w:proofErr w:type="gramStart"/>
            <w:r w:rsidRPr="00C474D1">
              <w:rPr>
                <w:rFonts w:ascii="Source Sans Pro" w:hAnsi="Source Sans Pro" w:cs="Calibri"/>
                <w:sz w:val="20"/>
                <w:szCs w:val="20"/>
              </w:rPr>
              <w:t>in spite of</w:t>
            </w:r>
            <w:proofErr w:type="gramEnd"/>
            <w:r w:rsidRPr="00C474D1">
              <w:rPr>
                <w:rFonts w:ascii="Source Sans Pro" w:hAnsi="Source Sans Pro" w:cs="Calibri"/>
                <w:sz w:val="20"/>
                <w:szCs w:val="20"/>
              </w:rPr>
              <w:t xml:space="preserve"> treatment using uterotonics and other available conservative interventions (e.g., uterine massage, balloon tamponade), the use of surgical interventions is recommended.</w:t>
            </w:r>
          </w:p>
          <w:p w14:paraId="4B78B9F7" w14:textId="18EFF9F5" w:rsidR="00AF7CBA" w:rsidRPr="00C474D1" w:rsidRDefault="00AF7CBA" w:rsidP="00143BE7">
            <w:pPr>
              <w:rPr>
                <w:rFonts w:ascii="Source Sans Pro" w:hAnsi="Source Sans Pro" w:cs="Calibri"/>
                <w:sz w:val="20"/>
                <w:szCs w:val="20"/>
              </w:rPr>
            </w:pPr>
          </w:p>
        </w:tc>
        <w:tc>
          <w:tcPr>
            <w:tcW w:w="4680" w:type="dxa"/>
          </w:tcPr>
          <w:p w14:paraId="71831C15" w14:textId="26CEFFBB" w:rsidR="00143BE7" w:rsidRPr="00C474D1" w:rsidRDefault="00143BE7" w:rsidP="00143BE7">
            <w:pPr>
              <w:rPr>
                <w:rFonts w:ascii="Source Sans Pro" w:hAnsi="Source Sans Pro" w:cs="Calibri"/>
                <w:color w:val="E97132" w:themeColor="accent2"/>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4DD94C49" w14:textId="5FDE7CA3" w:rsidR="00143BE7" w:rsidRPr="00C474D1" w:rsidRDefault="00143BE7" w:rsidP="00143BE7">
            <w:pPr>
              <w:rPr>
                <w:rFonts w:ascii="Source Sans Pro" w:hAnsi="Source Sans Pro" w:cs="Calibri"/>
                <w:sz w:val="20"/>
                <w:szCs w:val="20"/>
              </w:rPr>
            </w:pPr>
            <w:r w:rsidRPr="00C474D1">
              <w:rPr>
                <w:rFonts w:ascii="Source Sans Pro" w:hAnsi="Source Sans Pro" w:cs="Calibri"/>
                <w:color w:val="000000" w:themeColor="text1"/>
                <w:sz w:val="20"/>
                <w:szCs w:val="20"/>
              </w:rPr>
              <w:t>None.</w:t>
            </w:r>
          </w:p>
        </w:tc>
      </w:tr>
      <w:tr w:rsidR="00143BE7" w:rsidRPr="00C474D1" w14:paraId="2DB125E8" w14:textId="77777777" w:rsidTr="00A721C8">
        <w:trPr>
          <w:cantSplit/>
        </w:trPr>
        <w:tc>
          <w:tcPr>
            <w:tcW w:w="3865" w:type="dxa"/>
          </w:tcPr>
          <w:p w14:paraId="69B54F39" w14:textId="77777777" w:rsidR="00143BE7"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40.  Cell salvage is recommended for the treatment of </w:t>
            </w:r>
            <w:r w:rsidR="00AF7CBA">
              <w:rPr>
                <w:rFonts w:ascii="Source Sans Pro" w:eastAsia="Calibri" w:hAnsi="Source Sans Pro" w:cs="Calibri"/>
                <w:kern w:val="0"/>
                <w:sz w:val="20"/>
                <w:szCs w:val="20"/>
                <w:lang w:bidi="en-US"/>
                <w14:ligatures w14:val="none"/>
              </w:rPr>
              <w:t>postpartum haemorrhage</w:t>
            </w:r>
            <w:r w:rsidR="00AF7CBA" w:rsidRPr="00C474D1">
              <w:rPr>
                <w:rFonts w:ascii="Source Sans Pro" w:hAnsi="Source Sans Pro" w:cs="Calibri"/>
                <w:sz w:val="20"/>
                <w:szCs w:val="20"/>
              </w:rPr>
              <w:t xml:space="preserve"> </w:t>
            </w:r>
            <w:r w:rsidRPr="00C474D1">
              <w:rPr>
                <w:rFonts w:ascii="Source Sans Pro" w:hAnsi="Source Sans Pro" w:cs="Calibri"/>
                <w:sz w:val="20"/>
                <w:szCs w:val="20"/>
              </w:rPr>
              <w:t>only in the context of rigorous research</w:t>
            </w:r>
          </w:p>
          <w:p w14:paraId="57EC7DED" w14:textId="3BB23C9E" w:rsidR="00AF7CBA" w:rsidRPr="00C474D1" w:rsidRDefault="00AF7CBA" w:rsidP="00143BE7">
            <w:pPr>
              <w:rPr>
                <w:rFonts w:ascii="Source Sans Pro" w:hAnsi="Source Sans Pro" w:cs="Calibri"/>
                <w:sz w:val="20"/>
                <w:szCs w:val="20"/>
              </w:rPr>
            </w:pPr>
          </w:p>
        </w:tc>
        <w:tc>
          <w:tcPr>
            <w:tcW w:w="4680" w:type="dxa"/>
          </w:tcPr>
          <w:p w14:paraId="26A7E4AF" w14:textId="7C617392" w:rsidR="00143BE7" w:rsidRPr="00C474D1" w:rsidRDefault="00143BE7" w:rsidP="00143BE7">
            <w:pPr>
              <w:rPr>
                <w:rFonts w:ascii="Source Sans Pro" w:hAnsi="Source Sans Pro" w:cs="Calibri"/>
                <w:i/>
                <w:iCs/>
                <w:sz w:val="20"/>
                <w:szCs w:val="20"/>
              </w:rPr>
            </w:pPr>
            <w:r w:rsidRPr="00C474D1">
              <w:rPr>
                <w:rFonts w:ascii="Source Sans Pro" w:hAnsi="Source Sans Pro" w:cs="Calibri"/>
                <w:i/>
                <w:iCs/>
                <w:color w:val="000000" w:themeColor="text1"/>
                <w:sz w:val="20"/>
                <w:szCs w:val="20"/>
              </w:rPr>
              <w:t>Not applicable.</w:t>
            </w:r>
          </w:p>
        </w:tc>
        <w:tc>
          <w:tcPr>
            <w:tcW w:w="6030" w:type="dxa"/>
          </w:tcPr>
          <w:p w14:paraId="11FCE385" w14:textId="247A69A5"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i/>
                <w:iCs/>
                <w:color w:val="000000" w:themeColor="text1"/>
                <w:sz w:val="20"/>
                <w:szCs w:val="20"/>
              </w:rPr>
              <w:t>Not applicable.</w:t>
            </w:r>
          </w:p>
        </w:tc>
      </w:tr>
      <w:tr w:rsidR="00143BE7" w:rsidRPr="00C474D1" w14:paraId="4C98CD86" w14:textId="77777777" w:rsidTr="00A721C8">
        <w:trPr>
          <w:cantSplit/>
        </w:trPr>
        <w:tc>
          <w:tcPr>
            <w:tcW w:w="3865" w:type="dxa"/>
          </w:tcPr>
          <w:p w14:paraId="3D735213" w14:textId="4C7B2DBA"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lastRenderedPageBreak/>
              <w:t xml:space="preserve">41. For women experiencing acute or ongoing </w:t>
            </w:r>
            <w:r w:rsidR="00AF7CBA">
              <w:rPr>
                <w:rFonts w:ascii="Source Sans Pro" w:eastAsia="Calibri" w:hAnsi="Source Sans Pro" w:cs="Calibri"/>
                <w:kern w:val="0"/>
                <w:sz w:val="20"/>
                <w:szCs w:val="20"/>
                <w:lang w:bidi="en-US"/>
                <w14:ligatures w14:val="none"/>
              </w:rPr>
              <w:t>postpartum haemorrhage</w:t>
            </w:r>
            <w:r w:rsidRPr="00C474D1">
              <w:rPr>
                <w:rFonts w:ascii="Source Sans Pro" w:hAnsi="Source Sans Pro" w:cs="Calibri"/>
                <w:sz w:val="20"/>
                <w:szCs w:val="20"/>
              </w:rPr>
              <w:t xml:space="preserve">, the decision to initiate transfusion of blood products should be based on </w:t>
            </w:r>
            <w:r w:rsidR="00AF7CBA">
              <w:rPr>
                <w:rFonts w:ascii="Source Sans Pro" w:hAnsi="Source Sans Pro" w:cs="Calibri"/>
                <w:sz w:val="20"/>
                <w:szCs w:val="20"/>
              </w:rPr>
              <w:t xml:space="preserve">the </w:t>
            </w:r>
            <w:r w:rsidRPr="00C474D1">
              <w:rPr>
                <w:rFonts w:ascii="Source Sans Pro" w:hAnsi="Source Sans Pro" w:cs="Calibri"/>
                <w:sz w:val="20"/>
                <w:szCs w:val="20"/>
              </w:rPr>
              <w:t>underlying risk, continuous clinical and haematological assessments, and clear protocols for optimizing their use.</w:t>
            </w:r>
          </w:p>
        </w:tc>
        <w:tc>
          <w:tcPr>
            <w:tcW w:w="4680" w:type="dxa"/>
          </w:tcPr>
          <w:p w14:paraId="544B688E"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Access</w:t>
            </w:r>
          </w:p>
          <w:p w14:paraId="417AA65F" w14:textId="61B1E3A5" w:rsidR="00143BE7" w:rsidRPr="00C474D1" w:rsidRDefault="00143BE7" w:rsidP="00143BE7">
            <w:pPr>
              <w:pStyle w:val="ListParagraph"/>
              <w:numPr>
                <w:ilvl w:val="0"/>
                <w:numId w:val="16"/>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In humanitarian emergencies, safe blood often becomes even more scarce of a resource. Blood products are likely to be rationed, and it may be exceedingly difficult to obtain safe blood for women with PPH requiring transfusion. </w:t>
            </w:r>
          </w:p>
          <w:p w14:paraId="755B7819" w14:textId="77777777" w:rsidR="00143BE7" w:rsidRPr="00C474D1" w:rsidRDefault="00143BE7" w:rsidP="00143BE7">
            <w:pPr>
              <w:rPr>
                <w:rFonts w:ascii="Source Sans Pro" w:hAnsi="Source Sans Pro" w:cs="Calibri"/>
                <w:sz w:val="20"/>
                <w:szCs w:val="20"/>
              </w:rPr>
            </w:pPr>
          </w:p>
          <w:p w14:paraId="6B34F0CB" w14:textId="77777777"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Infrastructure</w:t>
            </w:r>
          </w:p>
          <w:p w14:paraId="4017E3C5" w14:textId="6D85F166" w:rsidR="00143BE7" w:rsidRPr="00C474D1" w:rsidRDefault="00143BE7" w:rsidP="00143BE7">
            <w:pPr>
              <w:pStyle w:val="ListParagraph"/>
              <w:numPr>
                <w:ilvl w:val="0"/>
                <w:numId w:val="16"/>
              </w:numPr>
              <w:ind w:left="438"/>
              <w:rPr>
                <w:rFonts w:ascii="Source Sans Pro" w:hAnsi="Source Sans Pro" w:cs="Calibri"/>
                <w:sz w:val="20"/>
                <w:szCs w:val="20"/>
              </w:rPr>
            </w:pPr>
            <w:r w:rsidRPr="00C474D1">
              <w:rPr>
                <w:rFonts w:ascii="Source Sans Pro" w:hAnsi="Source Sans Pro" w:cs="Calibri"/>
                <w:sz w:val="20"/>
                <w:szCs w:val="20"/>
              </w:rPr>
              <w:t>Laboratory and blood banking facilities may be compromised by humanitarian emergencies, further reducing availability of this intervention.</w:t>
            </w:r>
          </w:p>
          <w:p w14:paraId="549ADF7D" w14:textId="172E7872" w:rsidR="00143BE7" w:rsidRPr="00C474D1" w:rsidRDefault="00143BE7" w:rsidP="00143BE7">
            <w:pPr>
              <w:rPr>
                <w:rFonts w:ascii="Source Sans Pro" w:hAnsi="Source Sans Pro" w:cs="Calibri"/>
                <w:sz w:val="20"/>
                <w:szCs w:val="20"/>
              </w:rPr>
            </w:pPr>
          </w:p>
        </w:tc>
        <w:tc>
          <w:tcPr>
            <w:tcW w:w="6030" w:type="dxa"/>
          </w:tcPr>
          <w:p w14:paraId="50D6B920" w14:textId="6BAD20AF"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Humanitarian preparedness and planning efforts should include pre-established criteria for rationing access to blood and blood products</w:t>
            </w:r>
            <w:r w:rsidR="00AF7CBA">
              <w:rPr>
                <w:rFonts w:ascii="Source Sans Pro" w:hAnsi="Source Sans Pro" w:cs="Calibri"/>
                <w:color w:val="000000" w:themeColor="text1"/>
                <w:sz w:val="20"/>
                <w:szCs w:val="20"/>
              </w:rPr>
              <w:t>,</w:t>
            </w:r>
            <w:r w:rsidRPr="00C474D1">
              <w:rPr>
                <w:rFonts w:ascii="Source Sans Pro" w:hAnsi="Source Sans Pro" w:cs="Calibri"/>
                <w:color w:val="000000" w:themeColor="text1"/>
                <w:sz w:val="20"/>
                <w:szCs w:val="20"/>
              </w:rPr>
              <w:t xml:space="preserve"> so these decisions are not made arbitrarily in the context of an emergency.</w:t>
            </w:r>
          </w:p>
          <w:p w14:paraId="00A383CB" w14:textId="77777777" w:rsidR="00143BE7" w:rsidRPr="00C474D1" w:rsidRDefault="00143BE7" w:rsidP="00143BE7">
            <w:pPr>
              <w:rPr>
                <w:rFonts w:ascii="Source Sans Pro" w:hAnsi="Source Sans Pro" w:cs="Calibri"/>
                <w:color w:val="000000" w:themeColor="text1"/>
                <w:sz w:val="20"/>
                <w:szCs w:val="20"/>
              </w:rPr>
            </w:pPr>
          </w:p>
          <w:p w14:paraId="0A65EE3B" w14:textId="43ECCF16"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Where possible, health workers should practice other pillars of Patient Blood Management as relevant to PPH to reduce women’s need for transfusion (e.g., offering supplementation to increase women’s iron stores during pregnancy, taking care to prevent perineal trauma, and promptly initiating the first-response treatment bundle and escalating care to minimize blood loss). </w:t>
            </w:r>
          </w:p>
          <w:p w14:paraId="245058E2" w14:textId="77777777" w:rsidR="00143BE7" w:rsidRPr="00C474D1" w:rsidRDefault="00143BE7" w:rsidP="00143BE7">
            <w:pPr>
              <w:rPr>
                <w:rFonts w:ascii="Source Sans Pro" w:hAnsi="Source Sans Pro" w:cs="Calibri"/>
                <w:color w:val="000000" w:themeColor="text1"/>
                <w:sz w:val="20"/>
                <w:szCs w:val="20"/>
              </w:rPr>
            </w:pPr>
          </w:p>
          <w:p w14:paraId="5EC62CCE"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For further information, refer to guidance in the MISP regarding indications of blood transfusion and universal infection control as well as objective to prevent the transmission of </w:t>
            </w:r>
            <w:proofErr w:type="gramStart"/>
            <w:r w:rsidRPr="00C474D1">
              <w:rPr>
                <w:rFonts w:ascii="Source Sans Pro" w:hAnsi="Source Sans Pro" w:cs="Calibri"/>
                <w:color w:val="000000" w:themeColor="text1"/>
                <w:sz w:val="20"/>
                <w:szCs w:val="20"/>
              </w:rPr>
              <w:t>sexually-transmitted</w:t>
            </w:r>
            <w:proofErr w:type="gramEnd"/>
            <w:r w:rsidRPr="00C474D1">
              <w:rPr>
                <w:rFonts w:ascii="Source Sans Pro" w:hAnsi="Source Sans Pro" w:cs="Calibri"/>
                <w:color w:val="000000" w:themeColor="text1"/>
                <w:sz w:val="20"/>
                <w:szCs w:val="20"/>
              </w:rPr>
              <w:t xml:space="preserve"> infections, including HIV </w:t>
            </w:r>
            <w:r w:rsidRPr="00AF7CBA">
              <w:rPr>
                <w:rFonts w:ascii="Source Sans Pro" w:hAnsi="Source Sans Pro" w:cs="Calibri"/>
                <w:i/>
                <w:iCs/>
                <w:noProof/>
                <w:color w:val="000000" w:themeColor="text1"/>
                <w:sz w:val="20"/>
                <w:szCs w:val="20"/>
              </w:rPr>
              <w:t>(7,18)</w:t>
            </w:r>
            <w:r w:rsidRPr="00C474D1">
              <w:rPr>
                <w:rFonts w:ascii="Source Sans Pro" w:hAnsi="Source Sans Pro" w:cs="Calibri"/>
                <w:color w:val="000000" w:themeColor="text1"/>
                <w:sz w:val="20"/>
                <w:szCs w:val="20"/>
              </w:rPr>
              <w:t>.</w:t>
            </w:r>
          </w:p>
          <w:p w14:paraId="0801EDC2" w14:textId="77777777" w:rsidR="00143BE7" w:rsidRPr="00C474D1" w:rsidRDefault="00143BE7" w:rsidP="00143BE7">
            <w:pPr>
              <w:rPr>
                <w:rFonts w:ascii="Source Sans Pro" w:hAnsi="Source Sans Pro" w:cs="Calibri"/>
                <w:color w:val="A02B93" w:themeColor="accent5"/>
                <w:sz w:val="20"/>
                <w:szCs w:val="20"/>
              </w:rPr>
            </w:pPr>
          </w:p>
          <w:p w14:paraId="547CA37D" w14:textId="3D3E9845" w:rsidR="00143BE7" w:rsidRPr="00C474D1" w:rsidRDefault="00143BE7" w:rsidP="00143BE7">
            <w:pPr>
              <w:rPr>
                <w:rFonts w:ascii="Source Sans Pro" w:hAnsi="Source Sans Pro" w:cs="Calibri"/>
                <w:color w:val="A02B93" w:themeColor="accent5"/>
                <w:sz w:val="20"/>
                <w:szCs w:val="20"/>
              </w:rPr>
            </w:pPr>
            <w:r w:rsidRPr="00C474D1">
              <w:rPr>
                <w:rFonts w:ascii="Source Sans Pro" w:hAnsi="Source Sans Pro" w:cs="Calibri"/>
                <w:color w:val="000000" w:themeColor="text1"/>
                <w:sz w:val="20"/>
                <w:szCs w:val="20"/>
              </w:rPr>
              <w:t xml:space="preserve">Supplies and equipment for providing safe blood transfusion after testing for HIV, syphilis, Hepatitis B and Hepatitis C are procured as part of the Inter-Agency Reproductive Health kit 12 (blood transfusion) </w:t>
            </w:r>
            <w:r w:rsidRPr="00AF7CBA">
              <w:rPr>
                <w:rFonts w:ascii="Source Sans Pro" w:hAnsi="Source Sans Pro" w:cs="Calibri"/>
                <w:i/>
                <w:iCs/>
                <w:color w:val="000000" w:themeColor="text1"/>
                <w:sz w:val="20"/>
                <w:szCs w:val="20"/>
              </w:rPr>
              <w:t>(16)</w:t>
            </w:r>
            <w:r w:rsidRPr="00C474D1">
              <w:rPr>
                <w:rFonts w:ascii="Source Sans Pro" w:hAnsi="Source Sans Pro" w:cs="Calibri"/>
                <w:color w:val="000000" w:themeColor="text1"/>
                <w:sz w:val="20"/>
                <w:szCs w:val="20"/>
              </w:rPr>
              <w:t>.</w:t>
            </w:r>
          </w:p>
        </w:tc>
      </w:tr>
      <w:tr w:rsidR="00143BE7" w:rsidRPr="00C474D1" w14:paraId="1653BD20" w14:textId="77777777" w:rsidTr="00A721C8">
        <w:trPr>
          <w:cantSplit/>
        </w:trPr>
        <w:tc>
          <w:tcPr>
            <w:tcW w:w="14575" w:type="dxa"/>
            <w:gridSpan w:val="3"/>
            <w:shd w:val="clear" w:color="auto" w:fill="A6A6A6" w:themeFill="background1" w:themeFillShade="A6"/>
          </w:tcPr>
          <w:p w14:paraId="5F1A7DAA" w14:textId="77777777" w:rsidR="00143BE7" w:rsidRPr="00C474D1" w:rsidRDefault="00143BE7" w:rsidP="00143BE7">
            <w:pPr>
              <w:rPr>
                <w:rFonts w:ascii="Source Sans Pro" w:hAnsi="Source Sans Pro" w:cs="Calibri"/>
                <w:b/>
                <w:bCs/>
                <w:sz w:val="20"/>
                <w:szCs w:val="20"/>
              </w:rPr>
            </w:pPr>
            <w:r w:rsidRPr="00C474D1">
              <w:rPr>
                <w:rFonts w:ascii="Source Sans Pro" w:hAnsi="Source Sans Pro" w:cs="Calibri"/>
                <w:b/>
                <w:bCs/>
                <w:sz w:val="20"/>
                <w:szCs w:val="20"/>
              </w:rPr>
              <w:t xml:space="preserve">G. </w:t>
            </w:r>
            <w:proofErr w:type="gramStart"/>
            <w:r w:rsidRPr="00C474D1">
              <w:rPr>
                <w:rFonts w:ascii="Source Sans Pro" w:hAnsi="Source Sans Pro" w:cs="Calibri"/>
                <w:b/>
                <w:bCs/>
                <w:sz w:val="20"/>
                <w:szCs w:val="20"/>
              </w:rPr>
              <w:t>Post-PPH</w:t>
            </w:r>
            <w:proofErr w:type="gramEnd"/>
            <w:r w:rsidRPr="00C474D1">
              <w:rPr>
                <w:rFonts w:ascii="Source Sans Pro" w:hAnsi="Source Sans Pro" w:cs="Calibri"/>
                <w:b/>
                <w:bCs/>
                <w:sz w:val="20"/>
                <w:szCs w:val="20"/>
              </w:rPr>
              <w:t xml:space="preserve"> supportive care</w:t>
            </w:r>
          </w:p>
        </w:tc>
      </w:tr>
      <w:tr w:rsidR="00143BE7" w:rsidRPr="00C474D1" w14:paraId="4D892A63" w14:textId="77777777" w:rsidTr="00A721C8">
        <w:trPr>
          <w:cantSplit/>
        </w:trPr>
        <w:tc>
          <w:tcPr>
            <w:tcW w:w="14575" w:type="dxa"/>
            <w:gridSpan w:val="3"/>
          </w:tcPr>
          <w:p w14:paraId="0C6659A1" w14:textId="1E9A0A30" w:rsidR="00143BE7" w:rsidRPr="00C474D1" w:rsidRDefault="00143BE7" w:rsidP="00143BE7">
            <w:pPr>
              <w:rPr>
                <w:rFonts w:ascii="Source Sans Pro" w:hAnsi="Source Sans Pro" w:cs="Calibri"/>
                <w:b/>
                <w:bCs/>
                <w:sz w:val="20"/>
                <w:szCs w:val="20"/>
              </w:rPr>
            </w:pPr>
            <w:r w:rsidRPr="00C474D1">
              <w:rPr>
                <w:rFonts w:ascii="Source Sans Pro" w:hAnsi="Source Sans Pro" w:cs="Calibri"/>
                <w:b/>
                <w:bCs/>
                <w:color w:val="000000" w:themeColor="text1"/>
                <w:sz w:val="20"/>
                <w:szCs w:val="20"/>
              </w:rPr>
              <w:t>Postnatal care is not part of the MISP</w:t>
            </w:r>
            <w:r w:rsidRPr="00C474D1">
              <w:rPr>
                <w:rFonts w:ascii="Source Sans Pro" w:hAnsi="Source Sans Pro" w:cs="Calibri"/>
                <w:color w:val="000000" w:themeColor="text1"/>
                <w:sz w:val="20"/>
                <w:szCs w:val="20"/>
              </w:rPr>
              <w:t>, so these interventions would not have priority consideration as part of an emergency response. Once the MISP is fully implemented, the feasibility and priority of these interventions would need to be assessed in line with other consideration in the effort to develop from MISP to comprehensive sexual and reproductive health services.</w:t>
            </w:r>
          </w:p>
        </w:tc>
      </w:tr>
      <w:tr w:rsidR="00143BE7" w:rsidRPr="00C474D1" w14:paraId="0B2BBEFF" w14:textId="77777777" w:rsidTr="00A721C8">
        <w:trPr>
          <w:cantSplit/>
        </w:trPr>
        <w:tc>
          <w:tcPr>
            <w:tcW w:w="3865" w:type="dxa"/>
          </w:tcPr>
          <w:p w14:paraId="258B2A5A" w14:textId="49C7F7F7"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42. Oral iron supplementation, either alone or in combination with folic acid, may be provided to postpartum women for 6–12 weeks </w:t>
            </w:r>
            <w:r w:rsidR="00AF7CBA">
              <w:rPr>
                <w:rFonts w:ascii="Source Sans Pro" w:hAnsi="Source Sans Pro" w:cs="Calibri"/>
                <w:sz w:val="20"/>
                <w:szCs w:val="20"/>
              </w:rPr>
              <w:t>after</w:t>
            </w:r>
            <w:r w:rsidRPr="00C474D1">
              <w:rPr>
                <w:rFonts w:ascii="Source Sans Pro" w:hAnsi="Source Sans Pro" w:cs="Calibri"/>
                <w:sz w:val="20"/>
                <w:szCs w:val="20"/>
              </w:rPr>
              <w:t xml:space="preserve"> delivery for reducing the risk of </w:t>
            </w:r>
            <w:r w:rsidRPr="00C474D1">
              <w:rPr>
                <w:rFonts w:ascii="Source Sans Pro" w:hAnsi="Source Sans Pro" w:cs="Calibri"/>
                <w:sz w:val="20"/>
                <w:szCs w:val="20"/>
              </w:rPr>
              <w:lastRenderedPageBreak/>
              <w:t>anaemia in settings where gestational anaemia is of public health concern.</w:t>
            </w:r>
          </w:p>
        </w:tc>
        <w:tc>
          <w:tcPr>
            <w:tcW w:w="4680" w:type="dxa"/>
          </w:tcPr>
          <w:p w14:paraId="1CBE9BD9"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Commodities and supply chain</w:t>
            </w:r>
          </w:p>
          <w:p w14:paraId="576D947E" w14:textId="77777777" w:rsidR="00143BE7" w:rsidRPr="00C474D1" w:rsidRDefault="00143BE7" w:rsidP="00143BE7">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Forecasting, procurement and distribution of supplements may be disrupted due to the emergency.</w:t>
            </w:r>
          </w:p>
          <w:p w14:paraId="21E69C9D" w14:textId="2B481264" w:rsidR="00143BE7" w:rsidRPr="00C474D1" w:rsidRDefault="00143BE7" w:rsidP="00143BE7">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Oral iron and folic acid supplements (including multiple micronutrient supplements with oral iron and folic acid) are not included in Inter-Agency Reproductive Health kits and so need to be procured through other mechanisms.</w:t>
            </w:r>
          </w:p>
          <w:p w14:paraId="2712E9A9" w14:textId="77777777" w:rsidR="00143BE7" w:rsidRPr="00C474D1" w:rsidRDefault="00143BE7" w:rsidP="00143BE7">
            <w:pPr>
              <w:rPr>
                <w:rFonts w:ascii="Source Sans Pro" w:hAnsi="Source Sans Pro" w:cs="Calibri"/>
                <w:color w:val="000000" w:themeColor="text1"/>
                <w:sz w:val="20"/>
                <w:szCs w:val="20"/>
              </w:rPr>
            </w:pPr>
          </w:p>
          <w:p w14:paraId="1B9ABBD5"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Access</w:t>
            </w:r>
          </w:p>
          <w:p w14:paraId="1A24A024" w14:textId="77777777" w:rsidR="00143BE7" w:rsidRPr="00C474D1" w:rsidRDefault="00143BE7" w:rsidP="00143BE7">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Access challenges due to safety and mobility considerations may mean that women may not seek routine postnatal care. Women may also not know where to seek care within the context of a humanitarian emergency.</w:t>
            </w:r>
          </w:p>
          <w:p w14:paraId="66E47B3C" w14:textId="52EBCBEB" w:rsidR="00143BE7" w:rsidRPr="00C474D1" w:rsidRDefault="00143BE7" w:rsidP="00143BE7">
            <w:pPr>
              <w:rPr>
                <w:rFonts w:ascii="Source Sans Pro" w:hAnsi="Source Sans Pro" w:cs="Calibri"/>
                <w:color w:val="000000" w:themeColor="text1"/>
                <w:sz w:val="20"/>
                <w:szCs w:val="20"/>
              </w:rPr>
            </w:pPr>
          </w:p>
        </w:tc>
        <w:tc>
          <w:tcPr>
            <w:tcW w:w="6030" w:type="dxa"/>
          </w:tcPr>
          <w:p w14:paraId="620F1BBE" w14:textId="131A90C3"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b/>
                <w:bCs/>
                <w:color w:val="000000" w:themeColor="text1"/>
                <w:sz w:val="20"/>
                <w:szCs w:val="20"/>
              </w:rPr>
              <w:lastRenderedPageBreak/>
              <w:t>Postnatal care is not part of the MISP</w:t>
            </w:r>
            <w:r w:rsidRPr="00C474D1">
              <w:rPr>
                <w:rFonts w:ascii="Source Sans Pro" w:hAnsi="Source Sans Pro" w:cs="Calibri"/>
                <w:color w:val="000000" w:themeColor="text1"/>
                <w:sz w:val="20"/>
                <w:szCs w:val="20"/>
              </w:rPr>
              <w:t xml:space="preserve">, so this intervention would not have priority consideration as part of an emergency response. Once the MISP is fully implemented, the feasibility and priority of this intervention would need to be assessed in line with other </w:t>
            </w:r>
            <w:r w:rsidRPr="00C474D1">
              <w:rPr>
                <w:rFonts w:ascii="Source Sans Pro" w:hAnsi="Source Sans Pro" w:cs="Calibri"/>
                <w:color w:val="000000" w:themeColor="text1"/>
                <w:sz w:val="20"/>
                <w:szCs w:val="20"/>
              </w:rPr>
              <w:lastRenderedPageBreak/>
              <w:t>consideration in the effort to develop from MISP to comprehensive sexual and reproductive health services.</w:t>
            </w:r>
          </w:p>
          <w:p w14:paraId="5DD3EA40" w14:textId="77777777" w:rsidR="00143BE7" w:rsidRPr="00C474D1" w:rsidRDefault="00143BE7" w:rsidP="00143BE7">
            <w:pPr>
              <w:rPr>
                <w:rFonts w:ascii="Source Sans Pro" w:hAnsi="Source Sans Pro" w:cs="Calibri"/>
                <w:color w:val="000000" w:themeColor="text1"/>
                <w:sz w:val="20"/>
                <w:szCs w:val="20"/>
              </w:rPr>
            </w:pPr>
          </w:p>
          <w:p w14:paraId="25CE8DFE" w14:textId="5A514196"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In 2007, WHO, the World Food Programme and UNICEF issued a joint statement on preventing and controlling micronutrient deficiencies in populations affected by an emergency, which says that “[p]regnant and lactating women should be given [multiple micronutrient supplements with oral iron and folic acid] providing one Recommended Nutrient Intake of micronutrients daily, whether they receive fortified rations or not. Iron and folic acid supplements, when already provided, should be continued…The multiple micronutrient supplements should be given until the emergency is over and access to nutrient rich foods is restored” </w:t>
            </w:r>
            <w:r w:rsidRPr="00AF7CBA">
              <w:rPr>
                <w:rFonts w:ascii="Source Sans Pro" w:hAnsi="Source Sans Pro" w:cs="Calibri"/>
                <w:i/>
                <w:iCs/>
                <w:noProof/>
                <w:color w:val="000000" w:themeColor="text1"/>
                <w:sz w:val="20"/>
                <w:szCs w:val="20"/>
              </w:rPr>
              <w:t>(14, p. 2)</w:t>
            </w:r>
            <w:r w:rsidRPr="00C474D1">
              <w:rPr>
                <w:rFonts w:ascii="Source Sans Pro" w:hAnsi="Source Sans Pro" w:cs="Calibri"/>
                <w:color w:val="000000" w:themeColor="text1"/>
                <w:sz w:val="20"/>
                <w:szCs w:val="20"/>
              </w:rPr>
              <w:t xml:space="preserve">. </w:t>
            </w:r>
          </w:p>
          <w:p w14:paraId="002A0811" w14:textId="77777777" w:rsidR="00143BE7" w:rsidRPr="00C474D1" w:rsidRDefault="00143BE7" w:rsidP="00143BE7">
            <w:pPr>
              <w:rPr>
                <w:rFonts w:ascii="Source Sans Pro" w:hAnsi="Source Sans Pro" w:cs="Calibri"/>
                <w:color w:val="000000" w:themeColor="text1"/>
                <w:sz w:val="20"/>
                <w:szCs w:val="20"/>
              </w:rPr>
            </w:pPr>
          </w:p>
          <w:p w14:paraId="67842FE4" w14:textId="128F086C"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In humanitarian emergencies, multiple micronutrient supplements with oral iron and folic acid can be procured in-country by UNICEF Country Offices and certain non-governmental organizations (e.g., Vitamin Angels Alliance). Most of these supplements are procured internationally and subject to supply chains disruptions, so planning and preparedness efforts may want to consider establishing buffer stocks, as well as policy to support the development of local or regional production </w:t>
            </w:r>
            <w:r w:rsidRPr="00AF7CBA">
              <w:rPr>
                <w:rFonts w:ascii="Source Sans Pro" w:hAnsi="Source Sans Pro" w:cs="Calibri"/>
                <w:i/>
                <w:iCs/>
                <w:noProof/>
                <w:color w:val="000000" w:themeColor="text1"/>
                <w:sz w:val="20"/>
                <w:szCs w:val="20"/>
              </w:rPr>
              <w:t>(15)</w:t>
            </w:r>
            <w:r w:rsidRPr="00C474D1">
              <w:rPr>
                <w:rFonts w:ascii="Source Sans Pro" w:hAnsi="Source Sans Pro" w:cs="Calibri"/>
                <w:color w:val="000000" w:themeColor="text1"/>
                <w:sz w:val="20"/>
                <w:szCs w:val="20"/>
              </w:rPr>
              <w:t>.</w:t>
            </w:r>
          </w:p>
          <w:p w14:paraId="7198BA30" w14:textId="3FB86C61" w:rsidR="00143BE7" w:rsidRPr="00C474D1" w:rsidRDefault="00143BE7" w:rsidP="00143BE7">
            <w:pPr>
              <w:rPr>
                <w:rFonts w:ascii="Source Sans Pro" w:hAnsi="Source Sans Pro" w:cs="Calibri"/>
                <w:color w:val="000000" w:themeColor="text1"/>
                <w:sz w:val="20"/>
                <w:szCs w:val="20"/>
              </w:rPr>
            </w:pPr>
          </w:p>
        </w:tc>
      </w:tr>
      <w:tr w:rsidR="00143BE7" w:rsidRPr="00C474D1" w14:paraId="2ED39C14" w14:textId="77777777" w:rsidTr="00A721C8">
        <w:trPr>
          <w:cantSplit/>
        </w:trPr>
        <w:tc>
          <w:tcPr>
            <w:tcW w:w="3865" w:type="dxa"/>
          </w:tcPr>
          <w:p w14:paraId="284B0458" w14:textId="459020C2"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lastRenderedPageBreak/>
              <w:t xml:space="preserve">43. Intravenous iron therapy is recommended over oral iron therapy for women with iron-deficiency anaemia after birth when oral iron cannot be used or is not tolerated or there is a clinical need to treat women with severe iron-deficiency anaemia rapidly, provided staff are trained </w:t>
            </w:r>
            <w:r w:rsidRPr="00C474D1">
              <w:rPr>
                <w:rFonts w:ascii="Source Sans Pro" w:hAnsi="Source Sans Pro" w:cs="Calibri"/>
                <w:sz w:val="20"/>
                <w:szCs w:val="20"/>
              </w:rPr>
              <w:lastRenderedPageBreak/>
              <w:t>to evaluate and manage anaphylactic reactions.</w:t>
            </w:r>
          </w:p>
        </w:tc>
        <w:tc>
          <w:tcPr>
            <w:tcW w:w="4680" w:type="dxa"/>
          </w:tcPr>
          <w:p w14:paraId="7976624B"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Norms and policy</w:t>
            </w:r>
          </w:p>
          <w:p w14:paraId="4DA5D679" w14:textId="4A335334" w:rsidR="00143BE7" w:rsidRPr="00C474D1" w:rsidRDefault="00143BE7" w:rsidP="00143BE7">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Midwives may not be authorized to administer intravenous fluids or may require physician supervision to do so, depending on their scope of practice in-country.</w:t>
            </w:r>
          </w:p>
          <w:p w14:paraId="6E21CA21" w14:textId="77777777" w:rsidR="00143BE7" w:rsidRDefault="00143BE7" w:rsidP="00143BE7">
            <w:pPr>
              <w:rPr>
                <w:rFonts w:ascii="Source Sans Pro" w:hAnsi="Source Sans Pro" w:cs="Calibri"/>
                <w:color w:val="000000" w:themeColor="text1"/>
                <w:sz w:val="20"/>
                <w:szCs w:val="20"/>
              </w:rPr>
            </w:pPr>
          </w:p>
          <w:p w14:paraId="49CB7C96" w14:textId="77777777" w:rsidR="00AF7CBA" w:rsidRPr="00C474D1" w:rsidRDefault="00AF7CBA" w:rsidP="00143BE7">
            <w:pPr>
              <w:rPr>
                <w:rFonts w:ascii="Source Sans Pro" w:hAnsi="Source Sans Pro" w:cs="Calibri"/>
                <w:color w:val="000000" w:themeColor="text1"/>
                <w:sz w:val="20"/>
                <w:szCs w:val="20"/>
              </w:rPr>
            </w:pPr>
          </w:p>
          <w:p w14:paraId="21543C97"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Human resources</w:t>
            </w:r>
          </w:p>
          <w:p w14:paraId="37A53636" w14:textId="77777777" w:rsidR="00143BE7" w:rsidRPr="00C474D1" w:rsidRDefault="00143BE7" w:rsidP="00143BE7">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To safely implement this recommendation, health workers need training to identify signs of anaphylaxis and differentiate those from </w:t>
            </w:r>
            <w:proofErr w:type="spellStart"/>
            <w:r w:rsidRPr="00C474D1">
              <w:rPr>
                <w:rFonts w:ascii="Source Sans Pro" w:hAnsi="Source Sans Pro" w:cs="Calibri"/>
                <w:color w:val="000000" w:themeColor="text1"/>
                <w:sz w:val="20"/>
                <w:szCs w:val="20"/>
              </w:rPr>
              <w:t>Fishbane</w:t>
            </w:r>
            <w:proofErr w:type="spellEnd"/>
            <w:r w:rsidRPr="00C474D1">
              <w:rPr>
                <w:rFonts w:ascii="Source Sans Pro" w:hAnsi="Source Sans Pro" w:cs="Calibri"/>
                <w:color w:val="000000" w:themeColor="text1"/>
                <w:sz w:val="20"/>
                <w:szCs w:val="20"/>
              </w:rPr>
              <w:t xml:space="preserve"> reactions. Providing such training may not be feasible in some humanitarian settings.</w:t>
            </w:r>
          </w:p>
          <w:p w14:paraId="581D88C9" w14:textId="77777777" w:rsidR="00143BE7" w:rsidRPr="00C474D1" w:rsidRDefault="00143BE7" w:rsidP="00143BE7">
            <w:pPr>
              <w:rPr>
                <w:rFonts w:ascii="Source Sans Pro" w:hAnsi="Source Sans Pro" w:cs="Calibri"/>
                <w:color w:val="000000" w:themeColor="text1"/>
                <w:sz w:val="20"/>
                <w:szCs w:val="20"/>
              </w:rPr>
            </w:pPr>
          </w:p>
          <w:p w14:paraId="001578B1"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Infrastructure</w:t>
            </w:r>
          </w:p>
          <w:p w14:paraId="52C3C078" w14:textId="77777777" w:rsidR="00143BE7" w:rsidRPr="00C474D1" w:rsidRDefault="00143BE7" w:rsidP="00143BE7">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Service delivery infrastructure to respond to anaphylaxis is needed to safely implement this recommendation. Such infrastructure and the resources to manage anaphylaxis may not be available in some humanitarian settings. In such circumstances, the risks associated with administering this intervention may outweigh the benefits.</w:t>
            </w:r>
          </w:p>
          <w:p w14:paraId="3ABB8ED7" w14:textId="77777777" w:rsidR="00143BE7" w:rsidRPr="00C474D1" w:rsidRDefault="00143BE7" w:rsidP="00143BE7">
            <w:pPr>
              <w:rPr>
                <w:rFonts w:ascii="Source Sans Pro" w:hAnsi="Source Sans Pro" w:cs="Calibri"/>
                <w:color w:val="000000" w:themeColor="text1"/>
                <w:sz w:val="20"/>
                <w:szCs w:val="20"/>
              </w:rPr>
            </w:pPr>
          </w:p>
          <w:p w14:paraId="4863AE03"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Commodities and supply chain</w:t>
            </w:r>
          </w:p>
          <w:p w14:paraId="3317961D" w14:textId="77777777" w:rsidR="00143BE7" w:rsidRPr="00C474D1" w:rsidRDefault="00143BE7" w:rsidP="00143BE7">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Forecasting, procurement and distribution of supplements may be disrupted due to the emergency.</w:t>
            </w:r>
          </w:p>
          <w:p w14:paraId="292FB4C8" w14:textId="340AE68F" w:rsidR="00143BE7" w:rsidRPr="00AF7CBA" w:rsidRDefault="00143BE7" w:rsidP="00143BE7">
            <w:pPr>
              <w:pStyle w:val="ListParagraph"/>
              <w:numPr>
                <w:ilvl w:val="0"/>
                <w:numId w:val="13"/>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Intravenous iron preparations are not included in Inter-Agency Reproductive Health kits and so need to be procured through other mechanisms.</w:t>
            </w:r>
          </w:p>
        </w:tc>
        <w:tc>
          <w:tcPr>
            <w:tcW w:w="6030" w:type="dxa"/>
          </w:tcPr>
          <w:p w14:paraId="1266EE29" w14:textId="77777777" w:rsidR="00143BE7" w:rsidRPr="00C474D1" w:rsidRDefault="00143BE7" w:rsidP="00143BE7">
            <w:pPr>
              <w:tabs>
                <w:tab w:val="left" w:pos="1683"/>
              </w:tabs>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lastRenderedPageBreak/>
              <w:t>Planning and preparedness efforts may consider the need for policy change to broaden midwives’ scope of practice, generally or within the context of a declared emergency. Any change to scope of practice will need to be supported by training to reinforce the activities included within the broadened scope.</w:t>
            </w:r>
          </w:p>
          <w:p w14:paraId="11CB5378" w14:textId="77777777" w:rsidR="00143BE7" w:rsidRPr="00C474D1" w:rsidRDefault="00143BE7" w:rsidP="00143BE7">
            <w:pPr>
              <w:tabs>
                <w:tab w:val="left" w:pos="1683"/>
              </w:tabs>
              <w:rPr>
                <w:rFonts w:ascii="Source Sans Pro" w:hAnsi="Source Sans Pro" w:cs="Calibri"/>
                <w:sz w:val="20"/>
                <w:szCs w:val="20"/>
              </w:rPr>
            </w:pPr>
          </w:p>
          <w:p w14:paraId="404DDB64" w14:textId="77777777" w:rsidR="00143BE7" w:rsidRPr="00C474D1" w:rsidRDefault="00143BE7" w:rsidP="00143BE7">
            <w:pPr>
              <w:tabs>
                <w:tab w:val="left" w:pos="1683"/>
              </w:tabs>
              <w:rPr>
                <w:rFonts w:ascii="Source Sans Pro" w:hAnsi="Source Sans Pro" w:cs="Calibri"/>
                <w:sz w:val="20"/>
                <w:szCs w:val="20"/>
              </w:rPr>
            </w:pPr>
            <w:r w:rsidRPr="00C474D1">
              <w:rPr>
                <w:rFonts w:ascii="Source Sans Pro" w:hAnsi="Source Sans Pro" w:cs="Calibri"/>
                <w:sz w:val="20"/>
                <w:szCs w:val="20"/>
              </w:rPr>
              <w:lastRenderedPageBreak/>
              <w:t xml:space="preserve">Identifying and managing anaphylaxis, including differentiation between anaphylaxis and </w:t>
            </w:r>
            <w:proofErr w:type="spellStart"/>
            <w:r w:rsidRPr="00C474D1">
              <w:rPr>
                <w:rFonts w:ascii="Source Sans Pro" w:hAnsi="Source Sans Pro" w:cs="Calibri"/>
                <w:sz w:val="20"/>
                <w:szCs w:val="20"/>
              </w:rPr>
              <w:t>Fishbane</w:t>
            </w:r>
            <w:proofErr w:type="spellEnd"/>
            <w:r w:rsidRPr="00C474D1">
              <w:rPr>
                <w:rFonts w:ascii="Source Sans Pro" w:hAnsi="Source Sans Pro" w:cs="Calibri"/>
                <w:sz w:val="20"/>
                <w:szCs w:val="20"/>
              </w:rPr>
              <w:t xml:space="preserve"> reactions, is not included in the training materials for the prevention, diagnosis and treatment of postpartum haemorrhage that accompany this guideline and implementation toolkit. This training would need to be considered apart from existing resources to support implementation of postpartum haemorrhage recommendations.</w:t>
            </w:r>
          </w:p>
          <w:p w14:paraId="05E65908" w14:textId="77777777" w:rsidR="00143BE7" w:rsidRPr="00C474D1" w:rsidRDefault="00143BE7" w:rsidP="00143BE7">
            <w:pPr>
              <w:tabs>
                <w:tab w:val="left" w:pos="1683"/>
              </w:tabs>
              <w:rPr>
                <w:rFonts w:ascii="Source Sans Pro" w:hAnsi="Source Sans Pro" w:cs="Calibri"/>
                <w:sz w:val="20"/>
                <w:szCs w:val="20"/>
              </w:rPr>
            </w:pPr>
          </w:p>
          <w:p w14:paraId="26373406" w14:textId="31507B92"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There is not currently humanitarian-specific infrastructure to support procurement of intravenous iron preparations during emergencies. These preparations can be costly and may not meet cost-effectiveness considerations specific to emergencies.</w:t>
            </w:r>
          </w:p>
        </w:tc>
      </w:tr>
      <w:tr w:rsidR="00143BE7" w:rsidRPr="00C474D1" w14:paraId="29AB2D64" w14:textId="77777777" w:rsidTr="00A721C8">
        <w:trPr>
          <w:cantSplit/>
        </w:trPr>
        <w:tc>
          <w:tcPr>
            <w:tcW w:w="14575" w:type="dxa"/>
            <w:gridSpan w:val="3"/>
            <w:shd w:val="clear" w:color="auto" w:fill="A6A6A6" w:themeFill="background1" w:themeFillShade="A6"/>
          </w:tcPr>
          <w:p w14:paraId="07177333" w14:textId="77777777" w:rsidR="00143BE7" w:rsidRPr="00C474D1" w:rsidRDefault="00143BE7" w:rsidP="00143BE7">
            <w:pPr>
              <w:rPr>
                <w:rFonts w:ascii="Source Sans Pro" w:hAnsi="Source Sans Pro" w:cs="Calibri"/>
                <w:b/>
                <w:bCs/>
                <w:sz w:val="20"/>
                <w:szCs w:val="20"/>
              </w:rPr>
            </w:pPr>
            <w:r w:rsidRPr="00C474D1">
              <w:rPr>
                <w:rFonts w:ascii="Source Sans Pro" w:hAnsi="Source Sans Pro" w:cs="Calibri"/>
                <w:b/>
                <w:bCs/>
                <w:sz w:val="20"/>
                <w:szCs w:val="20"/>
              </w:rPr>
              <w:lastRenderedPageBreak/>
              <w:t>H. Health systems and organisation of care</w:t>
            </w:r>
          </w:p>
        </w:tc>
      </w:tr>
      <w:tr w:rsidR="00143BE7" w:rsidRPr="00C474D1" w14:paraId="3BEC92F8" w14:textId="77777777" w:rsidTr="00A721C8">
        <w:trPr>
          <w:cantSplit/>
        </w:trPr>
        <w:tc>
          <w:tcPr>
            <w:tcW w:w="3865" w:type="dxa"/>
          </w:tcPr>
          <w:p w14:paraId="26F92235" w14:textId="73C971AE"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44. The use of formal protocols by health facilities for the prevention and treatment of </w:t>
            </w:r>
            <w:r w:rsidR="00AF7CBA">
              <w:rPr>
                <w:rFonts w:ascii="Source Sans Pro" w:eastAsia="Calibri" w:hAnsi="Source Sans Pro" w:cs="Calibri"/>
                <w:kern w:val="0"/>
                <w:sz w:val="20"/>
                <w:szCs w:val="20"/>
                <w:lang w:bidi="en-US"/>
                <w14:ligatures w14:val="none"/>
              </w:rPr>
              <w:t xml:space="preserve">postpartum haemorrhage </w:t>
            </w:r>
            <w:r w:rsidRPr="00C474D1">
              <w:rPr>
                <w:rFonts w:ascii="Source Sans Pro" w:hAnsi="Source Sans Pro" w:cs="Calibri"/>
                <w:sz w:val="20"/>
                <w:szCs w:val="20"/>
              </w:rPr>
              <w:t>is recommended.</w:t>
            </w:r>
          </w:p>
        </w:tc>
        <w:tc>
          <w:tcPr>
            <w:tcW w:w="4680" w:type="dxa"/>
          </w:tcPr>
          <w:p w14:paraId="3EA20CAB" w14:textId="01A254C4"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6FC38C5C" w14:textId="32DA3A0E"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Job aides and posters are provided as part of the Inter-Agency Reproductive Health kits 6B (clinical delivery assistance for midwives) </w:t>
            </w:r>
            <w:r w:rsidRPr="00AF7CBA">
              <w:rPr>
                <w:rFonts w:ascii="Source Sans Pro" w:hAnsi="Source Sans Pro" w:cs="Calibri"/>
                <w:i/>
                <w:iCs/>
                <w:noProof/>
                <w:color w:val="000000" w:themeColor="text1"/>
                <w:sz w:val="20"/>
                <w:szCs w:val="20"/>
              </w:rPr>
              <w:t>(16)</w:t>
            </w:r>
            <w:r w:rsidRPr="00C474D1">
              <w:rPr>
                <w:rFonts w:ascii="Source Sans Pro" w:hAnsi="Source Sans Pro" w:cs="Calibri"/>
                <w:color w:val="000000" w:themeColor="text1"/>
                <w:sz w:val="20"/>
                <w:szCs w:val="20"/>
              </w:rPr>
              <w:t>.</w:t>
            </w:r>
          </w:p>
        </w:tc>
      </w:tr>
      <w:tr w:rsidR="00143BE7" w:rsidRPr="00C474D1" w14:paraId="522A38F2" w14:textId="77777777" w:rsidTr="00A721C8">
        <w:trPr>
          <w:cantSplit/>
        </w:trPr>
        <w:tc>
          <w:tcPr>
            <w:tcW w:w="3865" w:type="dxa"/>
          </w:tcPr>
          <w:p w14:paraId="7DCEFD25" w14:textId="1CBDB42C"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lastRenderedPageBreak/>
              <w:t>45. The use of formal protocols for referral of women to a higher level of care is recommended for health facilities.</w:t>
            </w:r>
          </w:p>
        </w:tc>
        <w:tc>
          <w:tcPr>
            <w:tcW w:w="4680" w:type="dxa"/>
          </w:tcPr>
          <w:p w14:paraId="65D06680" w14:textId="77777777"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Access</w:t>
            </w:r>
          </w:p>
          <w:p w14:paraId="08D27878" w14:textId="0519451C" w:rsidR="00143BE7" w:rsidRPr="00C474D1" w:rsidRDefault="00143BE7" w:rsidP="00143BE7">
            <w:pPr>
              <w:pStyle w:val="ListParagraph"/>
              <w:numPr>
                <w:ilvl w:val="0"/>
                <w:numId w:val="21"/>
              </w:numPr>
              <w:ind w:left="438"/>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Safety and mobility considerations (including conflict, roadblocks, checkpoints, explosives and policy/military/paramilitary mobilizations) may complicate or prevent timely referral and transfer of pregnant women, as may </w:t>
            </w:r>
            <w:proofErr w:type="spellStart"/>
            <w:r w:rsidRPr="00C474D1">
              <w:rPr>
                <w:rFonts w:ascii="Source Sans Pro" w:hAnsi="Source Sans Pro" w:cs="Calibri"/>
                <w:color w:val="000000" w:themeColor="text1"/>
                <w:sz w:val="20"/>
                <w:szCs w:val="20"/>
              </w:rPr>
              <w:t>damaged</w:t>
            </w:r>
            <w:proofErr w:type="spellEnd"/>
            <w:r w:rsidRPr="00C474D1">
              <w:rPr>
                <w:rFonts w:ascii="Source Sans Pro" w:hAnsi="Source Sans Pro" w:cs="Calibri"/>
                <w:color w:val="000000" w:themeColor="text1"/>
                <w:sz w:val="20"/>
                <w:szCs w:val="20"/>
              </w:rPr>
              <w:t xml:space="preserve"> or destroyed infrastructure. </w:t>
            </w:r>
          </w:p>
        </w:tc>
        <w:tc>
          <w:tcPr>
            <w:tcW w:w="6030" w:type="dxa"/>
          </w:tcPr>
          <w:p w14:paraId="5B57CB97" w14:textId="61621A9F"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 xml:space="preserve">The principal of medical neutrality must be respected in humanitarian settings to allow health workers to safely transfer postpartum women experiencing </w:t>
            </w:r>
            <w:r w:rsidR="00AF7CBA">
              <w:rPr>
                <w:rFonts w:ascii="Source Sans Pro" w:hAnsi="Source Sans Pro" w:cs="Calibri"/>
                <w:color w:val="000000" w:themeColor="text1"/>
                <w:sz w:val="20"/>
                <w:szCs w:val="20"/>
              </w:rPr>
              <w:t>PPH</w:t>
            </w:r>
            <w:r w:rsidRPr="00C474D1">
              <w:rPr>
                <w:rFonts w:ascii="Source Sans Pro" w:hAnsi="Source Sans Pro" w:cs="Calibri"/>
                <w:color w:val="000000" w:themeColor="text1"/>
                <w:sz w:val="20"/>
                <w:szCs w:val="20"/>
              </w:rPr>
              <w:t xml:space="preserve"> to facilities where they can receive definitive, lifesaving care.</w:t>
            </w:r>
          </w:p>
        </w:tc>
      </w:tr>
      <w:tr w:rsidR="00143BE7" w:rsidRPr="00C474D1" w14:paraId="037DC916" w14:textId="77777777" w:rsidTr="00A721C8">
        <w:trPr>
          <w:cantSplit/>
        </w:trPr>
        <w:tc>
          <w:tcPr>
            <w:tcW w:w="3865" w:type="dxa"/>
          </w:tcPr>
          <w:p w14:paraId="38D774A1" w14:textId="14009EAF"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46. The use of simulations of </w:t>
            </w:r>
            <w:r w:rsidR="00AF7CBA">
              <w:rPr>
                <w:rFonts w:ascii="Source Sans Pro" w:eastAsia="Calibri" w:hAnsi="Source Sans Pro" w:cs="Calibri"/>
                <w:kern w:val="0"/>
                <w:sz w:val="20"/>
                <w:szCs w:val="20"/>
                <w:lang w:bidi="en-US"/>
                <w14:ligatures w14:val="none"/>
              </w:rPr>
              <w:t>postpartum haemorrhage</w:t>
            </w:r>
            <w:r w:rsidR="00AF7CBA" w:rsidRPr="00C474D1">
              <w:rPr>
                <w:rFonts w:ascii="Source Sans Pro" w:hAnsi="Source Sans Pro" w:cs="Calibri"/>
                <w:sz w:val="20"/>
                <w:szCs w:val="20"/>
              </w:rPr>
              <w:t xml:space="preserve"> </w:t>
            </w:r>
            <w:r w:rsidRPr="00C474D1">
              <w:rPr>
                <w:rFonts w:ascii="Source Sans Pro" w:hAnsi="Source Sans Pro" w:cs="Calibri"/>
                <w:sz w:val="20"/>
                <w:szCs w:val="20"/>
              </w:rPr>
              <w:t>treatment is recommended for pre-service and in-service training programmes.</w:t>
            </w:r>
          </w:p>
        </w:tc>
        <w:tc>
          <w:tcPr>
            <w:tcW w:w="4680" w:type="dxa"/>
          </w:tcPr>
          <w:p w14:paraId="32CE4A0D" w14:textId="769CB292"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05CF79BC" w14:textId="43941771" w:rsidR="00143BE7" w:rsidRPr="00C474D1" w:rsidRDefault="00143BE7" w:rsidP="00143BE7">
            <w:pPr>
              <w:rPr>
                <w:rFonts w:ascii="Source Sans Pro" w:hAnsi="Source Sans Pro" w:cs="Calibri"/>
                <w:color w:val="000000" w:themeColor="text1"/>
                <w:sz w:val="20"/>
                <w:szCs w:val="20"/>
              </w:rPr>
            </w:pPr>
            <w:r w:rsidRPr="00C474D1">
              <w:rPr>
                <w:rFonts w:ascii="Source Sans Pro" w:hAnsi="Source Sans Pro" w:cs="Calibri"/>
                <w:color w:val="000000" w:themeColor="text1"/>
                <w:sz w:val="20"/>
                <w:szCs w:val="20"/>
              </w:rPr>
              <w:t>None.</w:t>
            </w:r>
          </w:p>
        </w:tc>
      </w:tr>
      <w:tr w:rsidR="00143BE7" w:rsidRPr="00C474D1" w14:paraId="0DF62F32" w14:textId="77777777" w:rsidTr="00A721C8">
        <w:trPr>
          <w:cantSplit/>
        </w:trPr>
        <w:tc>
          <w:tcPr>
            <w:tcW w:w="3865" w:type="dxa"/>
          </w:tcPr>
          <w:p w14:paraId="0B9815C8" w14:textId="1321A9FE" w:rsidR="00143BE7" w:rsidRPr="00C474D1" w:rsidRDefault="00143BE7" w:rsidP="00143BE7">
            <w:pPr>
              <w:rPr>
                <w:rFonts w:ascii="Source Sans Pro" w:hAnsi="Source Sans Pro" w:cs="Calibri"/>
                <w:sz w:val="20"/>
                <w:szCs w:val="20"/>
              </w:rPr>
            </w:pPr>
            <w:r w:rsidRPr="00C474D1">
              <w:rPr>
                <w:rFonts w:ascii="Source Sans Pro" w:hAnsi="Source Sans Pro" w:cs="Calibri"/>
                <w:sz w:val="20"/>
                <w:szCs w:val="20"/>
              </w:rPr>
              <w:t xml:space="preserve">47. Monitoring the use of uterotonics after birth for the prevention of </w:t>
            </w:r>
            <w:r w:rsidR="00AF7CBA">
              <w:rPr>
                <w:rFonts w:ascii="Source Sans Pro" w:eastAsia="Calibri" w:hAnsi="Source Sans Pro" w:cs="Calibri"/>
                <w:kern w:val="0"/>
                <w:sz w:val="20"/>
                <w:szCs w:val="20"/>
                <w:lang w:bidi="en-US"/>
                <w14:ligatures w14:val="none"/>
              </w:rPr>
              <w:t>postpartum haemorrhage</w:t>
            </w:r>
            <w:r w:rsidR="00AF7CBA" w:rsidRPr="00C474D1">
              <w:rPr>
                <w:rFonts w:ascii="Source Sans Pro" w:hAnsi="Source Sans Pro" w:cs="Calibri"/>
                <w:sz w:val="20"/>
                <w:szCs w:val="20"/>
              </w:rPr>
              <w:t xml:space="preserve"> </w:t>
            </w:r>
            <w:r w:rsidRPr="00C474D1">
              <w:rPr>
                <w:rFonts w:ascii="Source Sans Pro" w:hAnsi="Source Sans Pro" w:cs="Calibri"/>
                <w:sz w:val="20"/>
                <w:szCs w:val="20"/>
              </w:rPr>
              <w:t>is recommended as a process indicator for programmatic evaluation.</w:t>
            </w:r>
          </w:p>
        </w:tc>
        <w:tc>
          <w:tcPr>
            <w:tcW w:w="4680" w:type="dxa"/>
          </w:tcPr>
          <w:p w14:paraId="1236977D" w14:textId="3F24431A" w:rsidR="00143BE7" w:rsidRPr="00C474D1" w:rsidRDefault="00143BE7" w:rsidP="00143BE7">
            <w:pPr>
              <w:rPr>
                <w:rFonts w:ascii="Source Sans Pro" w:hAnsi="Source Sans Pro" w:cs="Calibri"/>
                <w:sz w:val="20"/>
                <w:szCs w:val="20"/>
              </w:rPr>
            </w:pPr>
            <w:r w:rsidRPr="00C474D1">
              <w:rPr>
                <w:rFonts w:ascii="Source Sans Pro" w:hAnsi="Source Sans Pro" w:cs="Calibri"/>
                <w:i/>
                <w:iCs/>
                <w:sz w:val="20"/>
                <w:szCs w:val="20"/>
              </w:rPr>
              <w:t>No specific humanitarian considerations beyond what is detailed in the Remarks in the main guideline text.</w:t>
            </w:r>
          </w:p>
        </w:tc>
        <w:tc>
          <w:tcPr>
            <w:tcW w:w="6030" w:type="dxa"/>
          </w:tcPr>
          <w:p w14:paraId="65EE9C7C" w14:textId="05980E0A" w:rsidR="00143BE7" w:rsidRPr="00C474D1" w:rsidRDefault="00143BE7" w:rsidP="00143BE7">
            <w:pPr>
              <w:rPr>
                <w:rFonts w:ascii="Source Sans Pro" w:hAnsi="Source Sans Pro" w:cs="Calibri"/>
                <w:sz w:val="20"/>
                <w:szCs w:val="20"/>
              </w:rPr>
            </w:pPr>
            <w:r w:rsidRPr="00C474D1">
              <w:rPr>
                <w:rFonts w:ascii="Source Sans Pro" w:hAnsi="Source Sans Pro" w:cs="Calibri"/>
                <w:color w:val="000000" w:themeColor="text1"/>
                <w:sz w:val="20"/>
                <w:szCs w:val="20"/>
              </w:rPr>
              <w:t>None.</w:t>
            </w:r>
          </w:p>
        </w:tc>
      </w:tr>
    </w:tbl>
    <w:p w14:paraId="2DE5B44A" w14:textId="586C5B11" w:rsidR="00612FC6" w:rsidRPr="00C474D1" w:rsidRDefault="00732031">
      <w:pPr>
        <w:rPr>
          <w:rFonts w:ascii="Source Sans Pro" w:hAnsi="Source Sans Pro"/>
          <w:sz w:val="20"/>
          <w:szCs w:val="20"/>
        </w:rPr>
      </w:pPr>
      <w:r w:rsidRPr="00C474D1">
        <w:rPr>
          <w:rFonts w:ascii="Source Sans Pro" w:hAnsi="Source Sans Pro"/>
          <w:sz w:val="20"/>
          <w:szCs w:val="20"/>
        </w:rPr>
        <w:br w:type="textWrapping" w:clear="all"/>
      </w:r>
    </w:p>
    <w:p w14:paraId="65772D7C" w14:textId="77777777" w:rsidR="006F6030" w:rsidRPr="00C474D1" w:rsidRDefault="006F6030">
      <w:pPr>
        <w:spacing w:after="160" w:line="278" w:lineRule="auto"/>
        <w:rPr>
          <w:rFonts w:ascii="Source Sans Pro" w:hAnsi="Source Sans Pro"/>
          <w:sz w:val="20"/>
          <w:szCs w:val="20"/>
        </w:rPr>
        <w:sectPr w:rsidR="006F6030" w:rsidRPr="00C474D1" w:rsidSect="00374CE9">
          <w:pgSz w:w="16838" w:h="11906" w:orient="landscape" w:code="9"/>
          <w:pgMar w:top="1440" w:right="1080" w:bottom="1440" w:left="1080" w:header="720" w:footer="720" w:gutter="0"/>
          <w:cols w:space="720"/>
          <w:docGrid w:linePitch="360"/>
        </w:sectPr>
      </w:pPr>
    </w:p>
    <w:p w14:paraId="59FBAE08" w14:textId="77777777" w:rsidR="00680972" w:rsidRPr="00C474D1" w:rsidRDefault="00680972" w:rsidP="00680972">
      <w:pPr>
        <w:spacing w:after="160" w:line="278" w:lineRule="auto"/>
        <w:rPr>
          <w:rFonts w:ascii="Source Sans Pro" w:hAnsi="Source Sans Pro" w:cs="Calibri"/>
          <w:b/>
          <w:bCs/>
          <w:sz w:val="20"/>
          <w:szCs w:val="20"/>
        </w:rPr>
      </w:pPr>
      <w:r w:rsidRPr="00C474D1">
        <w:rPr>
          <w:rFonts w:ascii="Source Sans Pro" w:hAnsi="Source Sans Pro" w:cs="Calibri"/>
          <w:b/>
          <w:bCs/>
          <w:sz w:val="20"/>
          <w:szCs w:val="20"/>
        </w:rPr>
        <w:lastRenderedPageBreak/>
        <w:t>References</w:t>
      </w:r>
    </w:p>
    <w:p w14:paraId="02F996E4" w14:textId="046BC2C6"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1.</w:t>
      </w:r>
      <w:r w:rsidRPr="00C474D1">
        <w:rPr>
          <w:rFonts w:ascii="Source Sans Pro" w:hAnsi="Source Sans Pro" w:cs="Calibri"/>
          <w:sz w:val="20"/>
          <w:szCs w:val="20"/>
        </w:rPr>
        <w:tab/>
        <w:t xml:space="preserve">Health Cluster Guide: A practical handbook. Geneva: World Health Organization; 2009. </w:t>
      </w:r>
    </w:p>
    <w:p w14:paraId="3C1E6A8A" w14:textId="3F5183EB" w:rsidR="00670C11" w:rsidRPr="0048690C" w:rsidRDefault="00670C11" w:rsidP="00C474D1">
      <w:pPr>
        <w:pStyle w:val="Bibliography"/>
        <w:tabs>
          <w:tab w:val="clear" w:pos="260"/>
        </w:tabs>
        <w:spacing w:after="0"/>
        <w:ind w:left="360" w:hanging="360"/>
        <w:rPr>
          <w:rFonts w:ascii="Source Sans Pro" w:hAnsi="Source Sans Pro" w:cs="Calibri"/>
          <w:sz w:val="20"/>
          <w:szCs w:val="20"/>
          <w:lang w:val="fr-CH"/>
        </w:rPr>
      </w:pPr>
      <w:r w:rsidRPr="00C474D1">
        <w:rPr>
          <w:rFonts w:ascii="Source Sans Pro" w:hAnsi="Source Sans Pro" w:cs="Calibri"/>
          <w:sz w:val="20"/>
          <w:szCs w:val="20"/>
        </w:rPr>
        <w:t>2.</w:t>
      </w:r>
      <w:r w:rsidRPr="00C474D1">
        <w:rPr>
          <w:rFonts w:ascii="Source Sans Pro" w:hAnsi="Source Sans Pro" w:cs="Calibri"/>
          <w:sz w:val="20"/>
          <w:szCs w:val="20"/>
        </w:rPr>
        <w:tab/>
        <w:t xml:space="preserve">UNHCR Emergency Handbook. </w:t>
      </w:r>
      <w:r w:rsidRPr="003D3C10">
        <w:rPr>
          <w:rFonts w:ascii="Source Sans Pro" w:hAnsi="Source Sans Pro" w:cs="Calibri"/>
          <w:sz w:val="20"/>
          <w:szCs w:val="20"/>
        </w:rPr>
        <w:t>202</w:t>
      </w:r>
      <w:r w:rsidR="009A2621" w:rsidRPr="003D3C10">
        <w:rPr>
          <w:rFonts w:ascii="Source Sans Pro" w:hAnsi="Source Sans Pro" w:cs="Calibri"/>
          <w:sz w:val="20"/>
          <w:szCs w:val="20"/>
        </w:rPr>
        <w:t>3</w:t>
      </w:r>
      <w:r w:rsidRPr="003D3C10">
        <w:rPr>
          <w:rFonts w:ascii="Source Sans Pro" w:hAnsi="Source Sans Pro" w:cs="Calibri"/>
          <w:sz w:val="20"/>
          <w:szCs w:val="20"/>
        </w:rPr>
        <w:t xml:space="preserve">. Humanitarian principles. </w:t>
      </w:r>
      <w:r w:rsidR="00A93785" w:rsidRPr="0048690C">
        <w:rPr>
          <w:rFonts w:ascii="Source Sans Pro" w:hAnsi="Source Sans Pro" w:cs="Calibri"/>
          <w:sz w:val="20"/>
          <w:szCs w:val="20"/>
          <w:lang w:val="fr-CH"/>
        </w:rPr>
        <w:t>&lt;</w:t>
      </w:r>
      <w:hyperlink r:id="rId20" w:history="1">
        <w:r w:rsidR="00A93785" w:rsidRPr="0048690C">
          <w:rPr>
            <w:rStyle w:val="Hyperlink"/>
            <w:rFonts w:ascii="Source Sans Pro" w:hAnsi="Source Sans Pro" w:cs="Calibri"/>
            <w:sz w:val="20"/>
            <w:szCs w:val="20"/>
            <w:lang w:val="fr-CH"/>
          </w:rPr>
          <w:t>https://emergency.unhcr.org/protection/protection-principles/humanitarian-principles</w:t>
        </w:r>
      </w:hyperlink>
      <w:r w:rsidR="00A93785" w:rsidRPr="0048690C">
        <w:rPr>
          <w:rFonts w:ascii="Source Sans Pro" w:hAnsi="Source Sans Pro" w:cs="Calibri"/>
          <w:sz w:val="20"/>
          <w:szCs w:val="20"/>
          <w:lang w:val="fr-CH"/>
        </w:rPr>
        <w:t>&gt;.</w:t>
      </w:r>
    </w:p>
    <w:p w14:paraId="75EA156F" w14:textId="7C874FC3"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3.</w:t>
      </w:r>
      <w:r w:rsidRPr="00C474D1">
        <w:rPr>
          <w:rFonts w:ascii="Source Sans Pro" w:hAnsi="Source Sans Pro" w:cs="Calibri"/>
          <w:sz w:val="20"/>
          <w:szCs w:val="20"/>
        </w:rPr>
        <w:tab/>
        <w:t xml:space="preserve">UNHCR Emergency Handbook. 2023. Cluster Approach. </w:t>
      </w:r>
      <w:r w:rsidR="00A93785">
        <w:rPr>
          <w:rFonts w:ascii="Source Sans Pro" w:hAnsi="Source Sans Pro" w:cs="Calibri"/>
          <w:sz w:val="20"/>
          <w:szCs w:val="20"/>
        </w:rPr>
        <w:t>&lt;</w:t>
      </w:r>
      <w:hyperlink r:id="rId21" w:history="1">
        <w:r w:rsidR="00A93785" w:rsidRPr="00B4675B">
          <w:rPr>
            <w:rStyle w:val="Hyperlink"/>
            <w:rFonts w:ascii="Source Sans Pro" w:hAnsi="Source Sans Pro" w:cs="Calibri"/>
            <w:sz w:val="20"/>
            <w:szCs w:val="20"/>
          </w:rPr>
          <w:t>https://emergency.unhcr.org/coordination-and-communication/cluster-system/cluster-approach</w:t>
        </w:r>
      </w:hyperlink>
      <w:r w:rsidR="00A93785">
        <w:rPr>
          <w:rFonts w:ascii="Source Sans Pro" w:hAnsi="Source Sans Pro" w:cs="Calibri"/>
          <w:sz w:val="20"/>
          <w:szCs w:val="20"/>
        </w:rPr>
        <w:t xml:space="preserve">&gt;. </w:t>
      </w:r>
    </w:p>
    <w:p w14:paraId="30454A59" w14:textId="619CBE65"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4.</w:t>
      </w:r>
      <w:r w:rsidRPr="00C474D1">
        <w:rPr>
          <w:rFonts w:ascii="Source Sans Pro" w:hAnsi="Source Sans Pro" w:cs="Calibri"/>
          <w:sz w:val="20"/>
          <w:szCs w:val="20"/>
        </w:rPr>
        <w:tab/>
        <w:t xml:space="preserve">Salazar, Magalie. OCHA’s Knowledge Base. 2025. Response Planning. Available from: </w:t>
      </w:r>
      <w:r w:rsidR="00A93785">
        <w:rPr>
          <w:rFonts w:ascii="Source Sans Pro" w:hAnsi="Source Sans Pro" w:cs="Calibri"/>
          <w:sz w:val="20"/>
          <w:szCs w:val="20"/>
        </w:rPr>
        <w:t>&lt;</w:t>
      </w:r>
      <w:hyperlink r:id="rId22" w:history="1">
        <w:r w:rsidR="00A93785" w:rsidRPr="00B4675B">
          <w:rPr>
            <w:rStyle w:val="Hyperlink"/>
            <w:rFonts w:ascii="Source Sans Pro" w:hAnsi="Source Sans Pro" w:cs="Calibri"/>
            <w:sz w:val="20"/>
            <w:szCs w:val="20"/>
          </w:rPr>
          <w:t>https://knowledge.base.unocha.org/wiki/spaces/hpc/pages/3992879112/Response+Planning</w:t>
        </w:r>
      </w:hyperlink>
      <w:r w:rsidR="00A93785">
        <w:rPr>
          <w:rFonts w:ascii="Source Sans Pro" w:hAnsi="Source Sans Pro" w:cs="Calibri"/>
          <w:sz w:val="20"/>
          <w:szCs w:val="20"/>
        </w:rPr>
        <w:t>&gt;.</w:t>
      </w:r>
    </w:p>
    <w:p w14:paraId="6D41F7F2" w14:textId="5D38B72F"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5.</w:t>
      </w:r>
      <w:r w:rsidRPr="00C474D1">
        <w:rPr>
          <w:rFonts w:ascii="Source Sans Pro" w:hAnsi="Source Sans Pro" w:cs="Calibri"/>
          <w:sz w:val="20"/>
          <w:szCs w:val="20"/>
        </w:rPr>
        <w:tab/>
        <w:t xml:space="preserve">UNHCR. Refugee response plans. </w:t>
      </w:r>
      <w:r w:rsidR="009A2621" w:rsidRPr="00C474D1">
        <w:rPr>
          <w:rFonts w:ascii="Source Sans Pro" w:hAnsi="Source Sans Pro" w:cs="Calibri"/>
          <w:sz w:val="20"/>
          <w:szCs w:val="20"/>
        </w:rPr>
        <w:t xml:space="preserve">2025. </w:t>
      </w:r>
      <w:r w:rsidRPr="00C474D1">
        <w:rPr>
          <w:rFonts w:ascii="Source Sans Pro" w:hAnsi="Source Sans Pro" w:cs="Calibri"/>
          <w:sz w:val="20"/>
          <w:szCs w:val="20"/>
        </w:rPr>
        <w:t xml:space="preserve">Available from: </w:t>
      </w:r>
      <w:r w:rsidR="00A93785">
        <w:rPr>
          <w:rFonts w:ascii="Source Sans Pro" w:hAnsi="Source Sans Pro" w:cs="Calibri"/>
          <w:sz w:val="20"/>
          <w:szCs w:val="20"/>
        </w:rPr>
        <w:t>&lt;</w:t>
      </w:r>
      <w:hyperlink r:id="rId23" w:history="1">
        <w:r w:rsidR="00A93785" w:rsidRPr="00B4675B">
          <w:rPr>
            <w:rStyle w:val="Hyperlink"/>
            <w:rFonts w:ascii="Source Sans Pro" w:hAnsi="Source Sans Pro" w:cs="Calibri"/>
            <w:sz w:val="20"/>
            <w:szCs w:val="20"/>
          </w:rPr>
          <w:t>https://www.unhcr.org/refugee-response-plans</w:t>
        </w:r>
      </w:hyperlink>
      <w:r w:rsidR="00A93785">
        <w:rPr>
          <w:rFonts w:ascii="Source Sans Pro" w:hAnsi="Source Sans Pro" w:cs="Calibri"/>
          <w:sz w:val="20"/>
          <w:szCs w:val="20"/>
        </w:rPr>
        <w:t xml:space="preserve">&gt;. </w:t>
      </w:r>
    </w:p>
    <w:p w14:paraId="16D1E0EC" w14:textId="6567DA39"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6.</w:t>
      </w:r>
      <w:r w:rsidRPr="00C474D1">
        <w:rPr>
          <w:rFonts w:ascii="Source Sans Pro" w:hAnsi="Source Sans Pro" w:cs="Calibri"/>
          <w:sz w:val="20"/>
          <w:szCs w:val="20"/>
        </w:rPr>
        <w:tab/>
        <w:t>Inter-Agency Field Manual on Reproductive Health in Humanitarian Settings</w:t>
      </w:r>
      <w:r w:rsidR="009A2621" w:rsidRPr="00C474D1">
        <w:rPr>
          <w:rFonts w:ascii="Source Sans Pro" w:hAnsi="Source Sans Pro" w:cs="Calibri"/>
          <w:sz w:val="20"/>
          <w:szCs w:val="20"/>
        </w:rPr>
        <w:t xml:space="preserve">. </w:t>
      </w:r>
      <w:r w:rsidRPr="00C474D1">
        <w:rPr>
          <w:rFonts w:ascii="Source Sans Pro" w:hAnsi="Source Sans Pro" w:cs="Calibri"/>
          <w:sz w:val="20"/>
          <w:szCs w:val="20"/>
        </w:rPr>
        <w:t xml:space="preserve">Geneva: Inter-Agency Working Group on Reproductive Health in Crises (IAWG); 2018. Available from: </w:t>
      </w:r>
      <w:r w:rsidR="00A93785">
        <w:rPr>
          <w:rFonts w:ascii="Source Sans Pro" w:hAnsi="Source Sans Pro" w:cs="Calibri"/>
          <w:sz w:val="20"/>
          <w:szCs w:val="20"/>
        </w:rPr>
        <w:t>&lt;</w:t>
      </w:r>
      <w:hyperlink r:id="rId24" w:history="1">
        <w:r w:rsidR="00A93785" w:rsidRPr="00B4675B">
          <w:rPr>
            <w:rStyle w:val="Hyperlink"/>
            <w:rFonts w:ascii="Source Sans Pro" w:hAnsi="Source Sans Pro" w:cs="Calibri"/>
            <w:sz w:val="20"/>
            <w:szCs w:val="20"/>
          </w:rPr>
          <w:t>https://www.iawgfieldmanual.com/manual</w:t>
        </w:r>
      </w:hyperlink>
      <w:r w:rsidR="00A93785">
        <w:rPr>
          <w:rFonts w:ascii="Source Sans Pro" w:hAnsi="Source Sans Pro" w:cs="Calibri"/>
          <w:sz w:val="20"/>
          <w:szCs w:val="20"/>
        </w:rPr>
        <w:t>&gt;.</w:t>
      </w:r>
    </w:p>
    <w:p w14:paraId="0CAE87B1" w14:textId="20F95C7C"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7.</w:t>
      </w:r>
      <w:r w:rsidRPr="00C474D1">
        <w:rPr>
          <w:rFonts w:ascii="Source Sans Pro" w:hAnsi="Source Sans Pro" w:cs="Calibri"/>
          <w:sz w:val="20"/>
          <w:szCs w:val="20"/>
        </w:rPr>
        <w:tab/>
      </w:r>
      <w:r w:rsidR="00F17D60" w:rsidRPr="00C474D1">
        <w:rPr>
          <w:rFonts w:ascii="Source Sans Pro" w:hAnsi="Source Sans Pro" w:cs="Calibri"/>
          <w:sz w:val="20"/>
          <w:szCs w:val="20"/>
        </w:rPr>
        <w:t>Inter-Agency Working Group on Reproductive Health in Crises (IAWG)</w:t>
      </w:r>
      <w:r w:rsidRPr="00C474D1">
        <w:rPr>
          <w:rFonts w:ascii="Source Sans Pro" w:hAnsi="Source Sans Pro" w:cs="Calibri"/>
          <w:sz w:val="20"/>
          <w:szCs w:val="20"/>
        </w:rPr>
        <w:t xml:space="preserve">. Minimum Initial Service Package (MISP) for SRH in crisis situations. 2020. Available from: </w:t>
      </w:r>
      <w:r w:rsidR="00A93785">
        <w:rPr>
          <w:rFonts w:ascii="Source Sans Pro" w:hAnsi="Source Sans Pro" w:cs="Calibri"/>
          <w:sz w:val="20"/>
          <w:szCs w:val="20"/>
        </w:rPr>
        <w:t>&lt;</w:t>
      </w:r>
      <w:hyperlink r:id="rId25" w:history="1">
        <w:r w:rsidR="00A93785" w:rsidRPr="00B4675B">
          <w:rPr>
            <w:rStyle w:val="Hyperlink"/>
            <w:rFonts w:ascii="Source Sans Pro" w:hAnsi="Source Sans Pro" w:cs="Calibri"/>
            <w:sz w:val="20"/>
            <w:szCs w:val="20"/>
          </w:rPr>
          <w:t>https://iawg.net/resources/minimum-initial-service-package-misp-resources</w:t>
        </w:r>
      </w:hyperlink>
      <w:r w:rsidR="00A93785">
        <w:rPr>
          <w:rFonts w:ascii="Source Sans Pro" w:hAnsi="Source Sans Pro" w:cs="Calibri"/>
          <w:sz w:val="20"/>
          <w:szCs w:val="20"/>
        </w:rPr>
        <w:t xml:space="preserve">&gt;. </w:t>
      </w:r>
    </w:p>
    <w:p w14:paraId="1E984F7E" w14:textId="60342171"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8.</w:t>
      </w:r>
      <w:r w:rsidRPr="00C474D1">
        <w:rPr>
          <w:rFonts w:ascii="Source Sans Pro" w:hAnsi="Source Sans Pro" w:cs="Calibri"/>
          <w:sz w:val="20"/>
          <w:szCs w:val="20"/>
        </w:rPr>
        <w:tab/>
        <w:t xml:space="preserve">United Nations: Peacebuilding [Internet]. 2025 [cited 2025 Jul 15]. Humanitarian, Development and Peace Nexus. Available from: </w:t>
      </w:r>
      <w:r w:rsidR="00A93785">
        <w:rPr>
          <w:rFonts w:ascii="Source Sans Pro" w:hAnsi="Source Sans Pro" w:cs="Calibri"/>
          <w:sz w:val="20"/>
          <w:szCs w:val="20"/>
        </w:rPr>
        <w:t>&lt;</w:t>
      </w:r>
      <w:hyperlink r:id="rId26" w:history="1">
        <w:r w:rsidR="00A93785" w:rsidRPr="00B4675B">
          <w:rPr>
            <w:rStyle w:val="Hyperlink"/>
            <w:rFonts w:ascii="Source Sans Pro" w:hAnsi="Source Sans Pro" w:cs="Calibri"/>
            <w:sz w:val="20"/>
            <w:szCs w:val="20"/>
          </w:rPr>
          <w:t>https://www.un.org/peacebuilding/content/humanitarian-development-and-peace-nexus</w:t>
        </w:r>
      </w:hyperlink>
      <w:r w:rsidR="00A93785">
        <w:rPr>
          <w:rFonts w:ascii="Source Sans Pro" w:hAnsi="Source Sans Pro" w:cs="Calibri"/>
          <w:sz w:val="20"/>
          <w:szCs w:val="20"/>
        </w:rPr>
        <w:t xml:space="preserve">&gt;. </w:t>
      </w:r>
    </w:p>
    <w:p w14:paraId="542E6578" w14:textId="141712F5"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9.</w:t>
      </w:r>
      <w:r w:rsidRPr="00C474D1">
        <w:rPr>
          <w:rFonts w:ascii="Source Sans Pro" w:hAnsi="Source Sans Pro" w:cs="Calibri"/>
          <w:sz w:val="20"/>
          <w:szCs w:val="20"/>
        </w:rPr>
        <w:tab/>
        <w:t xml:space="preserve">Jordan K, Lewis TP, Roberts B. Quality in crisis: </w:t>
      </w:r>
      <w:r w:rsidR="009A2621" w:rsidRPr="00C474D1">
        <w:rPr>
          <w:rFonts w:ascii="Source Sans Pro" w:hAnsi="Source Sans Pro" w:cs="Calibri"/>
          <w:sz w:val="20"/>
          <w:szCs w:val="20"/>
        </w:rPr>
        <w:t>A</w:t>
      </w:r>
      <w:r w:rsidRPr="00C474D1">
        <w:rPr>
          <w:rFonts w:ascii="Source Sans Pro" w:hAnsi="Source Sans Pro" w:cs="Calibri"/>
          <w:sz w:val="20"/>
          <w:szCs w:val="20"/>
        </w:rPr>
        <w:t xml:space="preserve"> systematic review of the quality of health systems in humanitarian settings. </w:t>
      </w:r>
      <w:proofErr w:type="spellStart"/>
      <w:r w:rsidRPr="00C474D1">
        <w:rPr>
          <w:rFonts w:ascii="Source Sans Pro" w:hAnsi="Source Sans Pro" w:cs="Calibri"/>
          <w:sz w:val="20"/>
          <w:szCs w:val="20"/>
        </w:rPr>
        <w:t>Confl</w:t>
      </w:r>
      <w:proofErr w:type="spellEnd"/>
      <w:r w:rsidRPr="00C474D1">
        <w:rPr>
          <w:rFonts w:ascii="Source Sans Pro" w:hAnsi="Source Sans Pro" w:cs="Calibri"/>
          <w:sz w:val="20"/>
          <w:szCs w:val="20"/>
        </w:rPr>
        <w:t xml:space="preserve"> Health. 2021 Feb 2;15(1). Available from: </w:t>
      </w:r>
      <w:r w:rsidR="00A93785">
        <w:rPr>
          <w:rFonts w:ascii="Source Sans Pro" w:hAnsi="Source Sans Pro" w:cs="Calibri"/>
          <w:sz w:val="20"/>
          <w:szCs w:val="20"/>
        </w:rPr>
        <w:t>&lt;</w:t>
      </w:r>
      <w:hyperlink r:id="rId27" w:history="1">
        <w:r w:rsidR="00A93785" w:rsidRPr="00B4675B">
          <w:rPr>
            <w:rStyle w:val="Hyperlink"/>
            <w:rFonts w:ascii="Source Sans Pro" w:hAnsi="Source Sans Pro" w:cs="Calibri"/>
            <w:sz w:val="20"/>
            <w:szCs w:val="20"/>
          </w:rPr>
          <w:t>https://conflictandhealth.biomedcentral.com/articles/10.1186/s13031-021-00342-z</w:t>
        </w:r>
      </w:hyperlink>
      <w:r w:rsidR="00A93785">
        <w:rPr>
          <w:rFonts w:ascii="Source Sans Pro" w:hAnsi="Source Sans Pro" w:cs="Calibri"/>
          <w:sz w:val="20"/>
          <w:szCs w:val="20"/>
        </w:rPr>
        <w:t xml:space="preserve">&gt;. </w:t>
      </w:r>
    </w:p>
    <w:p w14:paraId="12F79E7D" w14:textId="77777777"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10.</w:t>
      </w:r>
      <w:r w:rsidRPr="00C474D1">
        <w:rPr>
          <w:rFonts w:ascii="Source Sans Pro" w:hAnsi="Source Sans Pro" w:cs="Calibri"/>
          <w:sz w:val="20"/>
          <w:szCs w:val="20"/>
        </w:rPr>
        <w:tab/>
        <w:t xml:space="preserve">Baatz RK, </w:t>
      </w:r>
      <w:proofErr w:type="spellStart"/>
      <w:r w:rsidRPr="00C474D1">
        <w:rPr>
          <w:rFonts w:ascii="Source Sans Pro" w:hAnsi="Source Sans Pro" w:cs="Calibri"/>
          <w:sz w:val="20"/>
          <w:szCs w:val="20"/>
        </w:rPr>
        <w:t>Ekzayez</w:t>
      </w:r>
      <w:proofErr w:type="spellEnd"/>
      <w:r w:rsidRPr="00C474D1">
        <w:rPr>
          <w:rFonts w:ascii="Source Sans Pro" w:hAnsi="Source Sans Pro" w:cs="Calibri"/>
          <w:sz w:val="20"/>
          <w:szCs w:val="20"/>
        </w:rPr>
        <w:t xml:space="preserve"> A, Meagher K, Bowsher G, Patel P. Cross-border strategies for access to healthcare in violent conflict – A scoping review. J Migr Health. </w:t>
      </w:r>
      <w:proofErr w:type="gramStart"/>
      <w:r w:rsidRPr="00C474D1">
        <w:rPr>
          <w:rFonts w:ascii="Source Sans Pro" w:hAnsi="Source Sans Pro" w:cs="Calibri"/>
          <w:sz w:val="20"/>
          <w:szCs w:val="20"/>
        </w:rPr>
        <w:t>2022;5:100093</w:t>
      </w:r>
      <w:proofErr w:type="gramEnd"/>
      <w:r w:rsidRPr="00C474D1">
        <w:rPr>
          <w:rFonts w:ascii="Source Sans Pro" w:hAnsi="Source Sans Pro" w:cs="Calibri"/>
          <w:sz w:val="20"/>
          <w:szCs w:val="20"/>
        </w:rPr>
        <w:t xml:space="preserve">. </w:t>
      </w:r>
    </w:p>
    <w:p w14:paraId="4087D87C" w14:textId="77EA7756"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11.</w:t>
      </w:r>
      <w:r w:rsidRPr="00C474D1">
        <w:rPr>
          <w:rFonts w:ascii="Source Sans Pro" w:hAnsi="Source Sans Pro" w:cs="Calibri"/>
          <w:sz w:val="20"/>
          <w:szCs w:val="20"/>
        </w:rPr>
        <w:tab/>
        <w:t xml:space="preserve">World Health Organization. Stopping attacks on health care [Internet]. 2025 [cited 2025 Jul 15]. Available from: </w:t>
      </w:r>
      <w:r w:rsidR="00A93785">
        <w:rPr>
          <w:rFonts w:ascii="Source Sans Pro" w:hAnsi="Source Sans Pro" w:cs="Calibri"/>
          <w:sz w:val="20"/>
          <w:szCs w:val="20"/>
        </w:rPr>
        <w:t>&lt;</w:t>
      </w:r>
      <w:hyperlink r:id="rId28" w:history="1">
        <w:r w:rsidR="00A93785" w:rsidRPr="00B4675B">
          <w:rPr>
            <w:rStyle w:val="Hyperlink"/>
            <w:rFonts w:ascii="Source Sans Pro" w:hAnsi="Source Sans Pro" w:cs="Calibri"/>
            <w:sz w:val="20"/>
            <w:szCs w:val="20"/>
          </w:rPr>
          <w:t>https://www.who.int/activities/stopping-attacks-on-health-care</w:t>
        </w:r>
      </w:hyperlink>
      <w:r w:rsidR="00A93785">
        <w:rPr>
          <w:rFonts w:ascii="Source Sans Pro" w:hAnsi="Source Sans Pro" w:cs="Calibri"/>
          <w:sz w:val="20"/>
          <w:szCs w:val="20"/>
        </w:rPr>
        <w:t xml:space="preserve">&gt;. </w:t>
      </w:r>
    </w:p>
    <w:p w14:paraId="3688D3EE" w14:textId="293CC7CE"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12.</w:t>
      </w:r>
      <w:r w:rsidRPr="00C474D1">
        <w:rPr>
          <w:rFonts w:ascii="Source Sans Pro" w:hAnsi="Source Sans Pro" w:cs="Calibri"/>
          <w:sz w:val="20"/>
          <w:szCs w:val="20"/>
        </w:rPr>
        <w:tab/>
        <w:t xml:space="preserve">World Health Organization. Health-care waste [Internet]. 2024 [cited 2025 Jul 15]. Available from: </w:t>
      </w:r>
      <w:r w:rsidR="00A93785">
        <w:rPr>
          <w:rFonts w:ascii="Source Sans Pro" w:hAnsi="Source Sans Pro" w:cs="Calibri"/>
          <w:sz w:val="20"/>
          <w:szCs w:val="20"/>
        </w:rPr>
        <w:t>&lt;</w:t>
      </w:r>
      <w:hyperlink r:id="rId29" w:history="1">
        <w:r w:rsidR="00A93785" w:rsidRPr="00B4675B">
          <w:rPr>
            <w:rStyle w:val="Hyperlink"/>
            <w:rFonts w:ascii="Source Sans Pro" w:hAnsi="Source Sans Pro" w:cs="Calibri"/>
            <w:sz w:val="20"/>
            <w:szCs w:val="20"/>
          </w:rPr>
          <w:t>https://www.who.int/news-room/fact-sheets/detail/health-care-waste</w:t>
        </w:r>
      </w:hyperlink>
      <w:r w:rsidR="00A93785">
        <w:rPr>
          <w:rFonts w:ascii="Source Sans Pro" w:hAnsi="Source Sans Pro" w:cs="Calibri"/>
          <w:sz w:val="20"/>
          <w:szCs w:val="20"/>
        </w:rPr>
        <w:t xml:space="preserve">&gt;. </w:t>
      </w:r>
    </w:p>
    <w:p w14:paraId="3A3724DB" w14:textId="3A749D29"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13.</w:t>
      </w:r>
      <w:r w:rsidRPr="00C474D1">
        <w:rPr>
          <w:rFonts w:ascii="Source Sans Pro" w:hAnsi="Source Sans Pro" w:cs="Calibri"/>
          <w:sz w:val="20"/>
          <w:szCs w:val="20"/>
        </w:rPr>
        <w:tab/>
        <w:t xml:space="preserve">UNFPA Evaluation Office. Thematic paper: Supply chain management for humanitarian commodities. UNFPA; 2019. Available from: </w:t>
      </w:r>
      <w:r w:rsidR="00A93785">
        <w:rPr>
          <w:rFonts w:ascii="Source Sans Pro" w:hAnsi="Source Sans Pro" w:cs="Calibri"/>
          <w:sz w:val="20"/>
          <w:szCs w:val="20"/>
        </w:rPr>
        <w:t>&lt;</w:t>
      </w:r>
      <w:hyperlink r:id="rId30" w:history="1">
        <w:r w:rsidR="00A93785" w:rsidRPr="00B4675B">
          <w:rPr>
            <w:rStyle w:val="Hyperlink"/>
            <w:rFonts w:ascii="Source Sans Pro" w:hAnsi="Source Sans Pro" w:cs="Calibri"/>
            <w:sz w:val="20"/>
            <w:szCs w:val="20"/>
          </w:rPr>
          <w:t>https://www.unfpa.org/sites/default/files/2022-11/Thematic_Paper_Supply_chain_management_for_commodities.pdf</w:t>
        </w:r>
      </w:hyperlink>
      <w:r w:rsidR="00A93785">
        <w:rPr>
          <w:rFonts w:ascii="Source Sans Pro" w:hAnsi="Source Sans Pro" w:cs="Calibri"/>
          <w:sz w:val="20"/>
          <w:szCs w:val="20"/>
        </w:rPr>
        <w:t xml:space="preserve">&gt;. </w:t>
      </w:r>
    </w:p>
    <w:p w14:paraId="708DC5C4" w14:textId="5AACC240"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14.</w:t>
      </w:r>
      <w:r w:rsidRPr="00C474D1">
        <w:rPr>
          <w:rFonts w:ascii="Source Sans Pro" w:hAnsi="Source Sans Pro" w:cs="Calibri"/>
          <w:sz w:val="20"/>
          <w:szCs w:val="20"/>
        </w:rPr>
        <w:tab/>
        <w:t xml:space="preserve">World Health Organization, World Food </w:t>
      </w:r>
      <w:proofErr w:type="spellStart"/>
      <w:r w:rsidRPr="00C474D1">
        <w:rPr>
          <w:rFonts w:ascii="Source Sans Pro" w:hAnsi="Source Sans Pro" w:cs="Calibri"/>
          <w:sz w:val="20"/>
          <w:szCs w:val="20"/>
        </w:rPr>
        <w:t>Programme</w:t>
      </w:r>
      <w:proofErr w:type="spellEnd"/>
      <w:r w:rsidRPr="00C474D1">
        <w:rPr>
          <w:rFonts w:ascii="Source Sans Pro" w:hAnsi="Source Sans Pro" w:cs="Calibri"/>
          <w:sz w:val="20"/>
          <w:szCs w:val="20"/>
        </w:rPr>
        <w:t xml:space="preserve">, UNICEF. Joint statement by the World Health Organization, the World Food </w:t>
      </w:r>
      <w:proofErr w:type="spellStart"/>
      <w:r w:rsidRPr="00C474D1">
        <w:rPr>
          <w:rFonts w:ascii="Source Sans Pro" w:hAnsi="Source Sans Pro" w:cs="Calibri"/>
          <w:sz w:val="20"/>
          <w:szCs w:val="20"/>
        </w:rPr>
        <w:t>Programme</w:t>
      </w:r>
      <w:proofErr w:type="spellEnd"/>
      <w:r w:rsidRPr="00C474D1">
        <w:rPr>
          <w:rFonts w:ascii="Source Sans Pro" w:hAnsi="Source Sans Pro" w:cs="Calibri"/>
          <w:sz w:val="20"/>
          <w:szCs w:val="20"/>
        </w:rPr>
        <w:t xml:space="preserve"> and the United Nations Children’s Fund: Preventing and controlling micronutrient deficiencies in populations affected by an emergency. World Health Organization; 2007. Available from: </w:t>
      </w:r>
      <w:r w:rsidR="00A93785">
        <w:rPr>
          <w:rFonts w:ascii="Source Sans Pro" w:hAnsi="Source Sans Pro" w:cs="Calibri"/>
          <w:sz w:val="20"/>
          <w:szCs w:val="20"/>
        </w:rPr>
        <w:t>&lt;</w:t>
      </w:r>
      <w:hyperlink r:id="rId31" w:history="1">
        <w:r w:rsidR="00A93785" w:rsidRPr="00B4675B">
          <w:rPr>
            <w:rStyle w:val="Hyperlink"/>
            <w:rFonts w:ascii="Source Sans Pro" w:hAnsi="Source Sans Pro" w:cs="Calibri"/>
            <w:sz w:val="20"/>
            <w:szCs w:val="20"/>
          </w:rPr>
          <w:t>https://cdn.who.int/media/docs/default-source/nutritionlibrary/preventing-and-controlling-micronutrient-deficiencies-in-populations-affected-by-an-emergency.pdf?sfvrsn=e17f6dff_4&amp;download=true</w:t>
        </w:r>
      </w:hyperlink>
      <w:r w:rsidR="00A93785">
        <w:rPr>
          <w:rFonts w:ascii="Source Sans Pro" w:hAnsi="Source Sans Pro" w:cs="Calibri"/>
          <w:sz w:val="20"/>
          <w:szCs w:val="20"/>
        </w:rPr>
        <w:t xml:space="preserve">&gt;. </w:t>
      </w:r>
    </w:p>
    <w:p w14:paraId="09E8D2BD" w14:textId="07EC05BF"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15.</w:t>
      </w:r>
      <w:r w:rsidRPr="00C474D1">
        <w:rPr>
          <w:rFonts w:ascii="Source Sans Pro" w:hAnsi="Source Sans Pro" w:cs="Calibri"/>
          <w:sz w:val="20"/>
          <w:szCs w:val="20"/>
        </w:rPr>
        <w:tab/>
        <w:t xml:space="preserve">James, Philip, Sadler, Kate, Samnani, Amir, Mates, Emily. Multiple Micronutrient Supplements in Humanitarian Emergencies: A State of Play Report. Oxford: Emergency Nutrition Network; 2024. Available from: </w:t>
      </w:r>
      <w:r w:rsidR="00A93785">
        <w:rPr>
          <w:rFonts w:ascii="Source Sans Pro" w:hAnsi="Source Sans Pro" w:cs="Calibri"/>
          <w:sz w:val="20"/>
          <w:szCs w:val="20"/>
        </w:rPr>
        <w:t>&lt;</w:t>
      </w:r>
      <w:hyperlink r:id="rId32" w:history="1">
        <w:r w:rsidR="00A93785" w:rsidRPr="00B4675B">
          <w:rPr>
            <w:rStyle w:val="Hyperlink"/>
            <w:rFonts w:ascii="Source Sans Pro" w:hAnsi="Source Sans Pro" w:cs="Calibri"/>
            <w:sz w:val="20"/>
            <w:szCs w:val="20"/>
          </w:rPr>
          <w:t>https://www.ennonline.net/sites/default/files/2024-04/mms_in_humanitarian_emergencies_state_of_play.pdf</w:t>
        </w:r>
      </w:hyperlink>
      <w:r w:rsidR="00A93785">
        <w:rPr>
          <w:rFonts w:ascii="Source Sans Pro" w:hAnsi="Source Sans Pro" w:cs="Calibri"/>
          <w:sz w:val="20"/>
          <w:szCs w:val="20"/>
        </w:rPr>
        <w:t xml:space="preserve">&gt;. </w:t>
      </w:r>
    </w:p>
    <w:p w14:paraId="43E94ABE" w14:textId="69278485"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16.</w:t>
      </w:r>
      <w:r w:rsidRPr="00C474D1">
        <w:rPr>
          <w:rFonts w:ascii="Source Sans Pro" w:hAnsi="Source Sans Pro" w:cs="Calibri"/>
          <w:sz w:val="20"/>
          <w:szCs w:val="20"/>
        </w:rPr>
        <w:tab/>
        <w:t>Inter-Agency Working Group on Reproductive Health in Crises (IAWG). Inter-Agency Emergency Reproductive Health Kits for Use in Humanitarian Settings</w:t>
      </w:r>
      <w:r w:rsidR="009A2621" w:rsidRPr="00C474D1">
        <w:rPr>
          <w:rFonts w:ascii="Source Sans Pro" w:hAnsi="Source Sans Pro" w:cs="Calibri"/>
          <w:sz w:val="20"/>
          <w:szCs w:val="20"/>
        </w:rPr>
        <w:t xml:space="preserve">. </w:t>
      </w:r>
      <w:r w:rsidRPr="00C474D1">
        <w:rPr>
          <w:rFonts w:ascii="Source Sans Pro" w:hAnsi="Source Sans Pro" w:cs="Calibri"/>
          <w:sz w:val="20"/>
          <w:szCs w:val="20"/>
        </w:rPr>
        <w:t xml:space="preserve">6th ed. Geneva: UNFPA; 2019. Available from: </w:t>
      </w:r>
      <w:r w:rsidR="00A93785">
        <w:rPr>
          <w:rFonts w:ascii="Source Sans Pro" w:hAnsi="Source Sans Pro" w:cs="Calibri"/>
          <w:sz w:val="20"/>
          <w:szCs w:val="20"/>
        </w:rPr>
        <w:t>&lt;</w:t>
      </w:r>
      <w:hyperlink r:id="rId33" w:history="1">
        <w:r w:rsidR="00A93785" w:rsidRPr="00B4675B">
          <w:rPr>
            <w:rStyle w:val="Hyperlink"/>
            <w:rFonts w:ascii="Source Sans Pro" w:hAnsi="Source Sans Pro" w:cs="Calibri"/>
            <w:sz w:val="20"/>
            <w:szCs w:val="20"/>
          </w:rPr>
          <w:t>https://www.unfpa.org/sites/default/files/resource-pdf/IARH-Kits-6th-Edition_Manual_English.pdf</w:t>
        </w:r>
      </w:hyperlink>
      <w:r w:rsidR="00A93785">
        <w:rPr>
          <w:rFonts w:ascii="Source Sans Pro" w:hAnsi="Source Sans Pro" w:cs="Calibri"/>
          <w:sz w:val="20"/>
          <w:szCs w:val="20"/>
        </w:rPr>
        <w:t xml:space="preserve">&gt;. </w:t>
      </w:r>
    </w:p>
    <w:p w14:paraId="67E529B2" w14:textId="0D35EF84"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17.</w:t>
      </w:r>
      <w:r w:rsidRPr="00C474D1">
        <w:rPr>
          <w:rFonts w:ascii="Source Sans Pro" w:hAnsi="Source Sans Pro" w:cs="Calibri"/>
          <w:sz w:val="20"/>
          <w:szCs w:val="20"/>
        </w:rPr>
        <w:tab/>
        <w:t xml:space="preserve">USAID Global Health Supply Chain Program. Misoprostol. In: Manual for Procurement &amp; Supply of Quality-Assured MNCH Commodities. USAID; 2022. p. M1-MS20. Available from: </w:t>
      </w:r>
      <w:r w:rsidR="00A93785">
        <w:rPr>
          <w:rFonts w:ascii="Source Sans Pro" w:hAnsi="Source Sans Pro" w:cs="Calibri"/>
          <w:sz w:val="20"/>
          <w:szCs w:val="20"/>
        </w:rPr>
        <w:t>&lt;</w:t>
      </w:r>
      <w:hyperlink r:id="rId34" w:history="1">
        <w:r w:rsidR="00A93785" w:rsidRPr="00B4675B">
          <w:rPr>
            <w:rStyle w:val="Hyperlink"/>
            <w:rFonts w:ascii="Source Sans Pro" w:hAnsi="Source Sans Pro" w:cs="Calibri"/>
            <w:sz w:val="20"/>
            <w:szCs w:val="20"/>
          </w:rPr>
          <w:t>https://www.ghsupplychain.org/sites/default/files/2023-12/English%20MNCH%20Commodities%20Procurement-finalcombined-20231206.pdf</w:t>
        </w:r>
      </w:hyperlink>
      <w:r w:rsidR="00A93785">
        <w:rPr>
          <w:rFonts w:ascii="Source Sans Pro" w:hAnsi="Source Sans Pro" w:cs="Calibri"/>
          <w:sz w:val="20"/>
          <w:szCs w:val="20"/>
        </w:rPr>
        <w:t xml:space="preserve">&gt;. </w:t>
      </w:r>
    </w:p>
    <w:p w14:paraId="5D7D873A" w14:textId="3CED6454" w:rsidR="00670C11" w:rsidRPr="00C474D1" w:rsidRDefault="00670C11" w:rsidP="00C474D1">
      <w:pPr>
        <w:pStyle w:val="Bibliography"/>
        <w:tabs>
          <w:tab w:val="clear" w:pos="260"/>
        </w:tabs>
        <w:spacing w:after="0"/>
        <w:ind w:left="360" w:hanging="360"/>
        <w:rPr>
          <w:rFonts w:ascii="Source Sans Pro" w:hAnsi="Source Sans Pro" w:cs="Calibri"/>
          <w:sz w:val="20"/>
          <w:szCs w:val="20"/>
        </w:rPr>
      </w:pPr>
      <w:r w:rsidRPr="00C474D1">
        <w:rPr>
          <w:rFonts w:ascii="Source Sans Pro" w:hAnsi="Source Sans Pro" w:cs="Calibri"/>
          <w:sz w:val="20"/>
          <w:szCs w:val="20"/>
        </w:rPr>
        <w:t>18.</w:t>
      </w:r>
      <w:r w:rsidRPr="00C474D1">
        <w:rPr>
          <w:rFonts w:ascii="Source Sans Pro" w:hAnsi="Source Sans Pro" w:cs="Calibri"/>
          <w:sz w:val="20"/>
          <w:szCs w:val="20"/>
        </w:rPr>
        <w:tab/>
        <w:t>Inter-Agency Working Group on Reproductive Health in Crises. Minimum Initial Service Package (MISP) Resources.</w:t>
      </w:r>
      <w:r w:rsidR="009A2621" w:rsidRPr="00C474D1">
        <w:rPr>
          <w:rFonts w:ascii="Source Sans Pro" w:hAnsi="Source Sans Pro" w:cs="Calibri"/>
          <w:sz w:val="20"/>
          <w:szCs w:val="20"/>
        </w:rPr>
        <w:t xml:space="preserve"> 2025.</w:t>
      </w:r>
      <w:r w:rsidRPr="00C474D1">
        <w:rPr>
          <w:rFonts w:ascii="Source Sans Pro" w:hAnsi="Source Sans Pro" w:cs="Calibri"/>
          <w:sz w:val="20"/>
          <w:szCs w:val="20"/>
        </w:rPr>
        <w:t xml:space="preserve"> Available from: </w:t>
      </w:r>
      <w:r w:rsidR="00A93785">
        <w:rPr>
          <w:rFonts w:ascii="Source Sans Pro" w:hAnsi="Source Sans Pro" w:cs="Calibri"/>
          <w:sz w:val="20"/>
          <w:szCs w:val="20"/>
        </w:rPr>
        <w:t>&lt;</w:t>
      </w:r>
      <w:hyperlink r:id="rId35" w:history="1">
        <w:r w:rsidR="00A93785" w:rsidRPr="00B4675B">
          <w:rPr>
            <w:rStyle w:val="Hyperlink"/>
            <w:rFonts w:ascii="Source Sans Pro" w:hAnsi="Source Sans Pro" w:cs="Calibri"/>
            <w:sz w:val="20"/>
            <w:szCs w:val="20"/>
          </w:rPr>
          <w:t>https://iawg.net/resources/minimum-initial-service-package-misp-resources</w:t>
        </w:r>
      </w:hyperlink>
      <w:r w:rsidR="00A93785">
        <w:rPr>
          <w:rFonts w:ascii="Source Sans Pro" w:hAnsi="Source Sans Pro" w:cs="Calibri"/>
          <w:sz w:val="20"/>
          <w:szCs w:val="20"/>
        </w:rPr>
        <w:t xml:space="preserve">&gt;. </w:t>
      </w:r>
    </w:p>
    <w:p w14:paraId="42EA6133" w14:textId="7A17F700" w:rsidR="0065413D" w:rsidRPr="00C474D1" w:rsidRDefault="0065413D" w:rsidP="00670C11">
      <w:pPr>
        <w:pStyle w:val="Bibliography"/>
        <w:tabs>
          <w:tab w:val="clear" w:pos="260"/>
        </w:tabs>
        <w:ind w:left="360" w:hanging="360"/>
        <w:rPr>
          <w:rFonts w:ascii="Source Sans Pro" w:hAnsi="Source Sans Pro"/>
          <w:sz w:val="20"/>
          <w:szCs w:val="20"/>
        </w:rPr>
      </w:pPr>
    </w:p>
    <w:sectPr w:rsidR="0065413D" w:rsidRPr="00C474D1" w:rsidSect="00CB00D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9B98" w14:textId="77777777" w:rsidR="00B20EAD" w:rsidRDefault="00B20EAD" w:rsidP="00901BCC">
      <w:r>
        <w:separator/>
      </w:r>
    </w:p>
  </w:endnote>
  <w:endnote w:type="continuationSeparator" w:id="0">
    <w:p w14:paraId="41515E26" w14:textId="77777777" w:rsidR="00B20EAD" w:rsidRDefault="00B20EAD" w:rsidP="00901BCC">
      <w:r>
        <w:continuationSeparator/>
      </w:r>
    </w:p>
  </w:endnote>
  <w:endnote w:type="continuationNotice" w:id="1">
    <w:p w14:paraId="2C06D88F" w14:textId="77777777" w:rsidR="00B20EAD" w:rsidRDefault="00B20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554301"/>
      <w:docPartObj>
        <w:docPartGallery w:val="Page Numbers (Bottom of Page)"/>
        <w:docPartUnique/>
      </w:docPartObj>
    </w:sdtPr>
    <w:sdtEndPr/>
    <w:sdtContent>
      <w:p w14:paraId="5779DADE" w14:textId="35496D37" w:rsidR="00C24A6E" w:rsidRDefault="00C24A6E">
        <w:pPr>
          <w:pStyle w:val="Footer"/>
          <w:jc w:val="right"/>
        </w:pPr>
        <w:r>
          <w:fldChar w:fldCharType="begin"/>
        </w:r>
        <w:r>
          <w:instrText>PAGE   \* MERGEFORMAT</w:instrText>
        </w:r>
        <w:r>
          <w:fldChar w:fldCharType="separate"/>
        </w:r>
        <w:r>
          <w:rPr>
            <w:lang w:val="en-GB"/>
          </w:rPr>
          <w:t>2</w:t>
        </w:r>
        <w:r>
          <w:fldChar w:fldCharType="end"/>
        </w:r>
      </w:p>
    </w:sdtContent>
  </w:sdt>
  <w:p w14:paraId="434F8AA6" w14:textId="77777777" w:rsidR="00DE205B" w:rsidRDefault="00DE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65FC" w14:textId="77777777" w:rsidR="00B20EAD" w:rsidRDefault="00B20EAD" w:rsidP="00901BCC">
      <w:r>
        <w:separator/>
      </w:r>
    </w:p>
  </w:footnote>
  <w:footnote w:type="continuationSeparator" w:id="0">
    <w:p w14:paraId="7ECB440B" w14:textId="77777777" w:rsidR="00B20EAD" w:rsidRDefault="00B20EAD" w:rsidP="00901BCC">
      <w:r>
        <w:continuationSeparator/>
      </w:r>
    </w:p>
  </w:footnote>
  <w:footnote w:type="continuationNotice" w:id="1">
    <w:p w14:paraId="76390F4F" w14:textId="77777777" w:rsidR="00B20EAD" w:rsidRDefault="00B20EAD"/>
  </w:footnote>
  <w:footnote w:id="2">
    <w:p w14:paraId="0B93AC83" w14:textId="23146532" w:rsidR="00663D75" w:rsidRPr="00C474D1" w:rsidRDefault="00663D75" w:rsidP="00663D75">
      <w:pPr>
        <w:pStyle w:val="FootnoteText"/>
        <w:rPr>
          <w:rFonts w:ascii="Source Sans Pro" w:hAnsi="Source Sans Pro"/>
          <w:lang w:val="en-US"/>
        </w:rPr>
      </w:pPr>
      <w:r w:rsidRPr="00C474D1">
        <w:rPr>
          <w:rStyle w:val="FootnoteReference"/>
          <w:rFonts w:ascii="Source Sans Pro" w:hAnsi="Source Sans Pro"/>
        </w:rPr>
        <w:footnoteRef/>
      </w:r>
      <w:r w:rsidRPr="00C474D1">
        <w:rPr>
          <w:rFonts w:ascii="Source Sans Pro" w:hAnsi="Source Sans Pro"/>
        </w:rPr>
        <w:t xml:space="preserve"> There are additional considerations to be </w:t>
      </w:r>
      <w:proofErr w:type="gramStart"/>
      <w:r w:rsidRPr="00C474D1">
        <w:rPr>
          <w:rFonts w:ascii="Source Sans Pro" w:hAnsi="Source Sans Pro"/>
        </w:rPr>
        <w:t>taken into account</w:t>
      </w:r>
      <w:proofErr w:type="gramEnd"/>
      <w:r w:rsidRPr="00C474D1">
        <w:rPr>
          <w:rFonts w:ascii="Source Sans Pro" w:hAnsi="Source Sans Pro"/>
        </w:rPr>
        <w:t xml:space="preserve"> when providing PPH care in the context of outbreaks of communicable diseases. See </w:t>
      </w:r>
      <w:r w:rsidR="00C474D1" w:rsidRPr="00C474D1">
        <w:rPr>
          <w:rFonts w:ascii="Source Sans Pro" w:hAnsi="Source Sans Pro"/>
          <w:i/>
          <w:iCs/>
        </w:rPr>
        <w:t>Maternal and Newborn Health During Infectious Disease Outbreaks: Guidance for Humanitarian and Fragile Settings (</w:t>
      </w:r>
      <w:hyperlink r:id="rId1" w:tooltip="https://www.ready-initiative.org/resource/maternal-and-newborn-health-during-infectious-disease-outbreaks-operational-guidance-for-humanitarian-and-fragile-settings/" w:history="1">
        <w:r w:rsidR="00C474D1" w:rsidRPr="00C474D1">
          <w:rPr>
            <w:rFonts w:ascii="Source Sans Pro" w:eastAsiaTheme="minorHAnsi" w:hAnsi="Source Sans Pro" w:cstheme="minorBidi"/>
            <w:color w:val="96607D"/>
            <w:kern w:val="2"/>
            <w:u w:val="single"/>
            <w:lang w:val="en-US" w:eastAsia="en-US"/>
            <w14:ligatures w14:val="standardContextual"/>
          </w:rPr>
          <w:t>https://www.ready-initiative.org/resource/maternal-and-newborn-health-during-infectious-disease-outbreaks-operational-guidance-for-humanitarian-and-fragile-settings/</w:t>
        </w:r>
      </w:hyperlink>
      <w:r w:rsidR="00C474D1" w:rsidRPr="00C474D1">
        <w:rPr>
          <w:rFonts w:ascii="Source Sans Pro" w:eastAsiaTheme="minorHAnsi" w:hAnsi="Source Sans Pro" w:cstheme="minorBidi"/>
          <w:kern w:val="2"/>
          <w:lang w:val="en-US" w:eastAsia="en-US"/>
          <w14:ligatures w14:val="standardContextual"/>
        </w:rPr>
        <w:t>)</w:t>
      </w:r>
      <w:r w:rsidRPr="00C474D1">
        <w:rPr>
          <w:rFonts w:ascii="Source Sans Pro" w:hAnsi="Source Sans Pro"/>
        </w:rPr>
        <w:t xml:space="preserve"> for additional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B35" w14:textId="7F4DD83F" w:rsidR="004B5F35" w:rsidRPr="004B5F35" w:rsidRDefault="004B5F35">
    <w:pPr>
      <w:pStyle w:val="Header"/>
      <w:rPr>
        <w:rFonts w:ascii="Source Sans Pro" w:hAnsi="Source Sans Pro"/>
        <w:sz w:val="22"/>
        <w:szCs w:val="22"/>
      </w:rPr>
    </w:pPr>
    <w:r w:rsidRPr="004B5F35">
      <w:rPr>
        <w:rFonts w:ascii="Source Sans Pro" w:hAnsi="Source Sans Pro"/>
        <w:sz w:val="22"/>
        <w:szCs w:val="22"/>
      </w:rPr>
      <w:t>Considerations for implementing PPH recommendations in humanitarian settings</w:t>
    </w:r>
  </w:p>
  <w:p w14:paraId="5CE9F9A3" w14:textId="0D8224BA" w:rsidR="004B5F35" w:rsidRPr="004B5F35" w:rsidRDefault="004B5F35">
    <w:pPr>
      <w:pStyle w:val="Header"/>
      <w:rPr>
        <w:rFonts w:ascii="Source Sans Pro" w:hAnsi="Source Sans Pro"/>
        <w:sz w:val="22"/>
        <w:szCs w:val="22"/>
      </w:rPr>
    </w:pPr>
    <w:r w:rsidRPr="004B5F35">
      <w:rPr>
        <w:rFonts w:ascii="Source Sans Pro" w:hAnsi="Source Sans Pro"/>
        <w:sz w:val="22"/>
        <w:szCs w:val="22"/>
      </w:rPr>
      <w:t>Implementation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FB9"/>
    <w:multiLevelType w:val="hybridMultilevel"/>
    <w:tmpl w:val="C722D784"/>
    <w:lvl w:ilvl="0" w:tplc="5F3C150C">
      <w:start w:val="1"/>
      <w:numFmt w:val="bullet"/>
      <w:lvlText w:val=""/>
      <w:lvlJc w:val="left"/>
      <w:pPr>
        <w:ind w:left="1020" w:hanging="360"/>
      </w:pPr>
      <w:rPr>
        <w:rFonts w:ascii="Symbol" w:hAnsi="Symbol"/>
      </w:rPr>
    </w:lvl>
    <w:lvl w:ilvl="1" w:tplc="F084C090">
      <w:start w:val="1"/>
      <w:numFmt w:val="bullet"/>
      <w:lvlText w:val=""/>
      <w:lvlJc w:val="left"/>
      <w:pPr>
        <w:ind w:left="1020" w:hanging="360"/>
      </w:pPr>
      <w:rPr>
        <w:rFonts w:ascii="Symbol" w:hAnsi="Symbol"/>
      </w:rPr>
    </w:lvl>
    <w:lvl w:ilvl="2" w:tplc="F9AA864E">
      <w:start w:val="1"/>
      <w:numFmt w:val="bullet"/>
      <w:lvlText w:val=""/>
      <w:lvlJc w:val="left"/>
      <w:pPr>
        <w:ind w:left="1020" w:hanging="360"/>
      </w:pPr>
      <w:rPr>
        <w:rFonts w:ascii="Symbol" w:hAnsi="Symbol"/>
      </w:rPr>
    </w:lvl>
    <w:lvl w:ilvl="3" w:tplc="0750E96E">
      <w:start w:val="1"/>
      <w:numFmt w:val="bullet"/>
      <w:lvlText w:val=""/>
      <w:lvlJc w:val="left"/>
      <w:pPr>
        <w:ind w:left="1020" w:hanging="360"/>
      </w:pPr>
      <w:rPr>
        <w:rFonts w:ascii="Symbol" w:hAnsi="Symbol"/>
      </w:rPr>
    </w:lvl>
    <w:lvl w:ilvl="4" w:tplc="D2242AC4">
      <w:start w:val="1"/>
      <w:numFmt w:val="bullet"/>
      <w:lvlText w:val=""/>
      <w:lvlJc w:val="left"/>
      <w:pPr>
        <w:ind w:left="1020" w:hanging="360"/>
      </w:pPr>
      <w:rPr>
        <w:rFonts w:ascii="Symbol" w:hAnsi="Symbol"/>
      </w:rPr>
    </w:lvl>
    <w:lvl w:ilvl="5" w:tplc="FB2A2C52">
      <w:start w:val="1"/>
      <w:numFmt w:val="bullet"/>
      <w:lvlText w:val=""/>
      <w:lvlJc w:val="left"/>
      <w:pPr>
        <w:ind w:left="1020" w:hanging="360"/>
      </w:pPr>
      <w:rPr>
        <w:rFonts w:ascii="Symbol" w:hAnsi="Symbol"/>
      </w:rPr>
    </w:lvl>
    <w:lvl w:ilvl="6" w:tplc="9918DDAC">
      <w:start w:val="1"/>
      <w:numFmt w:val="bullet"/>
      <w:lvlText w:val=""/>
      <w:lvlJc w:val="left"/>
      <w:pPr>
        <w:ind w:left="1020" w:hanging="360"/>
      </w:pPr>
      <w:rPr>
        <w:rFonts w:ascii="Symbol" w:hAnsi="Symbol"/>
      </w:rPr>
    </w:lvl>
    <w:lvl w:ilvl="7" w:tplc="C06A5554">
      <w:start w:val="1"/>
      <w:numFmt w:val="bullet"/>
      <w:lvlText w:val=""/>
      <w:lvlJc w:val="left"/>
      <w:pPr>
        <w:ind w:left="1020" w:hanging="360"/>
      </w:pPr>
      <w:rPr>
        <w:rFonts w:ascii="Symbol" w:hAnsi="Symbol"/>
      </w:rPr>
    </w:lvl>
    <w:lvl w:ilvl="8" w:tplc="F730B5B8">
      <w:start w:val="1"/>
      <w:numFmt w:val="bullet"/>
      <w:lvlText w:val=""/>
      <w:lvlJc w:val="left"/>
      <w:pPr>
        <w:ind w:left="1020" w:hanging="360"/>
      </w:pPr>
      <w:rPr>
        <w:rFonts w:ascii="Symbol" w:hAnsi="Symbol"/>
      </w:rPr>
    </w:lvl>
  </w:abstractNum>
  <w:abstractNum w:abstractNumId="1" w15:restartNumberingAfterBreak="0">
    <w:nsid w:val="02842107"/>
    <w:multiLevelType w:val="hybridMultilevel"/>
    <w:tmpl w:val="689495D8"/>
    <w:lvl w:ilvl="0" w:tplc="0D605C6C">
      <w:start w:val="1"/>
      <w:numFmt w:val="bullet"/>
      <w:lvlText w:val=""/>
      <w:lvlJc w:val="left"/>
      <w:pPr>
        <w:ind w:left="1020" w:hanging="360"/>
      </w:pPr>
      <w:rPr>
        <w:rFonts w:ascii="Symbol" w:hAnsi="Symbol"/>
      </w:rPr>
    </w:lvl>
    <w:lvl w:ilvl="1" w:tplc="0478B3A4">
      <w:start w:val="1"/>
      <w:numFmt w:val="bullet"/>
      <w:lvlText w:val=""/>
      <w:lvlJc w:val="left"/>
      <w:pPr>
        <w:ind w:left="1020" w:hanging="360"/>
      </w:pPr>
      <w:rPr>
        <w:rFonts w:ascii="Symbol" w:hAnsi="Symbol"/>
      </w:rPr>
    </w:lvl>
    <w:lvl w:ilvl="2" w:tplc="29A63B72">
      <w:start w:val="1"/>
      <w:numFmt w:val="bullet"/>
      <w:lvlText w:val=""/>
      <w:lvlJc w:val="left"/>
      <w:pPr>
        <w:ind w:left="1020" w:hanging="360"/>
      </w:pPr>
      <w:rPr>
        <w:rFonts w:ascii="Symbol" w:hAnsi="Symbol"/>
      </w:rPr>
    </w:lvl>
    <w:lvl w:ilvl="3" w:tplc="FDD2134C">
      <w:start w:val="1"/>
      <w:numFmt w:val="bullet"/>
      <w:lvlText w:val=""/>
      <w:lvlJc w:val="left"/>
      <w:pPr>
        <w:ind w:left="1020" w:hanging="360"/>
      </w:pPr>
      <w:rPr>
        <w:rFonts w:ascii="Symbol" w:hAnsi="Symbol"/>
      </w:rPr>
    </w:lvl>
    <w:lvl w:ilvl="4" w:tplc="A7223028">
      <w:start w:val="1"/>
      <w:numFmt w:val="bullet"/>
      <w:lvlText w:val=""/>
      <w:lvlJc w:val="left"/>
      <w:pPr>
        <w:ind w:left="1020" w:hanging="360"/>
      </w:pPr>
      <w:rPr>
        <w:rFonts w:ascii="Symbol" w:hAnsi="Symbol"/>
      </w:rPr>
    </w:lvl>
    <w:lvl w:ilvl="5" w:tplc="D95AF1DC">
      <w:start w:val="1"/>
      <w:numFmt w:val="bullet"/>
      <w:lvlText w:val=""/>
      <w:lvlJc w:val="left"/>
      <w:pPr>
        <w:ind w:left="1020" w:hanging="360"/>
      </w:pPr>
      <w:rPr>
        <w:rFonts w:ascii="Symbol" w:hAnsi="Symbol"/>
      </w:rPr>
    </w:lvl>
    <w:lvl w:ilvl="6" w:tplc="3E3E3A58">
      <w:start w:val="1"/>
      <w:numFmt w:val="bullet"/>
      <w:lvlText w:val=""/>
      <w:lvlJc w:val="left"/>
      <w:pPr>
        <w:ind w:left="1020" w:hanging="360"/>
      </w:pPr>
      <w:rPr>
        <w:rFonts w:ascii="Symbol" w:hAnsi="Symbol"/>
      </w:rPr>
    </w:lvl>
    <w:lvl w:ilvl="7" w:tplc="A894B368">
      <w:start w:val="1"/>
      <w:numFmt w:val="bullet"/>
      <w:lvlText w:val=""/>
      <w:lvlJc w:val="left"/>
      <w:pPr>
        <w:ind w:left="1020" w:hanging="360"/>
      </w:pPr>
      <w:rPr>
        <w:rFonts w:ascii="Symbol" w:hAnsi="Symbol"/>
      </w:rPr>
    </w:lvl>
    <w:lvl w:ilvl="8" w:tplc="401832A4">
      <w:start w:val="1"/>
      <w:numFmt w:val="bullet"/>
      <w:lvlText w:val=""/>
      <w:lvlJc w:val="left"/>
      <w:pPr>
        <w:ind w:left="1020" w:hanging="360"/>
      </w:pPr>
      <w:rPr>
        <w:rFonts w:ascii="Symbol" w:hAnsi="Symbol"/>
      </w:rPr>
    </w:lvl>
  </w:abstractNum>
  <w:abstractNum w:abstractNumId="2" w15:restartNumberingAfterBreak="0">
    <w:nsid w:val="04013B41"/>
    <w:multiLevelType w:val="hybridMultilevel"/>
    <w:tmpl w:val="C27A6984"/>
    <w:lvl w:ilvl="0" w:tplc="47AE3370">
      <w:start w:val="1"/>
      <w:numFmt w:val="bullet"/>
      <w:lvlText w:val=""/>
      <w:lvlJc w:val="left"/>
      <w:pPr>
        <w:ind w:left="720" w:hanging="360"/>
      </w:pPr>
      <w:rPr>
        <w:rFonts w:ascii="Symbol" w:hAnsi="Symbol"/>
      </w:rPr>
    </w:lvl>
    <w:lvl w:ilvl="1" w:tplc="BB3A1CC8">
      <w:start w:val="1"/>
      <w:numFmt w:val="bullet"/>
      <w:lvlText w:val=""/>
      <w:lvlJc w:val="left"/>
      <w:pPr>
        <w:ind w:left="720" w:hanging="360"/>
      </w:pPr>
      <w:rPr>
        <w:rFonts w:ascii="Symbol" w:hAnsi="Symbol"/>
      </w:rPr>
    </w:lvl>
    <w:lvl w:ilvl="2" w:tplc="6B5C43B0">
      <w:start w:val="1"/>
      <w:numFmt w:val="bullet"/>
      <w:lvlText w:val=""/>
      <w:lvlJc w:val="left"/>
      <w:pPr>
        <w:ind w:left="720" w:hanging="360"/>
      </w:pPr>
      <w:rPr>
        <w:rFonts w:ascii="Symbol" w:hAnsi="Symbol"/>
      </w:rPr>
    </w:lvl>
    <w:lvl w:ilvl="3" w:tplc="07AA5F56">
      <w:start w:val="1"/>
      <w:numFmt w:val="bullet"/>
      <w:lvlText w:val=""/>
      <w:lvlJc w:val="left"/>
      <w:pPr>
        <w:ind w:left="720" w:hanging="360"/>
      </w:pPr>
      <w:rPr>
        <w:rFonts w:ascii="Symbol" w:hAnsi="Symbol"/>
      </w:rPr>
    </w:lvl>
    <w:lvl w:ilvl="4" w:tplc="F0BE38A8">
      <w:start w:val="1"/>
      <w:numFmt w:val="bullet"/>
      <w:lvlText w:val=""/>
      <w:lvlJc w:val="left"/>
      <w:pPr>
        <w:ind w:left="720" w:hanging="360"/>
      </w:pPr>
      <w:rPr>
        <w:rFonts w:ascii="Symbol" w:hAnsi="Symbol"/>
      </w:rPr>
    </w:lvl>
    <w:lvl w:ilvl="5" w:tplc="01D00ABA">
      <w:start w:val="1"/>
      <w:numFmt w:val="bullet"/>
      <w:lvlText w:val=""/>
      <w:lvlJc w:val="left"/>
      <w:pPr>
        <w:ind w:left="720" w:hanging="360"/>
      </w:pPr>
      <w:rPr>
        <w:rFonts w:ascii="Symbol" w:hAnsi="Symbol"/>
      </w:rPr>
    </w:lvl>
    <w:lvl w:ilvl="6" w:tplc="F6BC35AE">
      <w:start w:val="1"/>
      <w:numFmt w:val="bullet"/>
      <w:lvlText w:val=""/>
      <w:lvlJc w:val="left"/>
      <w:pPr>
        <w:ind w:left="720" w:hanging="360"/>
      </w:pPr>
      <w:rPr>
        <w:rFonts w:ascii="Symbol" w:hAnsi="Symbol"/>
      </w:rPr>
    </w:lvl>
    <w:lvl w:ilvl="7" w:tplc="B35ECA92">
      <w:start w:val="1"/>
      <w:numFmt w:val="bullet"/>
      <w:lvlText w:val=""/>
      <w:lvlJc w:val="left"/>
      <w:pPr>
        <w:ind w:left="720" w:hanging="360"/>
      </w:pPr>
      <w:rPr>
        <w:rFonts w:ascii="Symbol" w:hAnsi="Symbol"/>
      </w:rPr>
    </w:lvl>
    <w:lvl w:ilvl="8" w:tplc="F1D4E010">
      <w:start w:val="1"/>
      <w:numFmt w:val="bullet"/>
      <w:lvlText w:val=""/>
      <w:lvlJc w:val="left"/>
      <w:pPr>
        <w:ind w:left="720" w:hanging="360"/>
      </w:pPr>
      <w:rPr>
        <w:rFonts w:ascii="Symbol" w:hAnsi="Symbol"/>
      </w:rPr>
    </w:lvl>
  </w:abstractNum>
  <w:abstractNum w:abstractNumId="3" w15:restartNumberingAfterBreak="0">
    <w:nsid w:val="0AD07946"/>
    <w:multiLevelType w:val="hybridMultilevel"/>
    <w:tmpl w:val="8BE44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DE2F45"/>
    <w:multiLevelType w:val="hybridMultilevel"/>
    <w:tmpl w:val="8DB855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916122"/>
    <w:multiLevelType w:val="hybridMultilevel"/>
    <w:tmpl w:val="B34A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4E06"/>
    <w:multiLevelType w:val="hybridMultilevel"/>
    <w:tmpl w:val="F6A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A116D"/>
    <w:multiLevelType w:val="hybridMultilevel"/>
    <w:tmpl w:val="51022F22"/>
    <w:lvl w:ilvl="0" w:tplc="AFE808BC">
      <w:start w:val="1"/>
      <w:numFmt w:val="bullet"/>
      <w:lvlText w:val=""/>
      <w:lvlJc w:val="left"/>
      <w:pPr>
        <w:ind w:left="1020" w:hanging="360"/>
      </w:pPr>
      <w:rPr>
        <w:rFonts w:ascii="Symbol" w:hAnsi="Symbol"/>
      </w:rPr>
    </w:lvl>
    <w:lvl w:ilvl="1" w:tplc="722216BA">
      <w:start w:val="1"/>
      <w:numFmt w:val="bullet"/>
      <w:lvlText w:val=""/>
      <w:lvlJc w:val="left"/>
      <w:pPr>
        <w:ind w:left="1020" w:hanging="360"/>
      </w:pPr>
      <w:rPr>
        <w:rFonts w:ascii="Symbol" w:hAnsi="Symbol"/>
      </w:rPr>
    </w:lvl>
    <w:lvl w:ilvl="2" w:tplc="5CEE69AA">
      <w:start w:val="1"/>
      <w:numFmt w:val="bullet"/>
      <w:lvlText w:val=""/>
      <w:lvlJc w:val="left"/>
      <w:pPr>
        <w:ind w:left="1020" w:hanging="360"/>
      </w:pPr>
      <w:rPr>
        <w:rFonts w:ascii="Symbol" w:hAnsi="Symbol"/>
      </w:rPr>
    </w:lvl>
    <w:lvl w:ilvl="3" w:tplc="1BD4EB64">
      <w:start w:val="1"/>
      <w:numFmt w:val="bullet"/>
      <w:lvlText w:val=""/>
      <w:lvlJc w:val="left"/>
      <w:pPr>
        <w:ind w:left="1020" w:hanging="360"/>
      </w:pPr>
      <w:rPr>
        <w:rFonts w:ascii="Symbol" w:hAnsi="Symbol"/>
      </w:rPr>
    </w:lvl>
    <w:lvl w:ilvl="4" w:tplc="F4FC2C46">
      <w:start w:val="1"/>
      <w:numFmt w:val="bullet"/>
      <w:lvlText w:val=""/>
      <w:lvlJc w:val="left"/>
      <w:pPr>
        <w:ind w:left="1020" w:hanging="360"/>
      </w:pPr>
      <w:rPr>
        <w:rFonts w:ascii="Symbol" w:hAnsi="Symbol"/>
      </w:rPr>
    </w:lvl>
    <w:lvl w:ilvl="5" w:tplc="096A9C90">
      <w:start w:val="1"/>
      <w:numFmt w:val="bullet"/>
      <w:lvlText w:val=""/>
      <w:lvlJc w:val="left"/>
      <w:pPr>
        <w:ind w:left="1020" w:hanging="360"/>
      </w:pPr>
      <w:rPr>
        <w:rFonts w:ascii="Symbol" w:hAnsi="Symbol"/>
      </w:rPr>
    </w:lvl>
    <w:lvl w:ilvl="6" w:tplc="CC5EED44">
      <w:start w:val="1"/>
      <w:numFmt w:val="bullet"/>
      <w:lvlText w:val=""/>
      <w:lvlJc w:val="left"/>
      <w:pPr>
        <w:ind w:left="1020" w:hanging="360"/>
      </w:pPr>
      <w:rPr>
        <w:rFonts w:ascii="Symbol" w:hAnsi="Symbol"/>
      </w:rPr>
    </w:lvl>
    <w:lvl w:ilvl="7" w:tplc="F094EC70">
      <w:start w:val="1"/>
      <w:numFmt w:val="bullet"/>
      <w:lvlText w:val=""/>
      <w:lvlJc w:val="left"/>
      <w:pPr>
        <w:ind w:left="1020" w:hanging="360"/>
      </w:pPr>
      <w:rPr>
        <w:rFonts w:ascii="Symbol" w:hAnsi="Symbol"/>
      </w:rPr>
    </w:lvl>
    <w:lvl w:ilvl="8" w:tplc="4AE00A5C">
      <w:start w:val="1"/>
      <w:numFmt w:val="bullet"/>
      <w:lvlText w:val=""/>
      <w:lvlJc w:val="left"/>
      <w:pPr>
        <w:ind w:left="1020" w:hanging="360"/>
      </w:pPr>
      <w:rPr>
        <w:rFonts w:ascii="Symbol" w:hAnsi="Symbol"/>
      </w:rPr>
    </w:lvl>
  </w:abstractNum>
  <w:abstractNum w:abstractNumId="8" w15:restartNumberingAfterBreak="0">
    <w:nsid w:val="1E3D43F4"/>
    <w:multiLevelType w:val="hybridMultilevel"/>
    <w:tmpl w:val="D1E6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43D62"/>
    <w:multiLevelType w:val="hybridMultilevel"/>
    <w:tmpl w:val="66067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AB7CF4"/>
    <w:multiLevelType w:val="hybridMultilevel"/>
    <w:tmpl w:val="D244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D3843"/>
    <w:multiLevelType w:val="hybridMultilevel"/>
    <w:tmpl w:val="39A4D808"/>
    <w:lvl w:ilvl="0" w:tplc="4A12E0F4">
      <w:start w:val="1"/>
      <w:numFmt w:val="bullet"/>
      <w:lvlText w:val=""/>
      <w:lvlJc w:val="left"/>
      <w:pPr>
        <w:ind w:left="1020" w:hanging="360"/>
      </w:pPr>
      <w:rPr>
        <w:rFonts w:ascii="Symbol" w:hAnsi="Symbol"/>
      </w:rPr>
    </w:lvl>
    <w:lvl w:ilvl="1" w:tplc="B0E4A26E">
      <w:start w:val="1"/>
      <w:numFmt w:val="bullet"/>
      <w:lvlText w:val=""/>
      <w:lvlJc w:val="left"/>
      <w:pPr>
        <w:ind w:left="1020" w:hanging="360"/>
      </w:pPr>
      <w:rPr>
        <w:rFonts w:ascii="Symbol" w:hAnsi="Symbol"/>
      </w:rPr>
    </w:lvl>
    <w:lvl w:ilvl="2" w:tplc="09184AD4">
      <w:start w:val="1"/>
      <w:numFmt w:val="bullet"/>
      <w:lvlText w:val=""/>
      <w:lvlJc w:val="left"/>
      <w:pPr>
        <w:ind w:left="1020" w:hanging="360"/>
      </w:pPr>
      <w:rPr>
        <w:rFonts w:ascii="Symbol" w:hAnsi="Symbol"/>
      </w:rPr>
    </w:lvl>
    <w:lvl w:ilvl="3" w:tplc="109EFE02">
      <w:start w:val="1"/>
      <w:numFmt w:val="bullet"/>
      <w:lvlText w:val=""/>
      <w:lvlJc w:val="left"/>
      <w:pPr>
        <w:ind w:left="1020" w:hanging="360"/>
      </w:pPr>
      <w:rPr>
        <w:rFonts w:ascii="Symbol" w:hAnsi="Symbol"/>
      </w:rPr>
    </w:lvl>
    <w:lvl w:ilvl="4" w:tplc="196CC5B4">
      <w:start w:val="1"/>
      <w:numFmt w:val="bullet"/>
      <w:lvlText w:val=""/>
      <w:lvlJc w:val="left"/>
      <w:pPr>
        <w:ind w:left="1020" w:hanging="360"/>
      </w:pPr>
      <w:rPr>
        <w:rFonts w:ascii="Symbol" w:hAnsi="Symbol"/>
      </w:rPr>
    </w:lvl>
    <w:lvl w:ilvl="5" w:tplc="1AA8F468">
      <w:start w:val="1"/>
      <w:numFmt w:val="bullet"/>
      <w:lvlText w:val=""/>
      <w:lvlJc w:val="left"/>
      <w:pPr>
        <w:ind w:left="1020" w:hanging="360"/>
      </w:pPr>
      <w:rPr>
        <w:rFonts w:ascii="Symbol" w:hAnsi="Symbol"/>
      </w:rPr>
    </w:lvl>
    <w:lvl w:ilvl="6" w:tplc="D5524DF4">
      <w:start w:val="1"/>
      <w:numFmt w:val="bullet"/>
      <w:lvlText w:val=""/>
      <w:lvlJc w:val="left"/>
      <w:pPr>
        <w:ind w:left="1020" w:hanging="360"/>
      </w:pPr>
      <w:rPr>
        <w:rFonts w:ascii="Symbol" w:hAnsi="Symbol"/>
      </w:rPr>
    </w:lvl>
    <w:lvl w:ilvl="7" w:tplc="F64C6A16">
      <w:start w:val="1"/>
      <w:numFmt w:val="bullet"/>
      <w:lvlText w:val=""/>
      <w:lvlJc w:val="left"/>
      <w:pPr>
        <w:ind w:left="1020" w:hanging="360"/>
      </w:pPr>
      <w:rPr>
        <w:rFonts w:ascii="Symbol" w:hAnsi="Symbol"/>
      </w:rPr>
    </w:lvl>
    <w:lvl w:ilvl="8" w:tplc="53D8081C">
      <w:start w:val="1"/>
      <w:numFmt w:val="bullet"/>
      <w:lvlText w:val=""/>
      <w:lvlJc w:val="left"/>
      <w:pPr>
        <w:ind w:left="1020" w:hanging="360"/>
      </w:pPr>
      <w:rPr>
        <w:rFonts w:ascii="Symbol" w:hAnsi="Symbol"/>
      </w:rPr>
    </w:lvl>
  </w:abstractNum>
  <w:abstractNum w:abstractNumId="12" w15:restartNumberingAfterBreak="0">
    <w:nsid w:val="325D4AFA"/>
    <w:multiLevelType w:val="hybridMultilevel"/>
    <w:tmpl w:val="280EE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81775D"/>
    <w:multiLevelType w:val="hybridMultilevel"/>
    <w:tmpl w:val="EDA0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94DFB"/>
    <w:multiLevelType w:val="hybridMultilevel"/>
    <w:tmpl w:val="DCAEAD80"/>
    <w:lvl w:ilvl="0" w:tplc="B3B222E4">
      <w:start w:val="1"/>
      <w:numFmt w:val="bullet"/>
      <w:lvlText w:val=""/>
      <w:lvlJc w:val="left"/>
      <w:pPr>
        <w:ind w:left="1020" w:hanging="360"/>
      </w:pPr>
      <w:rPr>
        <w:rFonts w:ascii="Symbol" w:hAnsi="Symbol"/>
      </w:rPr>
    </w:lvl>
    <w:lvl w:ilvl="1" w:tplc="C8EEF76A">
      <w:start w:val="1"/>
      <w:numFmt w:val="bullet"/>
      <w:lvlText w:val=""/>
      <w:lvlJc w:val="left"/>
      <w:pPr>
        <w:ind w:left="1020" w:hanging="360"/>
      </w:pPr>
      <w:rPr>
        <w:rFonts w:ascii="Symbol" w:hAnsi="Symbol"/>
      </w:rPr>
    </w:lvl>
    <w:lvl w:ilvl="2" w:tplc="64429B0E">
      <w:start w:val="1"/>
      <w:numFmt w:val="bullet"/>
      <w:lvlText w:val=""/>
      <w:lvlJc w:val="left"/>
      <w:pPr>
        <w:ind w:left="1020" w:hanging="360"/>
      </w:pPr>
      <w:rPr>
        <w:rFonts w:ascii="Symbol" w:hAnsi="Symbol"/>
      </w:rPr>
    </w:lvl>
    <w:lvl w:ilvl="3" w:tplc="01C4310A">
      <w:start w:val="1"/>
      <w:numFmt w:val="bullet"/>
      <w:lvlText w:val=""/>
      <w:lvlJc w:val="left"/>
      <w:pPr>
        <w:ind w:left="1020" w:hanging="360"/>
      </w:pPr>
      <w:rPr>
        <w:rFonts w:ascii="Symbol" w:hAnsi="Symbol"/>
      </w:rPr>
    </w:lvl>
    <w:lvl w:ilvl="4" w:tplc="990020FC">
      <w:start w:val="1"/>
      <w:numFmt w:val="bullet"/>
      <w:lvlText w:val=""/>
      <w:lvlJc w:val="left"/>
      <w:pPr>
        <w:ind w:left="1020" w:hanging="360"/>
      </w:pPr>
      <w:rPr>
        <w:rFonts w:ascii="Symbol" w:hAnsi="Symbol"/>
      </w:rPr>
    </w:lvl>
    <w:lvl w:ilvl="5" w:tplc="E7707490">
      <w:start w:val="1"/>
      <w:numFmt w:val="bullet"/>
      <w:lvlText w:val=""/>
      <w:lvlJc w:val="left"/>
      <w:pPr>
        <w:ind w:left="1020" w:hanging="360"/>
      </w:pPr>
      <w:rPr>
        <w:rFonts w:ascii="Symbol" w:hAnsi="Symbol"/>
      </w:rPr>
    </w:lvl>
    <w:lvl w:ilvl="6" w:tplc="58541AFA">
      <w:start w:val="1"/>
      <w:numFmt w:val="bullet"/>
      <w:lvlText w:val=""/>
      <w:lvlJc w:val="left"/>
      <w:pPr>
        <w:ind w:left="1020" w:hanging="360"/>
      </w:pPr>
      <w:rPr>
        <w:rFonts w:ascii="Symbol" w:hAnsi="Symbol"/>
      </w:rPr>
    </w:lvl>
    <w:lvl w:ilvl="7" w:tplc="4D12452C">
      <w:start w:val="1"/>
      <w:numFmt w:val="bullet"/>
      <w:lvlText w:val=""/>
      <w:lvlJc w:val="left"/>
      <w:pPr>
        <w:ind w:left="1020" w:hanging="360"/>
      </w:pPr>
      <w:rPr>
        <w:rFonts w:ascii="Symbol" w:hAnsi="Symbol"/>
      </w:rPr>
    </w:lvl>
    <w:lvl w:ilvl="8" w:tplc="25A0C554">
      <w:start w:val="1"/>
      <w:numFmt w:val="bullet"/>
      <w:lvlText w:val=""/>
      <w:lvlJc w:val="left"/>
      <w:pPr>
        <w:ind w:left="1020" w:hanging="360"/>
      </w:pPr>
      <w:rPr>
        <w:rFonts w:ascii="Symbol" w:hAnsi="Symbol"/>
      </w:rPr>
    </w:lvl>
  </w:abstractNum>
  <w:abstractNum w:abstractNumId="15" w15:restartNumberingAfterBreak="0">
    <w:nsid w:val="45BE4D0E"/>
    <w:multiLevelType w:val="hybridMultilevel"/>
    <w:tmpl w:val="DB48E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313687"/>
    <w:multiLevelType w:val="hybridMultilevel"/>
    <w:tmpl w:val="1AC4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05AF6"/>
    <w:multiLevelType w:val="hybridMultilevel"/>
    <w:tmpl w:val="33A6C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A10622"/>
    <w:multiLevelType w:val="hybridMultilevel"/>
    <w:tmpl w:val="CB54F690"/>
    <w:lvl w:ilvl="0" w:tplc="89ECCD64">
      <w:start w:val="1"/>
      <w:numFmt w:val="bullet"/>
      <w:lvlText w:val=""/>
      <w:lvlJc w:val="left"/>
      <w:pPr>
        <w:ind w:left="1020" w:hanging="360"/>
      </w:pPr>
      <w:rPr>
        <w:rFonts w:ascii="Symbol" w:hAnsi="Symbol"/>
      </w:rPr>
    </w:lvl>
    <w:lvl w:ilvl="1" w:tplc="2F400880">
      <w:start w:val="1"/>
      <w:numFmt w:val="bullet"/>
      <w:lvlText w:val=""/>
      <w:lvlJc w:val="left"/>
      <w:pPr>
        <w:ind w:left="1020" w:hanging="360"/>
      </w:pPr>
      <w:rPr>
        <w:rFonts w:ascii="Symbol" w:hAnsi="Symbol"/>
      </w:rPr>
    </w:lvl>
    <w:lvl w:ilvl="2" w:tplc="7BD41652">
      <w:start w:val="1"/>
      <w:numFmt w:val="bullet"/>
      <w:lvlText w:val=""/>
      <w:lvlJc w:val="left"/>
      <w:pPr>
        <w:ind w:left="1020" w:hanging="360"/>
      </w:pPr>
      <w:rPr>
        <w:rFonts w:ascii="Symbol" w:hAnsi="Symbol"/>
      </w:rPr>
    </w:lvl>
    <w:lvl w:ilvl="3" w:tplc="C3DA2BAA">
      <w:start w:val="1"/>
      <w:numFmt w:val="bullet"/>
      <w:lvlText w:val=""/>
      <w:lvlJc w:val="left"/>
      <w:pPr>
        <w:ind w:left="1020" w:hanging="360"/>
      </w:pPr>
      <w:rPr>
        <w:rFonts w:ascii="Symbol" w:hAnsi="Symbol"/>
      </w:rPr>
    </w:lvl>
    <w:lvl w:ilvl="4" w:tplc="906A97D0">
      <w:start w:val="1"/>
      <w:numFmt w:val="bullet"/>
      <w:lvlText w:val=""/>
      <w:lvlJc w:val="left"/>
      <w:pPr>
        <w:ind w:left="1020" w:hanging="360"/>
      </w:pPr>
      <w:rPr>
        <w:rFonts w:ascii="Symbol" w:hAnsi="Symbol"/>
      </w:rPr>
    </w:lvl>
    <w:lvl w:ilvl="5" w:tplc="6AA2547E">
      <w:start w:val="1"/>
      <w:numFmt w:val="bullet"/>
      <w:lvlText w:val=""/>
      <w:lvlJc w:val="left"/>
      <w:pPr>
        <w:ind w:left="1020" w:hanging="360"/>
      </w:pPr>
      <w:rPr>
        <w:rFonts w:ascii="Symbol" w:hAnsi="Symbol"/>
      </w:rPr>
    </w:lvl>
    <w:lvl w:ilvl="6" w:tplc="C69CF636">
      <w:start w:val="1"/>
      <w:numFmt w:val="bullet"/>
      <w:lvlText w:val=""/>
      <w:lvlJc w:val="left"/>
      <w:pPr>
        <w:ind w:left="1020" w:hanging="360"/>
      </w:pPr>
      <w:rPr>
        <w:rFonts w:ascii="Symbol" w:hAnsi="Symbol"/>
      </w:rPr>
    </w:lvl>
    <w:lvl w:ilvl="7" w:tplc="0AF829F2">
      <w:start w:val="1"/>
      <w:numFmt w:val="bullet"/>
      <w:lvlText w:val=""/>
      <w:lvlJc w:val="left"/>
      <w:pPr>
        <w:ind w:left="1020" w:hanging="360"/>
      </w:pPr>
      <w:rPr>
        <w:rFonts w:ascii="Symbol" w:hAnsi="Symbol"/>
      </w:rPr>
    </w:lvl>
    <w:lvl w:ilvl="8" w:tplc="861672D0">
      <w:start w:val="1"/>
      <w:numFmt w:val="bullet"/>
      <w:lvlText w:val=""/>
      <w:lvlJc w:val="left"/>
      <w:pPr>
        <w:ind w:left="1020" w:hanging="360"/>
      </w:pPr>
      <w:rPr>
        <w:rFonts w:ascii="Symbol" w:hAnsi="Symbol"/>
      </w:rPr>
    </w:lvl>
  </w:abstractNum>
  <w:abstractNum w:abstractNumId="19" w15:restartNumberingAfterBreak="0">
    <w:nsid w:val="57AA5580"/>
    <w:multiLevelType w:val="hybridMultilevel"/>
    <w:tmpl w:val="8EDAC5E8"/>
    <w:lvl w:ilvl="0" w:tplc="EE1E7BB0">
      <w:start w:val="1"/>
      <w:numFmt w:val="bullet"/>
      <w:lvlText w:val=""/>
      <w:lvlJc w:val="left"/>
      <w:pPr>
        <w:ind w:left="720" w:hanging="360"/>
      </w:pPr>
      <w:rPr>
        <w:rFonts w:ascii="Symbol" w:hAnsi="Symbol"/>
      </w:rPr>
    </w:lvl>
    <w:lvl w:ilvl="1" w:tplc="B1E2D12E">
      <w:start w:val="1"/>
      <w:numFmt w:val="bullet"/>
      <w:lvlText w:val=""/>
      <w:lvlJc w:val="left"/>
      <w:pPr>
        <w:ind w:left="720" w:hanging="360"/>
      </w:pPr>
      <w:rPr>
        <w:rFonts w:ascii="Symbol" w:hAnsi="Symbol"/>
      </w:rPr>
    </w:lvl>
    <w:lvl w:ilvl="2" w:tplc="569AE9D2">
      <w:start w:val="1"/>
      <w:numFmt w:val="bullet"/>
      <w:lvlText w:val=""/>
      <w:lvlJc w:val="left"/>
      <w:pPr>
        <w:ind w:left="720" w:hanging="360"/>
      </w:pPr>
      <w:rPr>
        <w:rFonts w:ascii="Symbol" w:hAnsi="Symbol"/>
      </w:rPr>
    </w:lvl>
    <w:lvl w:ilvl="3" w:tplc="A0264F3A">
      <w:start w:val="1"/>
      <w:numFmt w:val="bullet"/>
      <w:lvlText w:val=""/>
      <w:lvlJc w:val="left"/>
      <w:pPr>
        <w:ind w:left="720" w:hanging="360"/>
      </w:pPr>
      <w:rPr>
        <w:rFonts w:ascii="Symbol" w:hAnsi="Symbol"/>
      </w:rPr>
    </w:lvl>
    <w:lvl w:ilvl="4" w:tplc="EEEA377C">
      <w:start w:val="1"/>
      <w:numFmt w:val="bullet"/>
      <w:lvlText w:val=""/>
      <w:lvlJc w:val="left"/>
      <w:pPr>
        <w:ind w:left="720" w:hanging="360"/>
      </w:pPr>
      <w:rPr>
        <w:rFonts w:ascii="Symbol" w:hAnsi="Symbol"/>
      </w:rPr>
    </w:lvl>
    <w:lvl w:ilvl="5" w:tplc="1B96C882">
      <w:start w:val="1"/>
      <w:numFmt w:val="bullet"/>
      <w:lvlText w:val=""/>
      <w:lvlJc w:val="left"/>
      <w:pPr>
        <w:ind w:left="720" w:hanging="360"/>
      </w:pPr>
      <w:rPr>
        <w:rFonts w:ascii="Symbol" w:hAnsi="Symbol"/>
      </w:rPr>
    </w:lvl>
    <w:lvl w:ilvl="6" w:tplc="B8482F86">
      <w:start w:val="1"/>
      <w:numFmt w:val="bullet"/>
      <w:lvlText w:val=""/>
      <w:lvlJc w:val="left"/>
      <w:pPr>
        <w:ind w:left="720" w:hanging="360"/>
      </w:pPr>
      <w:rPr>
        <w:rFonts w:ascii="Symbol" w:hAnsi="Symbol"/>
      </w:rPr>
    </w:lvl>
    <w:lvl w:ilvl="7" w:tplc="7CAC3C62">
      <w:start w:val="1"/>
      <w:numFmt w:val="bullet"/>
      <w:lvlText w:val=""/>
      <w:lvlJc w:val="left"/>
      <w:pPr>
        <w:ind w:left="720" w:hanging="360"/>
      </w:pPr>
      <w:rPr>
        <w:rFonts w:ascii="Symbol" w:hAnsi="Symbol"/>
      </w:rPr>
    </w:lvl>
    <w:lvl w:ilvl="8" w:tplc="0706B81E">
      <w:start w:val="1"/>
      <w:numFmt w:val="bullet"/>
      <w:lvlText w:val=""/>
      <w:lvlJc w:val="left"/>
      <w:pPr>
        <w:ind w:left="720" w:hanging="360"/>
      </w:pPr>
      <w:rPr>
        <w:rFonts w:ascii="Symbol" w:hAnsi="Symbol"/>
      </w:rPr>
    </w:lvl>
  </w:abstractNum>
  <w:abstractNum w:abstractNumId="20" w15:restartNumberingAfterBreak="0">
    <w:nsid w:val="586D104E"/>
    <w:multiLevelType w:val="hybridMultilevel"/>
    <w:tmpl w:val="C284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02DB2"/>
    <w:multiLevelType w:val="hybridMultilevel"/>
    <w:tmpl w:val="A20E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94FD1"/>
    <w:multiLevelType w:val="hybridMultilevel"/>
    <w:tmpl w:val="8DB85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172FD1"/>
    <w:multiLevelType w:val="hybridMultilevel"/>
    <w:tmpl w:val="2216E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607E6"/>
    <w:multiLevelType w:val="hybridMultilevel"/>
    <w:tmpl w:val="68B4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C7BF9"/>
    <w:multiLevelType w:val="hybridMultilevel"/>
    <w:tmpl w:val="4E2C6474"/>
    <w:lvl w:ilvl="0" w:tplc="04090001">
      <w:start w:val="1"/>
      <w:numFmt w:val="bullet"/>
      <w:lvlText w:val=""/>
      <w:lvlJc w:val="left"/>
      <w:pPr>
        <w:ind w:left="720" w:hanging="360"/>
      </w:pPr>
      <w:rPr>
        <w:rFonts w:ascii="Symbol" w:hAnsi="Symbol" w:hint="default"/>
      </w:rPr>
    </w:lvl>
    <w:lvl w:ilvl="1" w:tplc="2C120748">
      <w:numFmt w:val="bullet"/>
      <w:lvlText w:val="•"/>
      <w:lvlJc w:val="left"/>
      <w:pPr>
        <w:ind w:left="1440" w:hanging="360"/>
      </w:pPr>
      <w:rPr>
        <w:rFonts w:ascii="Source Sans Pro" w:eastAsiaTheme="minorHAnsi" w:hAnsi="Source Sans Pro"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A31D3"/>
    <w:multiLevelType w:val="hybridMultilevel"/>
    <w:tmpl w:val="70B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12484"/>
    <w:multiLevelType w:val="hybridMultilevel"/>
    <w:tmpl w:val="401E3C2A"/>
    <w:lvl w:ilvl="0" w:tplc="64768F68">
      <w:start w:val="1"/>
      <w:numFmt w:val="bullet"/>
      <w:lvlText w:val=""/>
      <w:lvlJc w:val="left"/>
      <w:pPr>
        <w:ind w:left="1020" w:hanging="360"/>
      </w:pPr>
      <w:rPr>
        <w:rFonts w:ascii="Symbol" w:hAnsi="Symbol"/>
      </w:rPr>
    </w:lvl>
    <w:lvl w:ilvl="1" w:tplc="172063AC">
      <w:start w:val="1"/>
      <w:numFmt w:val="bullet"/>
      <w:lvlText w:val=""/>
      <w:lvlJc w:val="left"/>
      <w:pPr>
        <w:ind w:left="1020" w:hanging="360"/>
      </w:pPr>
      <w:rPr>
        <w:rFonts w:ascii="Symbol" w:hAnsi="Symbol"/>
      </w:rPr>
    </w:lvl>
    <w:lvl w:ilvl="2" w:tplc="5A583FB0">
      <w:start w:val="1"/>
      <w:numFmt w:val="bullet"/>
      <w:lvlText w:val=""/>
      <w:lvlJc w:val="left"/>
      <w:pPr>
        <w:ind w:left="1020" w:hanging="360"/>
      </w:pPr>
      <w:rPr>
        <w:rFonts w:ascii="Symbol" w:hAnsi="Symbol"/>
      </w:rPr>
    </w:lvl>
    <w:lvl w:ilvl="3" w:tplc="9BF696A2">
      <w:start w:val="1"/>
      <w:numFmt w:val="bullet"/>
      <w:lvlText w:val=""/>
      <w:lvlJc w:val="left"/>
      <w:pPr>
        <w:ind w:left="1020" w:hanging="360"/>
      </w:pPr>
      <w:rPr>
        <w:rFonts w:ascii="Symbol" w:hAnsi="Symbol"/>
      </w:rPr>
    </w:lvl>
    <w:lvl w:ilvl="4" w:tplc="33BE820A">
      <w:start w:val="1"/>
      <w:numFmt w:val="bullet"/>
      <w:lvlText w:val=""/>
      <w:lvlJc w:val="left"/>
      <w:pPr>
        <w:ind w:left="1020" w:hanging="360"/>
      </w:pPr>
      <w:rPr>
        <w:rFonts w:ascii="Symbol" w:hAnsi="Symbol"/>
      </w:rPr>
    </w:lvl>
    <w:lvl w:ilvl="5" w:tplc="3468D222">
      <w:start w:val="1"/>
      <w:numFmt w:val="bullet"/>
      <w:lvlText w:val=""/>
      <w:lvlJc w:val="left"/>
      <w:pPr>
        <w:ind w:left="1020" w:hanging="360"/>
      </w:pPr>
      <w:rPr>
        <w:rFonts w:ascii="Symbol" w:hAnsi="Symbol"/>
      </w:rPr>
    </w:lvl>
    <w:lvl w:ilvl="6" w:tplc="FF84F9BA">
      <w:start w:val="1"/>
      <w:numFmt w:val="bullet"/>
      <w:lvlText w:val=""/>
      <w:lvlJc w:val="left"/>
      <w:pPr>
        <w:ind w:left="1020" w:hanging="360"/>
      </w:pPr>
      <w:rPr>
        <w:rFonts w:ascii="Symbol" w:hAnsi="Symbol"/>
      </w:rPr>
    </w:lvl>
    <w:lvl w:ilvl="7" w:tplc="DA4AD732">
      <w:start w:val="1"/>
      <w:numFmt w:val="bullet"/>
      <w:lvlText w:val=""/>
      <w:lvlJc w:val="left"/>
      <w:pPr>
        <w:ind w:left="1020" w:hanging="360"/>
      </w:pPr>
      <w:rPr>
        <w:rFonts w:ascii="Symbol" w:hAnsi="Symbol"/>
      </w:rPr>
    </w:lvl>
    <w:lvl w:ilvl="8" w:tplc="43242F0A">
      <w:start w:val="1"/>
      <w:numFmt w:val="bullet"/>
      <w:lvlText w:val=""/>
      <w:lvlJc w:val="left"/>
      <w:pPr>
        <w:ind w:left="1020" w:hanging="360"/>
      </w:pPr>
      <w:rPr>
        <w:rFonts w:ascii="Symbol" w:hAnsi="Symbol"/>
      </w:rPr>
    </w:lvl>
  </w:abstractNum>
  <w:abstractNum w:abstractNumId="28" w15:restartNumberingAfterBreak="0">
    <w:nsid w:val="765F73E8"/>
    <w:multiLevelType w:val="hybridMultilevel"/>
    <w:tmpl w:val="D94843AC"/>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9" w15:restartNumberingAfterBreak="0">
    <w:nsid w:val="7A184247"/>
    <w:multiLevelType w:val="hybridMultilevel"/>
    <w:tmpl w:val="30D6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D74BFE"/>
    <w:multiLevelType w:val="hybridMultilevel"/>
    <w:tmpl w:val="3D1C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0204F"/>
    <w:multiLevelType w:val="hybridMultilevel"/>
    <w:tmpl w:val="64381272"/>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1817379034">
    <w:abstractNumId w:val="17"/>
  </w:num>
  <w:num w:numId="2" w16cid:durableId="1315377206">
    <w:abstractNumId w:val="9"/>
  </w:num>
  <w:num w:numId="3" w16cid:durableId="1105930545">
    <w:abstractNumId w:val="29"/>
  </w:num>
  <w:num w:numId="4" w16cid:durableId="1426340535">
    <w:abstractNumId w:val="15"/>
  </w:num>
  <w:num w:numId="5" w16cid:durableId="1531605724">
    <w:abstractNumId w:val="12"/>
  </w:num>
  <w:num w:numId="6" w16cid:durableId="582760093">
    <w:abstractNumId w:val="2"/>
  </w:num>
  <w:num w:numId="7" w16cid:durableId="90206471">
    <w:abstractNumId w:val="19"/>
  </w:num>
  <w:num w:numId="8" w16cid:durableId="87124301">
    <w:abstractNumId w:val="28"/>
  </w:num>
  <w:num w:numId="9" w16cid:durableId="1314523562">
    <w:abstractNumId w:val="23"/>
  </w:num>
  <w:num w:numId="10" w16cid:durableId="1350595120">
    <w:abstractNumId w:val="22"/>
  </w:num>
  <w:num w:numId="11" w16cid:durableId="268709397">
    <w:abstractNumId w:val="6"/>
  </w:num>
  <w:num w:numId="12" w16cid:durableId="401560973">
    <w:abstractNumId w:val="16"/>
  </w:num>
  <w:num w:numId="13" w16cid:durableId="1527060700">
    <w:abstractNumId w:val="20"/>
  </w:num>
  <w:num w:numId="14" w16cid:durableId="1585920870">
    <w:abstractNumId w:val="30"/>
  </w:num>
  <w:num w:numId="15" w16cid:durableId="1387609806">
    <w:abstractNumId w:val="13"/>
  </w:num>
  <w:num w:numId="16" w16cid:durableId="1114252020">
    <w:abstractNumId w:val="8"/>
  </w:num>
  <w:num w:numId="17" w16cid:durableId="439879313">
    <w:abstractNumId w:val="10"/>
  </w:num>
  <w:num w:numId="18" w16cid:durableId="685251554">
    <w:abstractNumId w:val="21"/>
  </w:num>
  <w:num w:numId="19" w16cid:durableId="1059592005">
    <w:abstractNumId w:val="25"/>
  </w:num>
  <w:num w:numId="20" w16cid:durableId="2013793909">
    <w:abstractNumId w:val="5"/>
  </w:num>
  <w:num w:numId="21" w16cid:durableId="1007174565">
    <w:abstractNumId w:val="24"/>
  </w:num>
  <w:num w:numId="22" w16cid:durableId="731974842">
    <w:abstractNumId w:val="26"/>
  </w:num>
  <w:num w:numId="23" w16cid:durableId="807819613">
    <w:abstractNumId w:val="4"/>
  </w:num>
  <w:num w:numId="24" w16cid:durableId="39330354">
    <w:abstractNumId w:val="27"/>
  </w:num>
  <w:num w:numId="25" w16cid:durableId="226649456">
    <w:abstractNumId w:val="18"/>
  </w:num>
  <w:num w:numId="26" w16cid:durableId="535973983">
    <w:abstractNumId w:val="1"/>
  </w:num>
  <w:num w:numId="27" w16cid:durableId="789782003">
    <w:abstractNumId w:val="11"/>
  </w:num>
  <w:num w:numId="28" w16cid:durableId="1775635360">
    <w:abstractNumId w:val="14"/>
  </w:num>
  <w:num w:numId="29" w16cid:durableId="1935434895">
    <w:abstractNumId w:val="7"/>
  </w:num>
  <w:num w:numId="30" w16cid:durableId="1787193177">
    <w:abstractNumId w:val="0"/>
  </w:num>
  <w:num w:numId="31" w16cid:durableId="1921671167">
    <w:abstractNumId w:val="3"/>
  </w:num>
  <w:num w:numId="32" w16cid:durableId="14368276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01"/>
    <w:rsid w:val="000060F9"/>
    <w:rsid w:val="0001027C"/>
    <w:rsid w:val="00012FE8"/>
    <w:rsid w:val="00023FA1"/>
    <w:rsid w:val="00024F07"/>
    <w:rsid w:val="00032F7E"/>
    <w:rsid w:val="00037199"/>
    <w:rsid w:val="00061988"/>
    <w:rsid w:val="00064625"/>
    <w:rsid w:val="00072830"/>
    <w:rsid w:val="0007422B"/>
    <w:rsid w:val="00074369"/>
    <w:rsid w:val="00076076"/>
    <w:rsid w:val="00084172"/>
    <w:rsid w:val="00097B9E"/>
    <w:rsid w:val="000A0EDF"/>
    <w:rsid w:val="000A1D25"/>
    <w:rsid w:val="000A3C11"/>
    <w:rsid w:val="000B3134"/>
    <w:rsid w:val="000F25F7"/>
    <w:rsid w:val="00131074"/>
    <w:rsid w:val="00142E94"/>
    <w:rsid w:val="00143BE7"/>
    <w:rsid w:val="00150757"/>
    <w:rsid w:val="00151F48"/>
    <w:rsid w:val="001526C6"/>
    <w:rsid w:val="001673FF"/>
    <w:rsid w:val="001869DC"/>
    <w:rsid w:val="00194C58"/>
    <w:rsid w:val="001A2464"/>
    <w:rsid w:val="001A2916"/>
    <w:rsid w:val="001C2189"/>
    <w:rsid w:val="001C3D65"/>
    <w:rsid w:val="001E2321"/>
    <w:rsid w:val="001E5CC6"/>
    <w:rsid w:val="001F16C9"/>
    <w:rsid w:val="002110A9"/>
    <w:rsid w:val="00220C66"/>
    <w:rsid w:val="0023403E"/>
    <w:rsid w:val="00244052"/>
    <w:rsid w:val="00246B66"/>
    <w:rsid w:val="00253AFE"/>
    <w:rsid w:val="002734B6"/>
    <w:rsid w:val="00290F76"/>
    <w:rsid w:val="002A12B7"/>
    <w:rsid w:val="002C2555"/>
    <w:rsid w:val="002C44E2"/>
    <w:rsid w:val="002D09C1"/>
    <w:rsid w:val="002D1F6A"/>
    <w:rsid w:val="002E4905"/>
    <w:rsid w:val="002F1E99"/>
    <w:rsid w:val="003003FF"/>
    <w:rsid w:val="00320ECF"/>
    <w:rsid w:val="00335AC6"/>
    <w:rsid w:val="003364FE"/>
    <w:rsid w:val="003446FC"/>
    <w:rsid w:val="00344BCE"/>
    <w:rsid w:val="00345B04"/>
    <w:rsid w:val="00351BBA"/>
    <w:rsid w:val="00361476"/>
    <w:rsid w:val="00365567"/>
    <w:rsid w:val="00367738"/>
    <w:rsid w:val="00373CA8"/>
    <w:rsid w:val="00374CE9"/>
    <w:rsid w:val="0038511A"/>
    <w:rsid w:val="00387877"/>
    <w:rsid w:val="003A11C5"/>
    <w:rsid w:val="003A40F0"/>
    <w:rsid w:val="003B1DE4"/>
    <w:rsid w:val="003D3A89"/>
    <w:rsid w:val="003D3C10"/>
    <w:rsid w:val="003D78AB"/>
    <w:rsid w:val="003E0D40"/>
    <w:rsid w:val="003F45FB"/>
    <w:rsid w:val="00400084"/>
    <w:rsid w:val="00400424"/>
    <w:rsid w:val="00411CFA"/>
    <w:rsid w:val="00430137"/>
    <w:rsid w:val="0043156B"/>
    <w:rsid w:val="00452860"/>
    <w:rsid w:val="00453458"/>
    <w:rsid w:val="004664BD"/>
    <w:rsid w:val="004733F5"/>
    <w:rsid w:val="0048000C"/>
    <w:rsid w:val="0048690C"/>
    <w:rsid w:val="0049393D"/>
    <w:rsid w:val="00496A3A"/>
    <w:rsid w:val="004A2071"/>
    <w:rsid w:val="004B5F35"/>
    <w:rsid w:val="004C1230"/>
    <w:rsid w:val="004C51DD"/>
    <w:rsid w:val="004D6CE7"/>
    <w:rsid w:val="00503C3D"/>
    <w:rsid w:val="00506425"/>
    <w:rsid w:val="00517CC1"/>
    <w:rsid w:val="00526753"/>
    <w:rsid w:val="00531717"/>
    <w:rsid w:val="00564E3A"/>
    <w:rsid w:val="005728F4"/>
    <w:rsid w:val="00585F85"/>
    <w:rsid w:val="00586780"/>
    <w:rsid w:val="00590514"/>
    <w:rsid w:val="00591692"/>
    <w:rsid w:val="005B73E0"/>
    <w:rsid w:val="005B74FF"/>
    <w:rsid w:val="005B7C6A"/>
    <w:rsid w:val="005D3F58"/>
    <w:rsid w:val="005D5C5D"/>
    <w:rsid w:val="005F36DF"/>
    <w:rsid w:val="005F6C90"/>
    <w:rsid w:val="00612FC6"/>
    <w:rsid w:val="0061330F"/>
    <w:rsid w:val="00616CB6"/>
    <w:rsid w:val="00630EC1"/>
    <w:rsid w:val="00636E9C"/>
    <w:rsid w:val="00647049"/>
    <w:rsid w:val="0065413D"/>
    <w:rsid w:val="006559C7"/>
    <w:rsid w:val="00663D75"/>
    <w:rsid w:val="00664A5E"/>
    <w:rsid w:val="006677F2"/>
    <w:rsid w:val="00670C11"/>
    <w:rsid w:val="00677911"/>
    <w:rsid w:val="00680972"/>
    <w:rsid w:val="00690E23"/>
    <w:rsid w:val="006A1AAC"/>
    <w:rsid w:val="006A3710"/>
    <w:rsid w:val="006E14D8"/>
    <w:rsid w:val="006E418E"/>
    <w:rsid w:val="006E4B10"/>
    <w:rsid w:val="006F6030"/>
    <w:rsid w:val="006F6D0D"/>
    <w:rsid w:val="006F6E5C"/>
    <w:rsid w:val="007157CB"/>
    <w:rsid w:val="007177E2"/>
    <w:rsid w:val="00731A84"/>
    <w:rsid w:val="00732031"/>
    <w:rsid w:val="007328DB"/>
    <w:rsid w:val="007463E6"/>
    <w:rsid w:val="0077080B"/>
    <w:rsid w:val="007B3DB1"/>
    <w:rsid w:val="007C34BE"/>
    <w:rsid w:val="007C74CC"/>
    <w:rsid w:val="00800472"/>
    <w:rsid w:val="0080179E"/>
    <w:rsid w:val="00802053"/>
    <w:rsid w:val="0081352C"/>
    <w:rsid w:val="008150ED"/>
    <w:rsid w:val="00840EC5"/>
    <w:rsid w:val="00850A41"/>
    <w:rsid w:val="00870B85"/>
    <w:rsid w:val="00873C55"/>
    <w:rsid w:val="00875BA3"/>
    <w:rsid w:val="008852A8"/>
    <w:rsid w:val="0089504A"/>
    <w:rsid w:val="008977EF"/>
    <w:rsid w:val="008A12ED"/>
    <w:rsid w:val="008B7432"/>
    <w:rsid w:val="008C1050"/>
    <w:rsid w:val="008C5C99"/>
    <w:rsid w:val="008E13BD"/>
    <w:rsid w:val="008F2AA6"/>
    <w:rsid w:val="008F3271"/>
    <w:rsid w:val="00901BCC"/>
    <w:rsid w:val="009179B2"/>
    <w:rsid w:val="00924FC1"/>
    <w:rsid w:val="00925ECC"/>
    <w:rsid w:val="0094608D"/>
    <w:rsid w:val="00951725"/>
    <w:rsid w:val="00952F1C"/>
    <w:rsid w:val="00967103"/>
    <w:rsid w:val="00981F72"/>
    <w:rsid w:val="00991431"/>
    <w:rsid w:val="00993120"/>
    <w:rsid w:val="009A2621"/>
    <w:rsid w:val="009A7648"/>
    <w:rsid w:val="009C53D7"/>
    <w:rsid w:val="009D60B2"/>
    <w:rsid w:val="009E345F"/>
    <w:rsid w:val="00A047C8"/>
    <w:rsid w:val="00A05EE9"/>
    <w:rsid w:val="00A14D5A"/>
    <w:rsid w:val="00A16FCD"/>
    <w:rsid w:val="00A27C8B"/>
    <w:rsid w:val="00A40AB7"/>
    <w:rsid w:val="00A4336E"/>
    <w:rsid w:val="00A4472C"/>
    <w:rsid w:val="00A477CF"/>
    <w:rsid w:val="00A53FCF"/>
    <w:rsid w:val="00A6286D"/>
    <w:rsid w:val="00A7022B"/>
    <w:rsid w:val="00A710F1"/>
    <w:rsid w:val="00A721C8"/>
    <w:rsid w:val="00A81441"/>
    <w:rsid w:val="00A84986"/>
    <w:rsid w:val="00A8717B"/>
    <w:rsid w:val="00A93785"/>
    <w:rsid w:val="00A9796C"/>
    <w:rsid w:val="00AA1037"/>
    <w:rsid w:val="00AB10C1"/>
    <w:rsid w:val="00AF7CBA"/>
    <w:rsid w:val="00B10525"/>
    <w:rsid w:val="00B12DD0"/>
    <w:rsid w:val="00B20EAD"/>
    <w:rsid w:val="00B26E9A"/>
    <w:rsid w:val="00B43B73"/>
    <w:rsid w:val="00B5509D"/>
    <w:rsid w:val="00B64178"/>
    <w:rsid w:val="00B666E0"/>
    <w:rsid w:val="00B669C9"/>
    <w:rsid w:val="00BA23E4"/>
    <w:rsid w:val="00BD3B29"/>
    <w:rsid w:val="00BF1FDF"/>
    <w:rsid w:val="00BF5DF1"/>
    <w:rsid w:val="00C01114"/>
    <w:rsid w:val="00C24A6E"/>
    <w:rsid w:val="00C40C4F"/>
    <w:rsid w:val="00C474D1"/>
    <w:rsid w:val="00C54761"/>
    <w:rsid w:val="00C5782C"/>
    <w:rsid w:val="00C6598C"/>
    <w:rsid w:val="00C70A39"/>
    <w:rsid w:val="00C72CCC"/>
    <w:rsid w:val="00C85000"/>
    <w:rsid w:val="00C94102"/>
    <w:rsid w:val="00CA0C20"/>
    <w:rsid w:val="00CA2DA9"/>
    <w:rsid w:val="00CA563E"/>
    <w:rsid w:val="00CB00DA"/>
    <w:rsid w:val="00CB5251"/>
    <w:rsid w:val="00CC6246"/>
    <w:rsid w:val="00CD308F"/>
    <w:rsid w:val="00CD3926"/>
    <w:rsid w:val="00CD7427"/>
    <w:rsid w:val="00CF4490"/>
    <w:rsid w:val="00D0443C"/>
    <w:rsid w:val="00D10356"/>
    <w:rsid w:val="00D1216A"/>
    <w:rsid w:val="00D15C77"/>
    <w:rsid w:val="00D20F5B"/>
    <w:rsid w:val="00D43F30"/>
    <w:rsid w:val="00D5071C"/>
    <w:rsid w:val="00D52A53"/>
    <w:rsid w:val="00D54101"/>
    <w:rsid w:val="00D80540"/>
    <w:rsid w:val="00DA5690"/>
    <w:rsid w:val="00DB3ED8"/>
    <w:rsid w:val="00DB631D"/>
    <w:rsid w:val="00DE205B"/>
    <w:rsid w:val="00E11150"/>
    <w:rsid w:val="00E12943"/>
    <w:rsid w:val="00E233A0"/>
    <w:rsid w:val="00E25389"/>
    <w:rsid w:val="00E418F9"/>
    <w:rsid w:val="00E508C4"/>
    <w:rsid w:val="00E612A4"/>
    <w:rsid w:val="00E835EE"/>
    <w:rsid w:val="00E86C58"/>
    <w:rsid w:val="00E870B3"/>
    <w:rsid w:val="00E87DAA"/>
    <w:rsid w:val="00E92D6B"/>
    <w:rsid w:val="00EB403E"/>
    <w:rsid w:val="00EB5A0F"/>
    <w:rsid w:val="00EC60CB"/>
    <w:rsid w:val="00EC70D8"/>
    <w:rsid w:val="00ED2007"/>
    <w:rsid w:val="00ED2C41"/>
    <w:rsid w:val="00ED45C5"/>
    <w:rsid w:val="00ED620F"/>
    <w:rsid w:val="00ED7E1F"/>
    <w:rsid w:val="00EE341A"/>
    <w:rsid w:val="00EE5E53"/>
    <w:rsid w:val="00F01DA6"/>
    <w:rsid w:val="00F03F95"/>
    <w:rsid w:val="00F148E5"/>
    <w:rsid w:val="00F149CD"/>
    <w:rsid w:val="00F15478"/>
    <w:rsid w:val="00F17D60"/>
    <w:rsid w:val="00F23DB0"/>
    <w:rsid w:val="00F35E08"/>
    <w:rsid w:val="00F452A8"/>
    <w:rsid w:val="00F541CF"/>
    <w:rsid w:val="00F6565E"/>
    <w:rsid w:val="00F8006C"/>
    <w:rsid w:val="00F8063D"/>
    <w:rsid w:val="00F87A45"/>
    <w:rsid w:val="00F90ECF"/>
    <w:rsid w:val="00F96CA2"/>
    <w:rsid w:val="00FB1F09"/>
    <w:rsid w:val="00FB3D33"/>
    <w:rsid w:val="00FC124A"/>
    <w:rsid w:val="00FC27C0"/>
    <w:rsid w:val="00FC44D9"/>
    <w:rsid w:val="00FF03D7"/>
    <w:rsid w:val="342A9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BAEC"/>
  <w15:chartTrackingRefBased/>
  <w15:docId w15:val="{4D40AE8D-628D-4B1D-803D-E3D7B213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7CF"/>
    <w:pPr>
      <w:spacing w:after="0" w:line="240" w:lineRule="auto"/>
    </w:pPr>
  </w:style>
  <w:style w:type="paragraph" w:styleId="Heading1">
    <w:name w:val="heading 1"/>
    <w:basedOn w:val="Normal"/>
    <w:next w:val="Normal"/>
    <w:link w:val="Heading1Char"/>
    <w:uiPriority w:val="9"/>
    <w:qFormat/>
    <w:rsid w:val="00D54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1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1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1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1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101"/>
    <w:rPr>
      <w:rFonts w:eastAsiaTheme="majorEastAsia" w:cstheme="majorBidi"/>
      <w:color w:val="272727" w:themeColor="text1" w:themeTint="D8"/>
    </w:rPr>
  </w:style>
  <w:style w:type="paragraph" w:styleId="Title">
    <w:name w:val="Title"/>
    <w:basedOn w:val="Normal"/>
    <w:next w:val="Normal"/>
    <w:link w:val="TitleChar"/>
    <w:uiPriority w:val="10"/>
    <w:qFormat/>
    <w:rsid w:val="00D541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101"/>
    <w:pPr>
      <w:spacing w:before="160"/>
      <w:jc w:val="center"/>
    </w:pPr>
    <w:rPr>
      <w:i/>
      <w:iCs/>
      <w:color w:val="404040" w:themeColor="text1" w:themeTint="BF"/>
    </w:rPr>
  </w:style>
  <w:style w:type="character" w:customStyle="1" w:styleId="QuoteChar">
    <w:name w:val="Quote Char"/>
    <w:basedOn w:val="DefaultParagraphFont"/>
    <w:link w:val="Quote"/>
    <w:uiPriority w:val="29"/>
    <w:rsid w:val="00D54101"/>
    <w:rPr>
      <w:i/>
      <w:iCs/>
      <w:color w:val="404040" w:themeColor="text1" w:themeTint="BF"/>
    </w:rPr>
  </w:style>
  <w:style w:type="paragraph" w:styleId="ListParagraph">
    <w:name w:val="List Paragraph"/>
    <w:basedOn w:val="Normal"/>
    <w:uiPriority w:val="34"/>
    <w:qFormat/>
    <w:rsid w:val="00D54101"/>
    <w:pPr>
      <w:ind w:left="720"/>
      <w:contextualSpacing/>
    </w:pPr>
  </w:style>
  <w:style w:type="character" w:styleId="IntenseEmphasis">
    <w:name w:val="Intense Emphasis"/>
    <w:basedOn w:val="DefaultParagraphFont"/>
    <w:uiPriority w:val="21"/>
    <w:qFormat/>
    <w:rsid w:val="00D54101"/>
    <w:rPr>
      <w:i/>
      <w:iCs/>
      <w:color w:val="0F4761" w:themeColor="accent1" w:themeShade="BF"/>
    </w:rPr>
  </w:style>
  <w:style w:type="paragraph" w:styleId="IntenseQuote">
    <w:name w:val="Intense Quote"/>
    <w:basedOn w:val="Normal"/>
    <w:next w:val="Normal"/>
    <w:link w:val="IntenseQuoteChar"/>
    <w:uiPriority w:val="30"/>
    <w:qFormat/>
    <w:rsid w:val="00D54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101"/>
    <w:rPr>
      <w:i/>
      <w:iCs/>
      <w:color w:val="0F4761" w:themeColor="accent1" w:themeShade="BF"/>
    </w:rPr>
  </w:style>
  <w:style w:type="character" w:styleId="IntenseReference">
    <w:name w:val="Intense Reference"/>
    <w:basedOn w:val="DefaultParagraphFont"/>
    <w:uiPriority w:val="32"/>
    <w:qFormat/>
    <w:rsid w:val="00D54101"/>
    <w:rPr>
      <w:b/>
      <w:bCs/>
      <w:smallCaps/>
      <w:color w:val="0F4761" w:themeColor="accent1" w:themeShade="BF"/>
      <w:spacing w:val="5"/>
    </w:rPr>
  </w:style>
  <w:style w:type="table" w:styleId="TableGrid">
    <w:name w:val="Table Grid"/>
    <w:basedOn w:val="TableNormal"/>
    <w:uiPriority w:val="59"/>
    <w:rsid w:val="00D54101"/>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BCC"/>
    <w:pPr>
      <w:tabs>
        <w:tab w:val="center" w:pos="4680"/>
        <w:tab w:val="right" w:pos="9360"/>
      </w:tabs>
    </w:pPr>
  </w:style>
  <w:style w:type="character" w:customStyle="1" w:styleId="HeaderChar">
    <w:name w:val="Header Char"/>
    <w:basedOn w:val="DefaultParagraphFont"/>
    <w:link w:val="Header"/>
    <w:uiPriority w:val="99"/>
    <w:rsid w:val="00901BCC"/>
  </w:style>
  <w:style w:type="paragraph" w:styleId="Footer">
    <w:name w:val="footer"/>
    <w:basedOn w:val="Normal"/>
    <w:link w:val="FooterChar"/>
    <w:uiPriority w:val="99"/>
    <w:unhideWhenUsed/>
    <w:rsid w:val="00901BCC"/>
    <w:pPr>
      <w:tabs>
        <w:tab w:val="center" w:pos="4680"/>
        <w:tab w:val="right" w:pos="9360"/>
      </w:tabs>
    </w:pPr>
  </w:style>
  <w:style w:type="character" w:customStyle="1" w:styleId="FooterChar">
    <w:name w:val="Footer Char"/>
    <w:basedOn w:val="DefaultParagraphFont"/>
    <w:link w:val="Footer"/>
    <w:uiPriority w:val="99"/>
    <w:rsid w:val="00901BCC"/>
  </w:style>
  <w:style w:type="paragraph" w:styleId="Revision">
    <w:name w:val="Revision"/>
    <w:hidden/>
    <w:uiPriority w:val="99"/>
    <w:semiHidden/>
    <w:rsid w:val="008F2AA6"/>
    <w:pPr>
      <w:spacing w:after="0" w:line="240" w:lineRule="auto"/>
    </w:pPr>
  </w:style>
  <w:style w:type="character" w:styleId="Hyperlink">
    <w:name w:val="Hyperlink"/>
    <w:basedOn w:val="DefaultParagraphFont"/>
    <w:uiPriority w:val="99"/>
    <w:unhideWhenUsed/>
    <w:rsid w:val="008F2AA6"/>
    <w:rPr>
      <w:color w:val="467886"/>
      <w:u w:val="single"/>
    </w:rPr>
  </w:style>
  <w:style w:type="character" w:styleId="CommentReference">
    <w:name w:val="annotation reference"/>
    <w:basedOn w:val="DefaultParagraphFont"/>
    <w:uiPriority w:val="99"/>
    <w:semiHidden/>
    <w:unhideWhenUsed/>
    <w:rsid w:val="008F2AA6"/>
    <w:rPr>
      <w:sz w:val="16"/>
      <w:szCs w:val="16"/>
    </w:rPr>
  </w:style>
  <w:style w:type="paragraph" w:styleId="CommentText">
    <w:name w:val="annotation text"/>
    <w:basedOn w:val="Normal"/>
    <w:link w:val="CommentTextChar"/>
    <w:uiPriority w:val="99"/>
    <w:unhideWhenUsed/>
    <w:rsid w:val="008F2AA6"/>
    <w:rPr>
      <w:sz w:val="20"/>
      <w:szCs w:val="20"/>
    </w:rPr>
  </w:style>
  <w:style w:type="character" w:customStyle="1" w:styleId="CommentTextChar">
    <w:name w:val="Comment Text Char"/>
    <w:basedOn w:val="DefaultParagraphFont"/>
    <w:link w:val="CommentText"/>
    <w:uiPriority w:val="99"/>
    <w:rsid w:val="008F2AA6"/>
    <w:rPr>
      <w:sz w:val="20"/>
      <w:szCs w:val="20"/>
    </w:rPr>
  </w:style>
  <w:style w:type="paragraph" w:styleId="CommentSubject">
    <w:name w:val="annotation subject"/>
    <w:basedOn w:val="CommentText"/>
    <w:next w:val="CommentText"/>
    <w:link w:val="CommentSubjectChar"/>
    <w:uiPriority w:val="99"/>
    <w:semiHidden/>
    <w:unhideWhenUsed/>
    <w:rsid w:val="008F2AA6"/>
    <w:rPr>
      <w:b/>
      <w:bCs/>
    </w:rPr>
  </w:style>
  <w:style w:type="character" w:customStyle="1" w:styleId="CommentSubjectChar">
    <w:name w:val="Comment Subject Char"/>
    <w:basedOn w:val="CommentTextChar"/>
    <w:link w:val="CommentSubject"/>
    <w:uiPriority w:val="99"/>
    <w:semiHidden/>
    <w:rsid w:val="008F2AA6"/>
    <w:rPr>
      <w:b/>
      <w:bCs/>
      <w:sz w:val="20"/>
      <w:szCs w:val="20"/>
    </w:rPr>
  </w:style>
  <w:style w:type="character" w:styleId="UnresolvedMention">
    <w:name w:val="Unresolved Mention"/>
    <w:basedOn w:val="DefaultParagraphFont"/>
    <w:uiPriority w:val="99"/>
    <w:semiHidden/>
    <w:unhideWhenUsed/>
    <w:rsid w:val="00BD3B29"/>
    <w:rPr>
      <w:color w:val="605E5C"/>
      <w:shd w:val="clear" w:color="auto" w:fill="E1DFDD"/>
    </w:rPr>
  </w:style>
  <w:style w:type="character" w:styleId="FollowedHyperlink">
    <w:name w:val="FollowedHyperlink"/>
    <w:basedOn w:val="DefaultParagraphFont"/>
    <w:uiPriority w:val="99"/>
    <w:semiHidden/>
    <w:unhideWhenUsed/>
    <w:rsid w:val="0038511A"/>
    <w:rPr>
      <w:color w:val="96607D" w:themeColor="followedHyperlink"/>
      <w:u w:val="single"/>
    </w:rPr>
  </w:style>
  <w:style w:type="paragraph" w:styleId="FootnoteText">
    <w:name w:val="footnote text"/>
    <w:basedOn w:val="Normal"/>
    <w:link w:val="FootnoteTextChar"/>
    <w:uiPriority w:val="99"/>
    <w:unhideWhenUsed/>
    <w:rsid w:val="003E0D40"/>
    <w:rPr>
      <w:rFonts w:ascii="Times New Roman" w:eastAsia="Times New Roman" w:hAnsi="Times New Roman" w:cs="Times New Roman"/>
      <w:kern w:val="0"/>
      <w:sz w:val="20"/>
      <w:szCs w:val="20"/>
      <w:lang w:val="en-AU" w:eastAsia="en-GB"/>
      <w14:ligatures w14:val="none"/>
    </w:rPr>
  </w:style>
  <w:style w:type="character" w:customStyle="1" w:styleId="FootnoteTextChar">
    <w:name w:val="Footnote Text Char"/>
    <w:basedOn w:val="DefaultParagraphFont"/>
    <w:link w:val="FootnoteText"/>
    <w:uiPriority w:val="99"/>
    <w:rsid w:val="003E0D40"/>
    <w:rPr>
      <w:rFonts w:ascii="Times New Roman" w:eastAsia="Times New Roman" w:hAnsi="Times New Roman" w:cs="Times New Roman"/>
      <w:kern w:val="0"/>
      <w:sz w:val="20"/>
      <w:szCs w:val="20"/>
      <w:lang w:val="en-AU" w:eastAsia="en-GB"/>
      <w14:ligatures w14:val="none"/>
    </w:rPr>
  </w:style>
  <w:style w:type="character" w:styleId="FootnoteReference">
    <w:name w:val="footnote reference"/>
    <w:basedOn w:val="DefaultParagraphFont"/>
    <w:uiPriority w:val="99"/>
    <w:unhideWhenUsed/>
    <w:rsid w:val="003E0D40"/>
    <w:rPr>
      <w:vertAlign w:val="superscript"/>
    </w:rPr>
  </w:style>
  <w:style w:type="paragraph" w:styleId="Bibliography">
    <w:name w:val="Bibliography"/>
    <w:basedOn w:val="Normal"/>
    <w:next w:val="Normal"/>
    <w:uiPriority w:val="37"/>
    <w:unhideWhenUsed/>
    <w:rsid w:val="0065413D"/>
    <w:pPr>
      <w:tabs>
        <w:tab w:val="left" w:pos="260"/>
      </w:tabs>
      <w:spacing w:after="240"/>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https://www.un.org/peacebuilding/content/humanitarian-development-and-peace-nexus" TargetMode="External"/><Relationship Id="rId21" Type="http://schemas.openxmlformats.org/officeDocument/2006/relationships/hyperlink" Target="https://emergency.unhcr.org/coordination-and-communication/cluster-system/cluster-approach" TargetMode="External"/><Relationship Id="rId34" Type="http://schemas.openxmlformats.org/officeDocument/2006/relationships/hyperlink" Target="https://www.ghsupplychain.org/sites/default/files/2023-12/English%20MNCH%20Commodities%20Procurement-finalcombined-20231206.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iawg.net/resources/minimum-initial-service-package-misp-resources" TargetMode="External"/><Relationship Id="rId33" Type="http://schemas.openxmlformats.org/officeDocument/2006/relationships/hyperlink" Target="https://www.unfpa.org/sites/default/files/resource-pdf/IARH-Kits-6th-Edition_Manual_English.pdf"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emergency.unhcr.org/protection/protection-principles/humanitarian-principles" TargetMode="External"/><Relationship Id="rId29" Type="http://schemas.openxmlformats.org/officeDocument/2006/relationships/hyperlink" Target="https://www.who.int/news-room/fact-sheets/detail/health-care-was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iawgfieldmanual.com/manual" TargetMode="External"/><Relationship Id="rId32" Type="http://schemas.openxmlformats.org/officeDocument/2006/relationships/hyperlink" Target="https://www.ennonline.net/sites/default/files/2024-04/mms_in_humanitarian_emergencies_state_of_play.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unhcr.org/refugee-response-plans" TargetMode="External"/><Relationship Id="rId28" Type="http://schemas.openxmlformats.org/officeDocument/2006/relationships/hyperlink" Target="https://www.who.int/activities/stopping-attacks-on-health-care"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hyperlink" Target="https://cdn.who.int/media/docs/default-source/nutritionlibrary/preventing-and-controlling-micronutrient-deficiencies-in-populations-affected-by-an-emergency.pdf?sfvrsn=e17f6dff_4&amp;download=tru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knowledge.base.unocha.org/wiki/spaces/hpc/pages/3992879112/Response+Planning" TargetMode="External"/><Relationship Id="rId27" Type="http://schemas.openxmlformats.org/officeDocument/2006/relationships/hyperlink" Target="https://conflictandhealth.biomedcentral.com/articles/10.1186/s13031-021-00342-z" TargetMode="External"/><Relationship Id="rId30" Type="http://schemas.openxmlformats.org/officeDocument/2006/relationships/hyperlink" Target="https://www.unfpa.org/sites/default/files/2022-11/Thematic_Paper_Supply_chain_management_for_commodities.pdf" TargetMode="External"/><Relationship Id="rId35" Type="http://schemas.openxmlformats.org/officeDocument/2006/relationships/hyperlink" Target="https://iawg.net/resources/minimum-initial-service-package-misp-resources"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ready-initiative.org/resource/maternal-and-newborn-health-during-infectious-disease-outbreaks-operational-guidance-for-humanitarian-and-fragile-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5B3A4-6FA8-8049-97AB-F9BD2C42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7532</Words>
  <Characters>46745</Characters>
  <Application>Microsoft Office Word</Application>
  <DocSecurity>0</DocSecurity>
  <Lines>1277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Susheela Engelbrecht</dc:creator>
  <cp:keywords/>
  <dc:description/>
  <cp:lastModifiedBy>TWAL BONJOUR, Loujaïn</cp:lastModifiedBy>
  <cp:revision>5</cp:revision>
  <dcterms:created xsi:type="dcterms:W3CDTF">2026-03-16T18:10:00Z</dcterms:created>
  <dcterms:modified xsi:type="dcterms:W3CDTF">2026-03-19T12:01:00Z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zotero-version="7.0.20"&gt;&lt;session id="sktyOSsE"/&gt;&lt;style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