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A3DBD" w14:textId="77777777" w:rsidR="00BE68CB" w:rsidRPr="00023A50" w:rsidRDefault="00BE68CB" w:rsidP="00BE68CB">
      <w:pPr>
        <w:spacing w:after="0" w:line="240" w:lineRule="auto"/>
        <w:jc w:val="center"/>
        <w:rPr>
          <w:rFonts w:ascii="Times New Roman" w:hAnsi="Times New Roman"/>
          <w:b/>
          <w:bCs/>
          <w:sz w:val="24"/>
          <w:szCs w:val="30"/>
          <w:lang w:bidi="th-TH"/>
        </w:rPr>
      </w:pPr>
    </w:p>
    <w:p w14:paraId="47E98270" w14:textId="5AEEED80" w:rsidR="001A2D15" w:rsidRPr="00BE68CB" w:rsidRDefault="00BE68CB" w:rsidP="00BE68CB">
      <w:pPr>
        <w:spacing w:after="0" w:line="240" w:lineRule="auto"/>
        <w:jc w:val="center"/>
        <w:rPr>
          <w:rFonts w:ascii="Times New Roman" w:hAnsi="Times New Roman" w:cs="Times New Roman"/>
          <w:b/>
          <w:bCs/>
          <w:sz w:val="24"/>
          <w:szCs w:val="24"/>
        </w:rPr>
      </w:pPr>
      <w:r w:rsidRPr="00BE68CB">
        <w:rPr>
          <w:rFonts w:ascii="Times New Roman" w:hAnsi="Times New Roman" w:cs="Times New Roman"/>
          <w:noProof/>
          <w:sz w:val="24"/>
          <w:szCs w:val="24"/>
        </w:rPr>
        <w:drawing>
          <wp:anchor distT="0" distB="0" distL="114300" distR="114300" simplePos="0" relativeHeight="251659264" behindDoc="0" locked="0" layoutInCell="1" allowOverlap="1" wp14:anchorId="59A58AA1" wp14:editId="5F0967F1">
            <wp:simplePos x="0" y="0"/>
            <wp:positionH relativeFrom="margin">
              <wp:posOffset>4048125</wp:posOffset>
            </wp:positionH>
            <wp:positionV relativeFrom="paragraph">
              <wp:posOffset>-570865</wp:posOffset>
            </wp:positionV>
            <wp:extent cx="566420" cy="566420"/>
            <wp:effectExtent l="0" t="0" r="508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85602"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6642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1A2D15" w:rsidRPr="00BE68CB">
        <w:rPr>
          <w:rFonts w:ascii="Times New Roman" w:hAnsi="Times New Roman" w:cs="Times New Roman"/>
          <w:b/>
          <w:bCs/>
          <w:sz w:val="24"/>
          <w:szCs w:val="24"/>
        </w:rPr>
        <w:t>F</w:t>
      </w:r>
      <w:r w:rsidR="00E00E78" w:rsidRPr="00BE68CB">
        <w:rPr>
          <w:rFonts w:ascii="Times New Roman" w:hAnsi="Times New Roman" w:cs="Times New Roman"/>
          <w:b/>
          <w:bCs/>
          <w:sz w:val="24"/>
          <w:szCs w:val="24"/>
        </w:rPr>
        <w:t xml:space="preserve">ramework for </w:t>
      </w:r>
      <w:r w:rsidR="001A2D15" w:rsidRPr="00BE68CB">
        <w:rPr>
          <w:rFonts w:ascii="Times New Roman" w:hAnsi="Times New Roman" w:cs="Times New Roman"/>
          <w:b/>
          <w:bCs/>
          <w:sz w:val="24"/>
          <w:szCs w:val="24"/>
        </w:rPr>
        <w:t>Co-operation</w:t>
      </w:r>
    </w:p>
    <w:p w14:paraId="4DF38A51" w14:textId="77777777" w:rsidR="00C426E5" w:rsidRPr="00BE68CB" w:rsidRDefault="001A2D15" w:rsidP="00BE68CB">
      <w:pPr>
        <w:spacing w:after="0" w:line="240" w:lineRule="auto"/>
        <w:ind w:hanging="851"/>
        <w:jc w:val="center"/>
        <w:rPr>
          <w:rFonts w:ascii="Times New Roman" w:hAnsi="Times New Roman" w:cs="Times New Roman"/>
          <w:b/>
          <w:bCs/>
          <w:sz w:val="24"/>
          <w:szCs w:val="24"/>
        </w:rPr>
      </w:pPr>
      <w:r w:rsidRPr="00BE68CB">
        <w:rPr>
          <w:rFonts w:ascii="Times New Roman" w:hAnsi="Times New Roman" w:cs="Times New Roman"/>
          <w:b/>
          <w:bCs/>
          <w:sz w:val="24"/>
          <w:szCs w:val="24"/>
        </w:rPr>
        <w:t xml:space="preserve">Progress </w:t>
      </w:r>
      <w:r w:rsidR="00E00E78" w:rsidRPr="00BE68CB">
        <w:rPr>
          <w:rFonts w:ascii="Times New Roman" w:hAnsi="Times New Roman" w:cs="Times New Roman"/>
          <w:b/>
          <w:bCs/>
          <w:sz w:val="24"/>
          <w:szCs w:val="24"/>
        </w:rPr>
        <w:t xml:space="preserve">in implementation of the recommendations of the </w:t>
      </w:r>
      <w:r w:rsidR="00C44EC6" w:rsidRPr="00BE68CB">
        <w:rPr>
          <w:rFonts w:ascii="Times New Roman" w:hAnsi="Times New Roman" w:cs="Times New Roman"/>
          <w:b/>
          <w:bCs/>
          <w:sz w:val="24"/>
          <w:szCs w:val="24"/>
        </w:rPr>
        <w:t xml:space="preserve">UNIATF </w:t>
      </w:r>
      <w:r w:rsidR="00E00E78" w:rsidRPr="00BE68CB">
        <w:rPr>
          <w:rFonts w:ascii="Times New Roman" w:hAnsi="Times New Roman" w:cs="Times New Roman"/>
          <w:b/>
          <w:bCs/>
          <w:sz w:val="24"/>
          <w:szCs w:val="24"/>
        </w:rPr>
        <w:t>Mission</w:t>
      </w:r>
      <w:r w:rsidR="00CD2681" w:rsidRPr="00BE68CB">
        <w:rPr>
          <w:rFonts w:ascii="Times New Roman" w:hAnsi="Times New Roman" w:cs="Times New Roman"/>
          <w:b/>
          <w:bCs/>
          <w:sz w:val="24"/>
          <w:szCs w:val="24"/>
        </w:rPr>
        <w:t xml:space="preserve"> </w:t>
      </w:r>
    </w:p>
    <w:p w14:paraId="78A33E8F" w14:textId="66429807" w:rsidR="00BE68CB" w:rsidRDefault="00BE68CB" w:rsidP="00BE68CB">
      <w:pPr>
        <w:spacing w:after="0" w:line="240" w:lineRule="auto"/>
        <w:jc w:val="center"/>
        <w:rPr>
          <w:rFonts w:ascii="Times New Roman" w:hAnsi="Times New Roman" w:cs="Times New Roman"/>
          <w:b/>
          <w:bCs/>
          <w:color w:val="000000" w:themeColor="text1"/>
          <w:sz w:val="24"/>
          <w:szCs w:val="24"/>
        </w:rPr>
      </w:pPr>
      <w:r w:rsidRPr="00BE68CB">
        <w:rPr>
          <w:rFonts w:ascii="Times New Roman" w:hAnsi="Times New Roman" w:cs="Times New Roman"/>
          <w:b/>
          <w:bCs/>
          <w:color w:val="000000" w:themeColor="text1"/>
          <w:sz w:val="24"/>
          <w:szCs w:val="24"/>
        </w:rPr>
        <w:t>3</w:t>
      </w:r>
      <w:r w:rsidRPr="00BE68CB">
        <w:rPr>
          <w:rFonts w:ascii="Times New Roman" w:hAnsi="Times New Roman" w:cs="Times New Roman"/>
          <w:b/>
          <w:bCs/>
          <w:color w:val="000000" w:themeColor="text1"/>
          <w:sz w:val="24"/>
          <w:szCs w:val="24"/>
          <w:vertAlign w:val="superscript"/>
        </w:rPr>
        <w:t>rd</w:t>
      </w:r>
      <w:r w:rsidRPr="00BE68CB">
        <w:rPr>
          <w:rFonts w:ascii="Times New Roman" w:hAnsi="Times New Roman" w:cs="Times New Roman"/>
          <w:b/>
          <w:bCs/>
          <w:color w:val="000000" w:themeColor="text1"/>
          <w:sz w:val="24"/>
          <w:szCs w:val="24"/>
        </w:rPr>
        <w:t xml:space="preserve"> </w:t>
      </w:r>
      <w:r w:rsidR="00023A50" w:rsidRPr="00BE68CB">
        <w:rPr>
          <w:rFonts w:ascii="Times New Roman" w:hAnsi="Times New Roman" w:cs="Times New Roman"/>
          <w:b/>
          <w:bCs/>
          <w:color w:val="000000" w:themeColor="text1"/>
          <w:sz w:val="24"/>
          <w:szCs w:val="24"/>
        </w:rPr>
        <w:t xml:space="preserve">Meeting </w:t>
      </w:r>
      <w:r w:rsidR="00023A50">
        <w:rPr>
          <w:rFonts w:ascii="Times New Roman" w:hAnsi="Times New Roman" w:cs="Times New Roman"/>
          <w:b/>
          <w:bCs/>
          <w:color w:val="000000" w:themeColor="text1"/>
          <w:sz w:val="24"/>
          <w:szCs w:val="24"/>
        </w:rPr>
        <w:t xml:space="preserve">of the </w:t>
      </w:r>
      <w:r w:rsidRPr="00BE68CB">
        <w:rPr>
          <w:rFonts w:ascii="Times New Roman" w:hAnsi="Times New Roman" w:cs="Times New Roman"/>
          <w:b/>
          <w:bCs/>
          <w:color w:val="000000" w:themeColor="text1"/>
          <w:sz w:val="24"/>
          <w:szCs w:val="24"/>
        </w:rPr>
        <w:t>UN Thematic Working Group on Noncommunicable Diseases, Thailand</w:t>
      </w:r>
    </w:p>
    <w:p w14:paraId="3D1DB9BF" w14:textId="77777777" w:rsidR="00BE68CB" w:rsidRPr="00BE68CB" w:rsidRDefault="00BE68CB" w:rsidP="00BE68CB">
      <w:pPr>
        <w:spacing w:after="0" w:line="240" w:lineRule="auto"/>
        <w:jc w:val="center"/>
        <w:rPr>
          <w:rFonts w:ascii="Times New Roman" w:hAnsi="Times New Roman" w:cs="Times New Roman"/>
          <w:b/>
          <w:bCs/>
          <w:color w:val="000000" w:themeColor="text1"/>
          <w:sz w:val="24"/>
          <w:szCs w:val="24"/>
        </w:rPr>
      </w:pPr>
    </w:p>
    <w:tbl>
      <w:tblPr>
        <w:tblStyle w:val="TableGrid"/>
        <w:tblW w:w="15586" w:type="dxa"/>
        <w:tblInd w:w="-815" w:type="dxa"/>
        <w:tblLayout w:type="fixed"/>
        <w:tblCellMar>
          <w:top w:w="72" w:type="dxa"/>
          <w:left w:w="72" w:type="dxa"/>
          <w:bottom w:w="72" w:type="dxa"/>
          <w:right w:w="72" w:type="dxa"/>
        </w:tblCellMar>
        <w:tblLook w:val="04A0" w:firstRow="1" w:lastRow="0" w:firstColumn="1" w:lastColumn="0" w:noHBand="0" w:noVBand="1"/>
      </w:tblPr>
      <w:tblGrid>
        <w:gridCol w:w="694"/>
        <w:gridCol w:w="3071"/>
        <w:gridCol w:w="2715"/>
        <w:gridCol w:w="3456"/>
        <w:gridCol w:w="1584"/>
        <w:gridCol w:w="2050"/>
        <w:gridCol w:w="2016"/>
      </w:tblGrid>
      <w:tr w:rsidR="008249B3" w:rsidRPr="00C426E5" w14:paraId="0AF5726F" w14:textId="68C47C54" w:rsidTr="008A27F5">
        <w:trPr>
          <w:cantSplit/>
          <w:trHeight w:val="864"/>
          <w:tblHeader/>
        </w:trPr>
        <w:tc>
          <w:tcPr>
            <w:tcW w:w="694" w:type="dxa"/>
            <w:shd w:val="clear" w:color="auto" w:fill="DBE5F1" w:themeFill="accent1" w:themeFillTint="33"/>
            <w:vAlign w:val="center"/>
          </w:tcPr>
          <w:p w14:paraId="1F539329" w14:textId="2D12545D" w:rsidR="008249B3" w:rsidRPr="00C426E5" w:rsidRDefault="008249B3" w:rsidP="00936B03">
            <w:pPr>
              <w:jc w:val="center"/>
              <w:rPr>
                <w:rFonts w:ascii="Times New Roman" w:hAnsi="Times New Roman" w:cs="Times New Roman"/>
                <w:b/>
                <w:bCs/>
              </w:rPr>
            </w:pPr>
            <w:bookmarkStart w:id="0" w:name="_Hlk358929"/>
            <w:r w:rsidRPr="00C426E5">
              <w:rPr>
                <w:rFonts w:ascii="Times New Roman" w:hAnsi="Times New Roman" w:cs="Times New Roman"/>
                <w:b/>
                <w:bCs/>
              </w:rPr>
              <w:t>S.</w:t>
            </w:r>
            <w:r w:rsidR="000D138F" w:rsidRPr="00C426E5">
              <w:rPr>
                <w:rFonts w:ascii="Times New Roman" w:hAnsi="Times New Roman" w:cs="Times New Roman"/>
                <w:b/>
                <w:bCs/>
              </w:rPr>
              <w:t>N</w:t>
            </w:r>
            <w:r w:rsidRPr="00C426E5">
              <w:rPr>
                <w:rFonts w:ascii="Times New Roman" w:hAnsi="Times New Roman" w:cs="Times New Roman"/>
                <w:b/>
                <w:bCs/>
              </w:rPr>
              <w:t>.</w:t>
            </w:r>
          </w:p>
        </w:tc>
        <w:tc>
          <w:tcPr>
            <w:tcW w:w="3071" w:type="dxa"/>
            <w:shd w:val="clear" w:color="auto" w:fill="DBE5F1" w:themeFill="accent1" w:themeFillTint="33"/>
            <w:vAlign w:val="center"/>
          </w:tcPr>
          <w:p w14:paraId="6441401E" w14:textId="77777777" w:rsidR="008249B3" w:rsidRPr="00C426E5" w:rsidRDefault="008249B3" w:rsidP="00936B03">
            <w:pPr>
              <w:jc w:val="center"/>
              <w:rPr>
                <w:rFonts w:ascii="Times New Roman" w:hAnsi="Times New Roman" w:cs="Times New Roman"/>
                <w:b/>
                <w:bCs/>
              </w:rPr>
            </w:pPr>
            <w:r w:rsidRPr="00C426E5">
              <w:rPr>
                <w:rFonts w:ascii="Times New Roman" w:hAnsi="Times New Roman" w:cs="Times New Roman"/>
                <w:b/>
                <w:bCs/>
              </w:rPr>
              <w:t>Recommendations</w:t>
            </w:r>
          </w:p>
        </w:tc>
        <w:tc>
          <w:tcPr>
            <w:tcW w:w="2715" w:type="dxa"/>
            <w:shd w:val="clear" w:color="auto" w:fill="DBE5F1" w:themeFill="accent1" w:themeFillTint="33"/>
            <w:vAlign w:val="center"/>
          </w:tcPr>
          <w:p w14:paraId="3645AFE4" w14:textId="77777777" w:rsidR="008249B3" w:rsidRPr="00C426E5" w:rsidRDefault="008249B3" w:rsidP="00936B03">
            <w:pPr>
              <w:jc w:val="center"/>
              <w:rPr>
                <w:rFonts w:ascii="Times New Roman" w:hAnsi="Times New Roman" w:cs="Times New Roman"/>
                <w:b/>
                <w:bCs/>
              </w:rPr>
            </w:pPr>
            <w:r w:rsidRPr="00C426E5">
              <w:rPr>
                <w:rFonts w:ascii="Times New Roman" w:hAnsi="Times New Roman" w:cs="Times New Roman"/>
                <w:b/>
                <w:bCs/>
              </w:rPr>
              <w:t>Proposed expected outcomes</w:t>
            </w:r>
          </w:p>
        </w:tc>
        <w:tc>
          <w:tcPr>
            <w:tcW w:w="3456" w:type="dxa"/>
            <w:shd w:val="clear" w:color="auto" w:fill="DBE5F1" w:themeFill="accent1" w:themeFillTint="33"/>
            <w:vAlign w:val="center"/>
          </w:tcPr>
          <w:p w14:paraId="2A79945F" w14:textId="1B6FD7F8" w:rsidR="008249B3" w:rsidRPr="00C426E5" w:rsidRDefault="008249B3" w:rsidP="00936B03">
            <w:pPr>
              <w:jc w:val="center"/>
              <w:rPr>
                <w:rFonts w:ascii="Times New Roman" w:hAnsi="Times New Roman" w:cs="Times New Roman"/>
                <w:b/>
                <w:bCs/>
                <w:lang w:bidi="th-TH"/>
              </w:rPr>
            </w:pPr>
            <w:r w:rsidRPr="00C426E5">
              <w:rPr>
                <w:rFonts w:ascii="Times New Roman" w:hAnsi="Times New Roman" w:cs="Times New Roman"/>
                <w:b/>
                <w:bCs/>
              </w:rPr>
              <w:t>Current</w:t>
            </w:r>
            <w:r w:rsidRPr="00C426E5">
              <w:rPr>
                <w:rFonts w:ascii="Times New Roman" w:hAnsi="Times New Roman" w:cs="Times New Roman"/>
                <w:b/>
                <w:bCs/>
                <w:cs/>
                <w:lang w:bidi="th-TH"/>
              </w:rPr>
              <w:t xml:space="preserve"> </w:t>
            </w:r>
            <w:r w:rsidRPr="00C426E5">
              <w:rPr>
                <w:rFonts w:ascii="Times New Roman" w:hAnsi="Times New Roman" w:cs="Times New Roman"/>
                <w:b/>
                <w:bCs/>
                <w:lang w:bidi="th-TH"/>
              </w:rPr>
              <w:t>situation</w:t>
            </w:r>
          </w:p>
        </w:tc>
        <w:tc>
          <w:tcPr>
            <w:tcW w:w="1584" w:type="dxa"/>
            <w:shd w:val="clear" w:color="auto" w:fill="DBE5F1" w:themeFill="accent1" w:themeFillTint="33"/>
            <w:vAlign w:val="center"/>
          </w:tcPr>
          <w:p w14:paraId="153DD27C" w14:textId="77777777" w:rsidR="008249B3" w:rsidRPr="00C426E5" w:rsidRDefault="008249B3" w:rsidP="00936B03">
            <w:pPr>
              <w:jc w:val="center"/>
              <w:rPr>
                <w:rFonts w:ascii="Times New Roman" w:hAnsi="Times New Roman" w:cs="Times New Roman"/>
                <w:b/>
                <w:bCs/>
              </w:rPr>
            </w:pPr>
            <w:r w:rsidRPr="00C426E5">
              <w:rPr>
                <w:rFonts w:ascii="Times New Roman" w:hAnsi="Times New Roman" w:cs="Times New Roman"/>
                <w:b/>
                <w:bCs/>
              </w:rPr>
              <w:t>Challenges/</w:t>
            </w:r>
          </w:p>
          <w:p w14:paraId="7FC0ADF1" w14:textId="77777777" w:rsidR="008249B3" w:rsidRPr="00C426E5" w:rsidRDefault="008249B3" w:rsidP="00936B03">
            <w:pPr>
              <w:jc w:val="center"/>
              <w:rPr>
                <w:rFonts w:ascii="Times New Roman" w:hAnsi="Times New Roman" w:cs="Times New Roman"/>
                <w:b/>
                <w:bCs/>
              </w:rPr>
            </w:pPr>
            <w:r w:rsidRPr="00C426E5">
              <w:rPr>
                <w:rFonts w:ascii="Times New Roman" w:hAnsi="Times New Roman" w:cs="Times New Roman"/>
                <w:b/>
                <w:bCs/>
              </w:rPr>
              <w:t>bottlenecks</w:t>
            </w:r>
          </w:p>
        </w:tc>
        <w:tc>
          <w:tcPr>
            <w:tcW w:w="2050" w:type="dxa"/>
            <w:shd w:val="clear" w:color="auto" w:fill="DBE5F1" w:themeFill="accent1" w:themeFillTint="33"/>
            <w:vAlign w:val="center"/>
          </w:tcPr>
          <w:p w14:paraId="1DDE0105" w14:textId="2610BE9E" w:rsidR="008249B3" w:rsidRPr="00C426E5" w:rsidRDefault="003B38F6" w:rsidP="00936B03">
            <w:pPr>
              <w:jc w:val="center"/>
              <w:rPr>
                <w:rFonts w:ascii="Times New Roman" w:hAnsi="Times New Roman" w:cs="Times New Roman"/>
                <w:b/>
                <w:bCs/>
              </w:rPr>
            </w:pPr>
            <w:r w:rsidRPr="00C426E5">
              <w:rPr>
                <w:rFonts w:ascii="Times New Roman" w:hAnsi="Times New Roman" w:cs="Times New Roman"/>
                <w:b/>
                <w:bCs/>
              </w:rPr>
              <w:t xml:space="preserve">Support required from </w:t>
            </w:r>
            <w:r w:rsidR="008249B3" w:rsidRPr="00C426E5">
              <w:rPr>
                <w:rFonts w:ascii="Times New Roman" w:hAnsi="Times New Roman" w:cs="Times New Roman"/>
                <w:b/>
                <w:bCs/>
              </w:rPr>
              <w:t>UN agencies</w:t>
            </w:r>
          </w:p>
        </w:tc>
        <w:tc>
          <w:tcPr>
            <w:tcW w:w="2016" w:type="dxa"/>
            <w:shd w:val="clear" w:color="auto" w:fill="DBE5F1" w:themeFill="accent1" w:themeFillTint="33"/>
            <w:vAlign w:val="center"/>
          </w:tcPr>
          <w:p w14:paraId="42F20E3C" w14:textId="77777777" w:rsidR="008B3027" w:rsidRPr="00C426E5" w:rsidRDefault="008249B3" w:rsidP="00936B03">
            <w:pPr>
              <w:jc w:val="center"/>
              <w:rPr>
                <w:rFonts w:ascii="Times New Roman" w:hAnsi="Times New Roman" w:cs="Times New Roman"/>
                <w:b/>
                <w:bCs/>
                <w:lang w:val="en-US" w:bidi="th-TH"/>
              </w:rPr>
            </w:pPr>
            <w:r w:rsidRPr="00C426E5">
              <w:rPr>
                <w:rFonts w:ascii="Times New Roman" w:hAnsi="Times New Roman" w:cs="Times New Roman"/>
                <w:b/>
                <w:bCs/>
                <w:lang w:val="en-US" w:bidi="th-TH"/>
              </w:rPr>
              <w:t>Government agencies</w:t>
            </w:r>
            <w:r w:rsidR="003B38F6" w:rsidRPr="00C426E5">
              <w:rPr>
                <w:rFonts w:ascii="Times New Roman" w:hAnsi="Times New Roman" w:cs="Times New Roman"/>
                <w:b/>
                <w:bCs/>
                <w:lang w:val="en-US" w:bidi="th-TH"/>
              </w:rPr>
              <w:t xml:space="preserve"> and </w:t>
            </w:r>
          </w:p>
          <w:p w14:paraId="68D9EA11" w14:textId="78CF475F" w:rsidR="008249B3" w:rsidRPr="00C426E5" w:rsidRDefault="003B38F6" w:rsidP="00936B03">
            <w:pPr>
              <w:jc w:val="center"/>
              <w:rPr>
                <w:rFonts w:ascii="Times New Roman" w:hAnsi="Times New Roman" w:cs="Times New Roman"/>
                <w:b/>
                <w:bCs/>
                <w:lang w:val="en-US" w:bidi="th-TH"/>
              </w:rPr>
            </w:pPr>
            <w:r w:rsidRPr="00C426E5">
              <w:rPr>
                <w:rFonts w:ascii="Times New Roman" w:hAnsi="Times New Roman" w:cs="Times New Roman"/>
                <w:b/>
                <w:bCs/>
                <w:lang w:val="en-US" w:bidi="th-TH"/>
              </w:rPr>
              <w:t>Thai counterparts</w:t>
            </w:r>
          </w:p>
        </w:tc>
      </w:tr>
      <w:tr w:rsidR="00351ECA" w:rsidRPr="00C426E5" w14:paraId="7AE1C424" w14:textId="77777777" w:rsidTr="00C426E5">
        <w:trPr>
          <w:cantSplit/>
          <w:trHeight w:val="432"/>
        </w:trPr>
        <w:tc>
          <w:tcPr>
            <w:tcW w:w="15586" w:type="dxa"/>
            <w:gridSpan w:val="7"/>
            <w:shd w:val="clear" w:color="auto" w:fill="F2F2F2" w:themeFill="background1" w:themeFillShade="F2"/>
            <w:vAlign w:val="center"/>
          </w:tcPr>
          <w:p w14:paraId="60AA2888" w14:textId="58021D3C" w:rsidR="00351ECA" w:rsidRPr="00C426E5" w:rsidRDefault="003215B9" w:rsidP="0063214B">
            <w:pPr>
              <w:pStyle w:val="ListParagraph"/>
              <w:numPr>
                <w:ilvl w:val="0"/>
                <w:numId w:val="2"/>
              </w:numPr>
              <w:autoSpaceDE w:val="0"/>
              <w:autoSpaceDN w:val="0"/>
              <w:adjustRightInd w:val="0"/>
              <w:rPr>
                <w:rFonts w:ascii="Times New Roman" w:eastAsiaTheme="majorEastAsia" w:hAnsi="Times New Roman" w:cs="Times New Roman"/>
                <w:b/>
                <w:bCs/>
                <w:spacing w:val="-2"/>
                <w:lang w:val="en-US"/>
              </w:rPr>
            </w:pPr>
            <w:r w:rsidRPr="00C426E5">
              <w:rPr>
                <w:rFonts w:ascii="Times New Roman" w:eastAsiaTheme="majorEastAsia" w:hAnsi="Times New Roman" w:cs="Times New Roman"/>
                <w:b/>
                <w:bCs/>
                <w:spacing w:val="-2"/>
                <w:lang w:val="en-US"/>
              </w:rPr>
              <w:t xml:space="preserve">Scale-up </w:t>
            </w:r>
            <w:r w:rsidR="000A18D8" w:rsidRPr="00C426E5">
              <w:rPr>
                <w:rFonts w:ascii="Times New Roman" w:eastAsiaTheme="majorEastAsia" w:hAnsi="Times New Roman" w:cs="Times New Roman"/>
                <w:b/>
                <w:bCs/>
                <w:spacing w:val="-2"/>
                <w:lang w:val="en-US"/>
              </w:rPr>
              <w:t>high-level</w:t>
            </w:r>
            <w:r w:rsidRPr="00C426E5">
              <w:rPr>
                <w:rFonts w:ascii="Times New Roman" w:eastAsiaTheme="majorEastAsia" w:hAnsi="Times New Roman" w:cs="Times New Roman"/>
                <w:b/>
                <w:bCs/>
                <w:spacing w:val="-2"/>
                <w:lang w:val="en-US"/>
              </w:rPr>
              <w:t xml:space="preserve"> leadership and accountability</w:t>
            </w:r>
          </w:p>
        </w:tc>
        <w:bookmarkStart w:id="1" w:name="_GoBack"/>
        <w:bookmarkEnd w:id="1"/>
      </w:tr>
      <w:bookmarkEnd w:id="0"/>
      <w:tr w:rsidR="008249B3" w:rsidRPr="00C426E5" w14:paraId="127FEE95" w14:textId="53667214" w:rsidTr="008A27F5">
        <w:trPr>
          <w:cantSplit/>
        </w:trPr>
        <w:tc>
          <w:tcPr>
            <w:tcW w:w="694" w:type="dxa"/>
          </w:tcPr>
          <w:p w14:paraId="412E84DA" w14:textId="77777777" w:rsidR="008249B3" w:rsidRPr="00C426E5" w:rsidRDefault="008249B3" w:rsidP="00C426E5">
            <w:pPr>
              <w:jc w:val="center"/>
              <w:rPr>
                <w:rFonts w:ascii="Times New Roman" w:hAnsi="Times New Roman" w:cs="Times New Roman"/>
              </w:rPr>
            </w:pPr>
            <w:r w:rsidRPr="00C426E5">
              <w:rPr>
                <w:rFonts w:ascii="Times New Roman" w:hAnsi="Times New Roman" w:cs="Times New Roman"/>
              </w:rPr>
              <w:t>1.1</w:t>
            </w:r>
          </w:p>
        </w:tc>
        <w:tc>
          <w:tcPr>
            <w:tcW w:w="3071" w:type="dxa"/>
          </w:tcPr>
          <w:p w14:paraId="30AB85D9" w14:textId="580795DF" w:rsidR="008249B3" w:rsidRPr="00C426E5" w:rsidRDefault="008249B3" w:rsidP="00A05BE2">
            <w:pPr>
              <w:autoSpaceDE w:val="0"/>
              <w:autoSpaceDN w:val="0"/>
              <w:adjustRightInd w:val="0"/>
              <w:rPr>
                <w:rFonts w:ascii="Times New Roman" w:eastAsiaTheme="majorEastAsia" w:hAnsi="Times New Roman" w:cs="Times New Roman"/>
                <w:spacing w:val="-2"/>
                <w:lang w:val="en-US"/>
              </w:rPr>
            </w:pPr>
            <w:r w:rsidRPr="00C426E5">
              <w:rPr>
                <w:rFonts w:ascii="Times New Roman" w:eastAsiaTheme="majorEastAsia" w:hAnsi="Times New Roman" w:cs="Times New Roman"/>
                <w:spacing w:val="-2"/>
                <w:lang w:val="en-US"/>
              </w:rPr>
              <w:t>The Prime Minister to establish and chair a new inter-ministerial steering committee on NCD prevention and control in order to squarely place accountability of NCDs on relevant government ministries and translate fully policies and plans into action and increase domestic investment on NCDs and mental health in line with national development priorities</w:t>
            </w:r>
          </w:p>
        </w:tc>
        <w:tc>
          <w:tcPr>
            <w:tcW w:w="2715" w:type="dxa"/>
          </w:tcPr>
          <w:p w14:paraId="3F3AA9D4" w14:textId="02944C56"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 xml:space="preserve">High-level multisectoral committee chaired by Prime Minister or delegate, with specific terms of reference and dedicated budget, endorsed by the cabinet </w:t>
            </w:r>
          </w:p>
        </w:tc>
        <w:tc>
          <w:tcPr>
            <w:tcW w:w="3456" w:type="dxa"/>
          </w:tcPr>
          <w:p w14:paraId="46937330" w14:textId="010FDEAB" w:rsidR="008249B3"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 xml:space="preserve">The national multisectoral NCD committee is chaired by the Minister of Public Health. </w:t>
            </w:r>
          </w:p>
          <w:p w14:paraId="58DDE6CA" w14:textId="47BFB6C1" w:rsidR="006001B7" w:rsidRPr="00C426E5" w:rsidRDefault="006001B7" w:rsidP="0063214B">
            <w:pPr>
              <w:pStyle w:val="ListParagraph"/>
              <w:numPr>
                <w:ilvl w:val="0"/>
                <w:numId w:val="1"/>
              </w:numPr>
              <w:ind w:left="241" w:hanging="180"/>
              <w:rPr>
                <w:rFonts w:ascii="Times New Roman" w:hAnsi="Times New Roman" w:cs="Times New Roman"/>
              </w:rPr>
            </w:pPr>
            <w:r>
              <w:rPr>
                <w:rFonts w:ascii="Times New Roman" w:hAnsi="Times New Roman" w:cs="Times New Roman"/>
              </w:rPr>
              <w:t xml:space="preserve">The latest NCD committee meeting - 25 November 2020. </w:t>
            </w:r>
          </w:p>
          <w:p w14:paraId="4891F53E" w14:textId="0A3747D0" w:rsidR="008249B3" w:rsidRPr="00C426E5" w:rsidRDefault="008249B3" w:rsidP="006001B7">
            <w:pPr>
              <w:pStyle w:val="ListParagraph"/>
              <w:ind w:left="241"/>
              <w:rPr>
                <w:rFonts w:ascii="Times New Roman" w:hAnsi="Times New Roman" w:cs="Times New Roman"/>
              </w:rPr>
            </w:pPr>
          </w:p>
        </w:tc>
        <w:tc>
          <w:tcPr>
            <w:tcW w:w="1584" w:type="dxa"/>
            <w:shd w:val="clear" w:color="auto" w:fill="auto"/>
          </w:tcPr>
          <w:p w14:paraId="227A3373" w14:textId="4D13AAF8" w:rsidR="008249B3" w:rsidRPr="00C426E5" w:rsidRDefault="008249B3" w:rsidP="001B4D7C">
            <w:pPr>
              <w:ind w:left="-37"/>
              <w:rPr>
                <w:rFonts w:ascii="Times New Roman" w:hAnsi="Times New Roman" w:cs="Times New Roman"/>
              </w:rPr>
            </w:pPr>
          </w:p>
        </w:tc>
        <w:tc>
          <w:tcPr>
            <w:tcW w:w="2050" w:type="dxa"/>
          </w:tcPr>
          <w:p w14:paraId="426A4F57" w14:textId="05AEC326" w:rsidR="008249B3" w:rsidRPr="00C426E5" w:rsidRDefault="008249B3" w:rsidP="00BD6147">
            <w:pPr>
              <w:ind w:left="-37"/>
              <w:jc w:val="center"/>
              <w:rPr>
                <w:rFonts w:ascii="Times New Roman" w:hAnsi="Times New Roman" w:cs="Times New Roman"/>
              </w:rPr>
            </w:pPr>
          </w:p>
        </w:tc>
        <w:tc>
          <w:tcPr>
            <w:tcW w:w="2016" w:type="dxa"/>
          </w:tcPr>
          <w:p w14:paraId="0372848A" w14:textId="12B190F3"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PMO</w:t>
            </w:r>
          </w:p>
          <w:p w14:paraId="5B5363FE" w14:textId="4D9ED423"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NESD</w:t>
            </w:r>
            <w:r w:rsidR="006001B7">
              <w:rPr>
                <w:rFonts w:ascii="Times New Roman" w:hAnsi="Times New Roman" w:cs="Times New Roman"/>
              </w:rPr>
              <w:t>C</w:t>
            </w:r>
          </w:p>
          <w:p w14:paraId="78C3B281" w14:textId="23CF1F95" w:rsidR="008249B3" w:rsidRDefault="006A1506" w:rsidP="0063214B">
            <w:pPr>
              <w:pStyle w:val="ListParagraph"/>
              <w:numPr>
                <w:ilvl w:val="0"/>
                <w:numId w:val="1"/>
              </w:numPr>
              <w:ind w:left="241" w:hanging="180"/>
              <w:rPr>
                <w:rFonts w:ascii="Times New Roman" w:hAnsi="Times New Roman" w:cs="Times New Roman"/>
              </w:rPr>
            </w:pPr>
            <w:r>
              <w:rPr>
                <w:rFonts w:ascii="Times New Roman" w:hAnsi="Times New Roman" w:cs="Times New Roman"/>
              </w:rPr>
              <w:t>MOPH</w:t>
            </w:r>
          </w:p>
          <w:p w14:paraId="30AA5B5E" w14:textId="5658D55F" w:rsidR="006622C9" w:rsidRPr="00C426E5" w:rsidRDefault="006622C9" w:rsidP="0063214B">
            <w:pPr>
              <w:pStyle w:val="ListParagraph"/>
              <w:numPr>
                <w:ilvl w:val="0"/>
                <w:numId w:val="1"/>
              </w:numPr>
              <w:ind w:left="241" w:hanging="180"/>
              <w:rPr>
                <w:rFonts w:ascii="Times New Roman" w:hAnsi="Times New Roman" w:cs="Times New Roman"/>
              </w:rPr>
            </w:pPr>
            <w:r>
              <w:rPr>
                <w:rFonts w:ascii="Times New Roman" w:hAnsi="Times New Roman" w:cs="Times New Roman"/>
              </w:rPr>
              <w:t>WHO</w:t>
            </w:r>
          </w:p>
        </w:tc>
      </w:tr>
      <w:tr w:rsidR="008249B3" w:rsidRPr="00C426E5" w14:paraId="10AB4D2C" w14:textId="7631EE03" w:rsidTr="008A27F5">
        <w:trPr>
          <w:cantSplit/>
          <w:trHeight w:val="440"/>
        </w:trPr>
        <w:tc>
          <w:tcPr>
            <w:tcW w:w="694" w:type="dxa"/>
          </w:tcPr>
          <w:p w14:paraId="50F07DE7" w14:textId="77777777" w:rsidR="008249B3" w:rsidRPr="00C426E5" w:rsidRDefault="008249B3" w:rsidP="00761334">
            <w:pPr>
              <w:jc w:val="center"/>
              <w:rPr>
                <w:rFonts w:ascii="Times New Roman" w:hAnsi="Times New Roman" w:cs="Times New Roman"/>
              </w:rPr>
            </w:pPr>
            <w:r w:rsidRPr="00C426E5">
              <w:rPr>
                <w:rFonts w:ascii="Times New Roman" w:hAnsi="Times New Roman" w:cs="Times New Roman"/>
              </w:rPr>
              <w:lastRenderedPageBreak/>
              <w:t>1.2</w:t>
            </w:r>
          </w:p>
        </w:tc>
        <w:tc>
          <w:tcPr>
            <w:tcW w:w="3071" w:type="dxa"/>
          </w:tcPr>
          <w:p w14:paraId="351AF477" w14:textId="77777777" w:rsidR="008249B3" w:rsidRPr="00C426E5" w:rsidRDefault="008249B3" w:rsidP="00A05BE2">
            <w:pPr>
              <w:autoSpaceDE w:val="0"/>
              <w:autoSpaceDN w:val="0"/>
              <w:adjustRightInd w:val="0"/>
              <w:rPr>
                <w:rFonts w:ascii="Times New Roman" w:eastAsiaTheme="majorEastAsia" w:hAnsi="Times New Roman" w:cs="Times New Roman"/>
                <w:lang w:val="en-US"/>
              </w:rPr>
            </w:pPr>
            <w:r w:rsidRPr="00C426E5">
              <w:rPr>
                <w:rFonts w:ascii="Times New Roman" w:eastAsiaTheme="majorEastAsia" w:hAnsi="Times New Roman" w:cs="Times New Roman"/>
                <w:lang w:val="en-US"/>
              </w:rPr>
              <w:t>The Prime Minister’s Office to track progress on national NCD and NCD-related SDG targets (e.g. through a simple progress scorecard) and reported to cabinet annually</w:t>
            </w:r>
          </w:p>
        </w:tc>
        <w:tc>
          <w:tcPr>
            <w:tcW w:w="2715" w:type="dxa"/>
          </w:tcPr>
          <w:p w14:paraId="24F30871" w14:textId="6B415FE5"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Annual NCD progress report, including barriers, prepared, and presented to the cabinet via SDG committee or other mechanism in 2020 and each year, subsequently</w:t>
            </w:r>
          </w:p>
        </w:tc>
        <w:tc>
          <w:tcPr>
            <w:tcW w:w="3456" w:type="dxa"/>
          </w:tcPr>
          <w:p w14:paraId="4BC0FBB3" w14:textId="5BFB6534" w:rsidR="008249B3" w:rsidRPr="00C426E5" w:rsidRDefault="006A1506" w:rsidP="0063214B">
            <w:pPr>
              <w:pStyle w:val="ListParagraph"/>
              <w:numPr>
                <w:ilvl w:val="0"/>
                <w:numId w:val="1"/>
              </w:numPr>
              <w:ind w:left="241" w:hanging="180"/>
              <w:rPr>
                <w:rFonts w:ascii="Times New Roman" w:hAnsi="Times New Roman" w:cs="Times New Roman"/>
              </w:rPr>
            </w:pPr>
            <w:r>
              <w:rPr>
                <w:rFonts w:ascii="Times New Roman" w:hAnsi="Times New Roman" w:cs="Times New Roman"/>
              </w:rPr>
              <w:t>MOPH</w:t>
            </w:r>
            <w:r w:rsidR="008249B3" w:rsidRPr="00C426E5">
              <w:rPr>
                <w:rFonts w:ascii="Times New Roman" w:hAnsi="Times New Roman" w:cs="Times New Roman"/>
              </w:rPr>
              <w:t xml:space="preserve"> is tracking and reporting progress through the NCD multisectoral committee. </w:t>
            </w:r>
          </w:p>
          <w:p w14:paraId="4584E648" w14:textId="3BB27E54"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 xml:space="preserve">UNDP </w:t>
            </w:r>
            <w:r w:rsidR="003D6C6F">
              <w:rPr>
                <w:rFonts w:ascii="Times New Roman" w:hAnsi="Times New Roman" w:cs="Times New Roman"/>
              </w:rPr>
              <w:t>and</w:t>
            </w:r>
            <w:r w:rsidRPr="00C426E5">
              <w:rPr>
                <w:rFonts w:ascii="Times New Roman" w:hAnsi="Times New Roman" w:cs="Times New Roman"/>
              </w:rPr>
              <w:t xml:space="preserve"> WHO convened a meeting of multisectoral stakeholders on 27 November</w:t>
            </w:r>
            <w:r w:rsidR="000302FD" w:rsidRPr="00C426E5">
              <w:rPr>
                <w:rFonts w:ascii="Times New Roman" w:hAnsi="Times New Roman" w:cs="Times New Roman"/>
              </w:rPr>
              <w:t xml:space="preserve"> 2019</w:t>
            </w:r>
            <w:r w:rsidRPr="00C426E5">
              <w:rPr>
                <w:rFonts w:ascii="Times New Roman" w:hAnsi="Times New Roman" w:cs="Times New Roman"/>
              </w:rPr>
              <w:t xml:space="preserve"> to apprise</w:t>
            </w:r>
            <w:r w:rsidR="003D6C6F">
              <w:rPr>
                <w:rFonts w:ascii="Times New Roman" w:hAnsi="Times New Roman" w:cs="Times New Roman"/>
              </w:rPr>
              <w:t xml:space="preserve"> government ministries</w:t>
            </w:r>
            <w:r w:rsidRPr="00C426E5">
              <w:rPr>
                <w:rFonts w:ascii="Times New Roman" w:hAnsi="Times New Roman" w:cs="Times New Roman"/>
              </w:rPr>
              <w:t xml:space="preserve"> of the linkages between NCDs and SDGs.</w:t>
            </w:r>
          </w:p>
          <w:p w14:paraId="16833359" w14:textId="7E5D02B3"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NESDC</w:t>
            </w:r>
            <w:r w:rsidR="003D6C6F">
              <w:rPr>
                <w:rFonts w:ascii="Times New Roman" w:hAnsi="Times New Roman" w:cs="Times New Roman"/>
              </w:rPr>
              <w:t xml:space="preserve"> staff</w:t>
            </w:r>
            <w:r w:rsidRPr="00C426E5">
              <w:rPr>
                <w:rFonts w:ascii="Times New Roman" w:hAnsi="Times New Roman" w:cs="Times New Roman"/>
              </w:rPr>
              <w:t xml:space="preserve"> attended a Global </w:t>
            </w:r>
            <w:r w:rsidR="003D6C6F">
              <w:rPr>
                <w:rFonts w:ascii="Times New Roman" w:hAnsi="Times New Roman" w:cs="Times New Roman"/>
              </w:rPr>
              <w:t xml:space="preserve">WHO </w:t>
            </w:r>
            <w:r w:rsidRPr="00C426E5">
              <w:rPr>
                <w:rFonts w:ascii="Times New Roman" w:hAnsi="Times New Roman" w:cs="Times New Roman"/>
              </w:rPr>
              <w:t>Meeting on NCDs and Mental Health and presented Thailand’s multisectoral mechanism</w:t>
            </w:r>
            <w:r w:rsidR="003D6C6F">
              <w:rPr>
                <w:rFonts w:ascii="Times New Roman" w:hAnsi="Times New Roman" w:cs="Times New Roman"/>
              </w:rPr>
              <w:t>s</w:t>
            </w:r>
            <w:r w:rsidRPr="00C426E5">
              <w:rPr>
                <w:rFonts w:ascii="Times New Roman" w:hAnsi="Times New Roman" w:cs="Times New Roman"/>
              </w:rPr>
              <w:t xml:space="preserve"> for the prevention and control of NCDs.</w:t>
            </w:r>
          </w:p>
          <w:p w14:paraId="1A785091" w14:textId="56666012" w:rsidR="008249B3" w:rsidRPr="00C426E5" w:rsidRDefault="003D6C6F" w:rsidP="0063214B">
            <w:pPr>
              <w:pStyle w:val="ListParagraph"/>
              <w:numPr>
                <w:ilvl w:val="0"/>
                <w:numId w:val="1"/>
              </w:numPr>
              <w:ind w:left="241" w:hanging="180"/>
              <w:rPr>
                <w:rFonts w:ascii="Times New Roman" w:hAnsi="Times New Roman" w:cs="Times New Roman"/>
              </w:rPr>
            </w:pPr>
            <w:r>
              <w:rPr>
                <w:rFonts w:ascii="Times New Roman" w:hAnsi="Times New Roman" w:cs="Times New Roman"/>
              </w:rPr>
              <w:t xml:space="preserve">WHO and </w:t>
            </w:r>
            <w:r w:rsidR="006A1506">
              <w:rPr>
                <w:rFonts w:ascii="Times New Roman" w:hAnsi="Times New Roman" w:cs="Times New Roman"/>
              </w:rPr>
              <w:t>MOPH</w:t>
            </w:r>
            <w:r>
              <w:rPr>
                <w:rFonts w:ascii="Times New Roman" w:hAnsi="Times New Roman" w:cs="Times New Roman"/>
              </w:rPr>
              <w:t xml:space="preserve"> have prepared NCD </w:t>
            </w:r>
            <w:r w:rsidR="008249B3" w:rsidRPr="00C426E5">
              <w:rPr>
                <w:rFonts w:ascii="Times New Roman" w:hAnsi="Times New Roman" w:cs="Times New Roman"/>
              </w:rPr>
              <w:t xml:space="preserve">progress tracker </w:t>
            </w:r>
            <w:r>
              <w:rPr>
                <w:rFonts w:ascii="Times New Roman" w:hAnsi="Times New Roman" w:cs="Times New Roman"/>
              </w:rPr>
              <w:t xml:space="preserve">2020 that will be </w:t>
            </w:r>
            <w:r w:rsidR="00DB58F8" w:rsidRPr="00C426E5">
              <w:rPr>
                <w:rFonts w:ascii="Times New Roman" w:hAnsi="Times New Roman" w:cs="Times New Roman"/>
              </w:rPr>
              <w:t>submit</w:t>
            </w:r>
            <w:r>
              <w:rPr>
                <w:rFonts w:ascii="Times New Roman" w:hAnsi="Times New Roman" w:cs="Times New Roman"/>
              </w:rPr>
              <w:t>ted</w:t>
            </w:r>
            <w:r w:rsidR="008249B3" w:rsidRPr="00C426E5">
              <w:rPr>
                <w:rFonts w:ascii="Times New Roman" w:hAnsi="Times New Roman" w:cs="Times New Roman"/>
              </w:rPr>
              <w:t xml:space="preserve"> to the </w:t>
            </w:r>
            <w:proofErr w:type="gramStart"/>
            <w:r w:rsidR="008249B3" w:rsidRPr="00C426E5">
              <w:rPr>
                <w:rFonts w:ascii="Times New Roman" w:hAnsi="Times New Roman" w:cs="Times New Roman"/>
              </w:rPr>
              <w:t>cabinet</w:t>
            </w:r>
            <w:r>
              <w:rPr>
                <w:rFonts w:ascii="Times New Roman" w:hAnsi="Times New Roman" w:cs="Times New Roman"/>
              </w:rPr>
              <w:t>.</w:t>
            </w:r>
            <w:proofErr w:type="gramEnd"/>
            <w:r>
              <w:rPr>
                <w:rFonts w:ascii="Times New Roman" w:hAnsi="Times New Roman" w:cs="Times New Roman"/>
              </w:rPr>
              <w:t xml:space="preserve"> </w:t>
            </w:r>
            <w:r w:rsidR="008249B3" w:rsidRPr="00C426E5">
              <w:rPr>
                <w:rFonts w:ascii="Times New Roman" w:hAnsi="Times New Roman" w:cs="Times New Roman"/>
              </w:rPr>
              <w:t xml:space="preserve">  </w:t>
            </w:r>
          </w:p>
          <w:p w14:paraId="1A9794B8" w14:textId="44556108" w:rsidR="00936B03" w:rsidRPr="00C426E5" w:rsidRDefault="00936B03" w:rsidP="00C426E5">
            <w:pPr>
              <w:ind w:left="241" w:hanging="180"/>
              <w:rPr>
                <w:rFonts w:ascii="Times New Roman" w:hAnsi="Times New Roman" w:cs="Times New Roman"/>
              </w:rPr>
            </w:pPr>
          </w:p>
        </w:tc>
        <w:tc>
          <w:tcPr>
            <w:tcW w:w="1584" w:type="dxa"/>
          </w:tcPr>
          <w:p w14:paraId="44311D20" w14:textId="7728F97F" w:rsidR="008249B3" w:rsidRPr="00C426E5" w:rsidRDefault="008249B3" w:rsidP="00722450">
            <w:pPr>
              <w:rPr>
                <w:rFonts w:ascii="Times New Roman" w:hAnsi="Times New Roman" w:cs="Times New Roman"/>
              </w:rPr>
            </w:pPr>
          </w:p>
        </w:tc>
        <w:tc>
          <w:tcPr>
            <w:tcW w:w="2050" w:type="dxa"/>
          </w:tcPr>
          <w:p w14:paraId="2B373D00" w14:textId="2AE55101" w:rsidR="008249B3" w:rsidRPr="003D6C6F" w:rsidRDefault="008249B3" w:rsidP="003D6C6F">
            <w:pPr>
              <w:rPr>
                <w:rFonts w:ascii="Times New Roman" w:hAnsi="Times New Roman" w:cs="Times New Roman"/>
              </w:rPr>
            </w:pPr>
          </w:p>
        </w:tc>
        <w:tc>
          <w:tcPr>
            <w:tcW w:w="2016" w:type="dxa"/>
          </w:tcPr>
          <w:p w14:paraId="109B2219" w14:textId="5FB518D6"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NESD</w:t>
            </w:r>
            <w:r w:rsidR="003D6C6F">
              <w:rPr>
                <w:rFonts w:ascii="Times New Roman" w:hAnsi="Times New Roman" w:cs="Times New Roman"/>
              </w:rPr>
              <w:t>C</w:t>
            </w:r>
          </w:p>
          <w:p w14:paraId="78F6369A" w14:textId="308066C2" w:rsidR="008249B3" w:rsidRDefault="006A1506" w:rsidP="0063214B">
            <w:pPr>
              <w:pStyle w:val="ListParagraph"/>
              <w:numPr>
                <w:ilvl w:val="0"/>
                <w:numId w:val="1"/>
              </w:numPr>
              <w:ind w:left="241" w:hanging="180"/>
              <w:rPr>
                <w:rFonts w:ascii="Times New Roman" w:hAnsi="Times New Roman" w:cs="Times New Roman"/>
              </w:rPr>
            </w:pPr>
            <w:r>
              <w:rPr>
                <w:rFonts w:ascii="Times New Roman" w:hAnsi="Times New Roman" w:cs="Times New Roman"/>
              </w:rPr>
              <w:t>MOPH</w:t>
            </w:r>
          </w:p>
          <w:p w14:paraId="68A8357C" w14:textId="5F308E84" w:rsidR="003D6C6F" w:rsidRPr="00C426E5" w:rsidRDefault="003D6C6F" w:rsidP="0063214B">
            <w:pPr>
              <w:pStyle w:val="ListParagraph"/>
              <w:numPr>
                <w:ilvl w:val="0"/>
                <w:numId w:val="1"/>
              </w:numPr>
              <w:ind w:left="241" w:hanging="180"/>
              <w:rPr>
                <w:rFonts w:ascii="Times New Roman" w:hAnsi="Times New Roman" w:cs="Times New Roman"/>
              </w:rPr>
            </w:pPr>
            <w:r>
              <w:rPr>
                <w:rFonts w:ascii="Times New Roman" w:hAnsi="Times New Roman" w:cs="Times New Roman"/>
              </w:rPr>
              <w:t>WHO</w:t>
            </w:r>
          </w:p>
          <w:p w14:paraId="54565FF0" w14:textId="10892EA9" w:rsidR="008249B3" w:rsidRPr="00C426E5" w:rsidRDefault="008249B3" w:rsidP="00C426E5">
            <w:pPr>
              <w:ind w:left="241" w:hanging="180"/>
              <w:rPr>
                <w:rFonts w:ascii="Times New Roman" w:hAnsi="Times New Roman" w:cs="Times New Roman"/>
              </w:rPr>
            </w:pPr>
          </w:p>
        </w:tc>
      </w:tr>
      <w:tr w:rsidR="008249B3" w:rsidRPr="00C426E5" w14:paraId="6CE8F754" w14:textId="27C34D58" w:rsidTr="008A27F5">
        <w:trPr>
          <w:cantSplit/>
        </w:trPr>
        <w:tc>
          <w:tcPr>
            <w:tcW w:w="694" w:type="dxa"/>
            <w:shd w:val="clear" w:color="auto" w:fill="auto"/>
          </w:tcPr>
          <w:p w14:paraId="16BC5E03" w14:textId="77777777" w:rsidR="008249B3" w:rsidRPr="00C426E5" w:rsidRDefault="008249B3" w:rsidP="00A05BE2">
            <w:pPr>
              <w:rPr>
                <w:rFonts w:ascii="Times New Roman" w:hAnsi="Times New Roman" w:cs="Times New Roman"/>
              </w:rPr>
            </w:pPr>
            <w:r w:rsidRPr="00C426E5">
              <w:rPr>
                <w:rFonts w:ascii="Times New Roman" w:hAnsi="Times New Roman" w:cs="Times New Roman"/>
              </w:rPr>
              <w:t>1.3</w:t>
            </w:r>
          </w:p>
        </w:tc>
        <w:tc>
          <w:tcPr>
            <w:tcW w:w="3071" w:type="dxa"/>
            <w:shd w:val="clear" w:color="auto" w:fill="auto"/>
          </w:tcPr>
          <w:p w14:paraId="7406783C" w14:textId="177CEB34" w:rsidR="008249B3" w:rsidRPr="00C426E5" w:rsidRDefault="008249B3" w:rsidP="00F97A98">
            <w:pPr>
              <w:rPr>
                <w:rFonts w:ascii="Times New Roman" w:hAnsi="Times New Roman" w:cs="Times New Roman"/>
              </w:rPr>
            </w:pPr>
            <w:r w:rsidRPr="00C426E5">
              <w:rPr>
                <w:rFonts w:ascii="Times New Roman" w:eastAsiaTheme="majorEastAsia" w:hAnsi="Times New Roman" w:cs="Times New Roman"/>
                <w:lang w:val="en-US"/>
              </w:rPr>
              <w:t>Address interference from tobacco, alcohol, air pollution, and food industry to ensure that public interests remain above commercial interests</w:t>
            </w:r>
          </w:p>
        </w:tc>
        <w:tc>
          <w:tcPr>
            <w:tcW w:w="2715" w:type="dxa"/>
            <w:shd w:val="clear" w:color="auto" w:fill="auto"/>
          </w:tcPr>
          <w:p w14:paraId="373F970D" w14:textId="77777777"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Annual report released by civil society to public about industry interference in NCD-related policy making</w:t>
            </w:r>
          </w:p>
        </w:tc>
        <w:tc>
          <w:tcPr>
            <w:tcW w:w="3456" w:type="dxa"/>
            <w:shd w:val="clear" w:color="auto" w:fill="auto"/>
          </w:tcPr>
          <w:p w14:paraId="0DE2E9CF" w14:textId="402DBD96" w:rsidR="008249B3" w:rsidRPr="00C426E5" w:rsidRDefault="0018314C"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 xml:space="preserve">SEATCA </w:t>
            </w:r>
            <w:r w:rsidR="006622C9">
              <w:rPr>
                <w:rFonts w:ascii="Times New Roman" w:hAnsi="Times New Roman" w:cs="Times New Roman"/>
              </w:rPr>
              <w:t>publishes the</w:t>
            </w:r>
            <w:r w:rsidRPr="00C426E5">
              <w:rPr>
                <w:rFonts w:ascii="Times New Roman" w:hAnsi="Times New Roman" w:cs="Times New Roman"/>
              </w:rPr>
              <w:t xml:space="preserve"> Tobacco Industry Interference Index annually in Southeast Asia </w:t>
            </w:r>
          </w:p>
          <w:p w14:paraId="1D928DF0" w14:textId="4848B837" w:rsidR="008249B3" w:rsidRPr="006622C9" w:rsidRDefault="008249B3" w:rsidP="006622C9">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 xml:space="preserve">IHPP in conjunction with </w:t>
            </w:r>
            <w:r w:rsidR="006A1506">
              <w:rPr>
                <w:rFonts w:ascii="Times New Roman" w:hAnsi="Times New Roman" w:cs="Times New Roman"/>
              </w:rPr>
              <w:t>MOPH</w:t>
            </w:r>
            <w:r w:rsidRPr="00C426E5">
              <w:rPr>
                <w:rFonts w:ascii="Times New Roman" w:hAnsi="Times New Roman" w:cs="Times New Roman"/>
              </w:rPr>
              <w:t xml:space="preserve"> and academia </w:t>
            </w:r>
            <w:r w:rsidR="001D5DDD">
              <w:rPr>
                <w:rFonts w:ascii="Times New Roman" w:hAnsi="Times New Roman" w:cs="Times New Roman"/>
              </w:rPr>
              <w:t>is</w:t>
            </w:r>
            <w:r w:rsidR="001D5DDD" w:rsidRPr="00C426E5">
              <w:rPr>
                <w:rFonts w:ascii="Times New Roman" w:hAnsi="Times New Roman" w:cs="Times New Roman"/>
              </w:rPr>
              <w:t xml:space="preserve"> </w:t>
            </w:r>
            <w:r w:rsidRPr="00C426E5">
              <w:rPr>
                <w:rFonts w:ascii="Times New Roman" w:hAnsi="Times New Roman" w:cs="Times New Roman"/>
              </w:rPr>
              <w:t xml:space="preserve">developing </w:t>
            </w:r>
            <w:r w:rsidR="006622C9">
              <w:rPr>
                <w:rFonts w:ascii="Times New Roman" w:hAnsi="Times New Roman" w:cs="Times New Roman"/>
              </w:rPr>
              <w:t xml:space="preserve">an </w:t>
            </w:r>
            <w:r w:rsidRPr="00C426E5">
              <w:rPr>
                <w:rFonts w:ascii="Times New Roman" w:hAnsi="Times New Roman" w:cs="Times New Roman"/>
              </w:rPr>
              <w:t xml:space="preserve">Alcohol Industry Index </w:t>
            </w:r>
          </w:p>
        </w:tc>
        <w:tc>
          <w:tcPr>
            <w:tcW w:w="1584" w:type="dxa"/>
            <w:shd w:val="clear" w:color="auto" w:fill="auto"/>
          </w:tcPr>
          <w:p w14:paraId="1A5BFD37" w14:textId="4BBD2222" w:rsidR="008249B3" w:rsidRPr="00C426E5" w:rsidRDefault="001D5DDD" w:rsidP="00F97A98">
            <w:pPr>
              <w:ind w:left="-37"/>
              <w:rPr>
                <w:rFonts w:ascii="Times New Roman" w:hAnsi="Times New Roman" w:cs="Times New Roman"/>
                <w:spacing w:val="-6"/>
              </w:rPr>
            </w:pPr>
            <w:r>
              <w:rPr>
                <w:rFonts w:ascii="Times New Roman" w:hAnsi="Times New Roman" w:cs="Times New Roman"/>
                <w:spacing w:val="-6"/>
              </w:rPr>
              <w:t>Continuous i</w:t>
            </w:r>
            <w:r w:rsidR="006622C9">
              <w:rPr>
                <w:rFonts w:ascii="Times New Roman" w:hAnsi="Times New Roman" w:cs="Times New Roman"/>
                <w:spacing w:val="-6"/>
              </w:rPr>
              <w:t xml:space="preserve">nterference by tobacco, alcohol and food industry is </w:t>
            </w:r>
            <w:r>
              <w:rPr>
                <w:rFonts w:ascii="Times New Roman" w:hAnsi="Times New Roman" w:cs="Times New Roman"/>
                <w:spacing w:val="-6"/>
              </w:rPr>
              <w:t xml:space="preserve">delaying and diluting </w:t>
            </w:r>
            <w:r w:rsidR="006622C9">
              <w:rPr>
                <w:rFonts w:ascii="Times New Roman" w:hAnsi="Times New Roman" w:cs="Times New Roman"/>
                <w:spacing w:val="-6"/>
              </w:rPr>
              <w:t xml:space="preserve">public health policies </w:t>
            </w:r>
          </w:p>
        </w:tc>
        <w:tc>
          <w:tcPr>
            <w:tcW w:w="2050" w:type="dxa"/>
            <w:shd w:val="clear" w:color="auto" w:fill="auto"/>
          </w:tcPr>
          <w:p w14:paraId="259A5311" w14:textId="39A1362A" w:rsidR="008249B3" w:rsidRPr="00C426E5" w:rsidRDefault="008249B3" w:rsidP="00BD6147">
            <w:pPr>
              <w:rPr>
                <w:rFonts w:ascii="Times New Roman" w:hAnsi="Times New Roman" w:cs="Times New Roman"/>
              </w:rPr>
            </w:pPr>
          </w:p>
        </w:tc>
        <w:tc>
          <w:tcPr>
            <w:tcW w:w="2016" w:type="dxa"/>
            <w:shd w:val="clear" w:color="auto" w:fill="auto"/>
          </w:tcPr>
          <w:p w14:paraId="0802C269" w14:textId="78B6EC5F" w:rsidR="008249B3" w:rsidRPr="00C426E5" w:rsidRDefault="006622C9" w:rsidP="00225A45">
            <w:pPr>
              <w:rPr>
                <w:rFonts w:ascii="Times New Roman" w:hAnsi="Times New Roman" w:cs="Times New Roman"/>
              </w:rPr>
            </w:pPr>
            <w:r>
              <w:rPr>
                <w:rFonts w:ascii="Times New Roman" w:hAnsi="Times New Roman" w:cs="Times New Roman"/>
              </w:rPr>
              <w:t xml:space="preserve">Civil society </w:t>
            </w:r>
          </w:p>
        </w:tc>
      </w:tr>
      <w:tr w:rsidR="008249B3" w:rsidRPr="00C426E5" w14:paraId="1B668FFA" w14:textId="27B54416" w:rsidTr="008A27F5">
        <w:trPr>
          <w:cantSplit/>
        </w:trPr>
        <w:tc>
          <w:tcPr>
            <w:tcW w:w="694" w:type="dxa"/>
          </w:tcPr>
          <w:p w14:paraId="406552C4" w14:textId="77777777" w:rsidR="008249B3" w:rsidRPr="00C426E5" w:rsidRDefault="008249B3" w:rsidP="00985692">
            <w:pPr>
              <w:rPr>
                <w:rFonts w:ascii="Times New Roman" w:hAnsi="Times New Roman" w:cs="Times New Roman"/>
              </w:rPr>
            </w:pPr>
            <w:r w:rsidRPr="00C426E5">
              <w:rPr>
                <w:rFonts w:ascii="Times New Roman" w:hAnsi="Times New Roman" w:cs="Times New Roman"/>
              </w:rPr>
              <w:lastRenderedPageBreak/>
              <w:t>1.4</w:t>
            </w:r>
          </w:p>
        </w:tc>
        <w:tc>
          <w:tcPr>
            <w:tcW w:w="3071" w:type="dxa"/>
          </w:tcPr>
          <w:p w14:paraId="0A250FC9" w14:textId="77777777" w:rsidR="008249B3" w:rsidRPr="00C426E5" w:rsidRDefault="008249B3" w:rsidP="00985692">
            <w:pPr>
              <w:rPr>
                <w:rFonts w:ascii="Times New Roman" w:eastAsiaTheme="majorEastAsia" w:hAnsi="Times New Roman" w:cs="Times New Roman"/>
                <w:lang w:val="en-US"/>
              </w:rPr>
            </w:pPr>
            <w:r w:rsidRPr="00C426E5">
              <w:rPr>
                <w:rFonts w:ascii="Times New Roman" w:eastAsiaTheme="majorEastAsia" w:hAnsi="Times New Roman" w:cs="Times New Roman"/>
                <w:lang w:val="en-US"/>
              </w:rPr>
              <w:t>Accede to the WHO FCTC Protocol to Eliminate Illicit Trade in Tobacco</w:t>
            </w:r>
          </w:p>
          <w:p w14:paraId="4ADB38AF" w14:textId="77777777" w:rsidR="008249B3" w:rsidRPr="00C426E5" w:rsidRDefault="008249B3" w:rsidP="00985692">
            <w:pPr>
              <w:rPr>
                <w:rFonts w:ascii="Times New Roman" w:hAnsi="Times New Roman" w:cs="Times New Roman"/>
              </w:rPr>
            </w:pPr>
          </w:p>
        </w:tc>
        <w:tc>
          <w:tcPr>
            <w:tcW w:w="2715" w:type="dxa"/>
          </w:tcPr>
          <w:p w14:paraId="571A60EC" w14:textId="77777777"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Accession to the WHO FCTC Protocol to eliminate illicit trade in tobacco protocols</w:t>
            </w:r>
          </w:p>
        </w:tc>
        <w:tc>
          <w:tcPr>
            <w:tcW w:w="3456" w:type="dxa"/>
          </w:tcPr>
          <w:p w14:paraId="40B63BF8" w14:textId="31D35722"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Thailand did not ratify the WHO FCTC Protocol to Eliminate Illicit Trade in Tobacco</w:t>
            </w:r>
            <w:r w:rsidR="001D5DDD">
              <w:rPr>
                <w:rFonts w:ascii="Times New Roman" w:hAnsi="Times New Roman" w:cs="Times New Roman"/>
              </w:rPr>
              <w:t>. P</w:t>
            </w:r>
            <w:r w:rsidRPr="00C426E5">
              <w:rPr>
                <w:rFonts w:ascii="Times New Roman" w:hAnsi="Times New Roman" w:cs="Times New Roman"/>
              </w:rPr>
              <w:t>reparation for accession is under discussion.</w:t>
            </w:r>
          </w:p>
          <w:p w14:paraId="2A052549" w14:textId="715AE735" w:rsidR="008249B3" w:rsidRPr="00C426E5" w:rsidRDefault="006622C9" w:rsidP="0063214B">
            <w:pPr>
              <w:pStyle w:val="ListParagraph"/>
              <w:numPr>
                <w:ilvl w:val="0"/>
                <w:numId w:val="1"/>
              </w:numPr>
              <w:ind w:left="241" w:hanging="180"/>
              <w:rPr>
                <w:rFonts w:ascii="Times New Roman" w:hAnsi="Times New Roman" w:cs="Times New Roman"/>
              </w:rPr>
            </w:pPr>
            <w:r>
              <w:rPr>
                <w:rFonts w:ascii="Times New Roman" w:hAnsi="Times New Roman" w:cs="Times New Roman"/>
              </w:rPr>
              <w:t>The D</w:t>
            </w:r>
            <w:r w:rsidR="008249B3" w:rsidRPr="00C426E5">
              <w:rPr>
                <w:rFonts w:ascii="Times New Roman" w:hAnsi="Times New Roman" w:cs="Times New Roman"/>
              </w:rPr>
              <w:t xml:space="preserve">epartment of Excise, MOF is developing </w:t>
            </w:r>
            <w:r>
              <w:rPr>
                <w:rFonts w:ascii="Times New Roman" w:hAnsi="Times New Roman" w:cs="Times New Roman"/>
              </w:rPr>
              <w:t>a</w:t>
            </w:r>
            <w:r w:rsidR="008249B3" w:rsidRPr="00C426E5">
              <w:rPr>
                <w:rFonts w:ascii="Times New Roman" w:hAnsi="Times New Roman" w:cs="Times New Roman"/>
              </w:rPr>
              <w:t xml:space="preserve"> tracking and tracing system of tobacco tax stamp (track &amp; trace) in responding to illicit trade of tobacco product</w:t>
            </w:r>
            <w:r>
              <w:rPr>
                <w:rFonts w:ascii="Times New Roman" w:hAnsi="Times New Roman" w:cs="Times New Roman"/>
              </w:rPr>
              <w:t>s</w:t>
            </w:r>
            <w:r w:rsidR="008249B3" w:rsidRPr="00C426E5">
              <w:rPr>
                <w:rFonts w:ascii="Times New Roman" w:hAnsi="Times New Roman" w:cs="Times New Roman"/>
              </w:rPr>
              <w:t xml:space="preserve"> in Thailand.</w:t>
            </w:r>
          </w:p>
        </w:tc>
        <w:tc>
          <w:tcPr>
            <w:tcW w:w="1584" w:type="dxa"/>
          </w:tcPr>
          <w:p w14:paraId="22743C69" w14:textId="5D44208B" w:rsidR="008249B3" w:rsidRPr="00C426E5" w:rsidRDefault="008249B3" w:rsidP="00E5069E">
            <w:pPr>
              <w:ind w:left="-37"/>
              <w:rPr>
                <w:rFonts w:ascii="Times New Roman" w:hAnsi="Times New Roman" w:cs="Times New Roman"/>
              </w:rPr>
            </w:pPr>
          </w:p>
        </w:tc>
        <w:tc>
          <w:tcPr>
            <w:tcW w:w="2050" w:type="dxa"/>
          </w:tcPr>
          <w:p w14:paraId="5067DE94" w14:textId="67B2BB48" w:rsidR="008249B3" w:rsidRPr="00C426E5" w:rsidRDefault="008249B3" w:rsidP="0063214B">
            <w:pPr>
              <w:pStyle w:val="ListParagraph"/>
              <w:numPr>
                <w:ilvl w:val="0"/>
                <w:numId w:val="1"/>
              </w:numPr>
              <w:ind w:left="241" w:hanging="180"/>
              <w:rPr>
                <w:rFonts w:ascii="Times New Roman" w:hAnsi="Times New Roman" w:cs="Times New Roman"/>
              </w:rPr>
            </w:pPr>
            <w:r w:rsidRPr="00761334">
              <w:rPr>
                <w:rFonts w:ascii="Times New Roman" w:hAnsi="Times New Roman" w:cs="Times New Roman"/>
              </w:rPr>
              <w:t>WHO</w:t>
            </w:r>
            <w:r w:rsidRPr="00C426E5">
              <w:rPr>
                <w:rFonts w:ascii="Times New Roman" w:hAnsi="Times New Roman" w:cs="Times New Roman"/>
              </w:rPr>
              <w:t xml:space="preserve"> and </w:t>
            </w:r>
            <w:r w:rsidRPr="00761334">
              <w:rPr>
                <w:rFonts w:ascii="Times New Roman" w:hAnsi="Times New Roman" w:cs="Times New Roman"/>
              </w:rPr>
              <w:t>UNDP</w:t>
            </w:r>
            <w:r w:rsidRPr="00C426E5">
              <w:rPr>
                <w:rFonts w:ascii="Times New Roman" w:hAnsi="Times New Roman" w:cs="Times New Roman"/>
              </w:rPr>
              <w:t xml:space="preserve"> to continue advocacy and provide technical support</w:t>
            </w:r>
          </w:p>
        </w:tc>
        <w:tc>
          <w:tcPr>
            <w:tcW w:w="2016" w:type="dxa"/>
          </w:tcPr>
          <w:p w14:paraId="02F501C9" w14:textId="32D2E6B7"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M</w:t>
            </w:r>
            <w:r w:rsidR="00761334">
              <w:rPr>
                <w:rFonts w:ascii="Times New Roman" w:hAnsi="Times New Roman" w:cs="Times New Roman"/>
              </w:rPr>
              <w:t>OF</w:t>
            </w:r>
          </w:p>
          <w:p w14:paraId="3BD2A73C" w14:textId="13C27298" w:rsidR="008249B3" w:rsidRPr="00C426E5" w:rsidRDefault="006A1506" w:rsidP="0063214B">
            <w:pPr>
              <w:pStyle w:val="ListParagraph"/>
              <w:numPr>
                <w:ilvl w:val="0"/>
                <w:numId w:val="1"/>
              </w:numPr>
              <w:ind w:left="241" w:hanging="180"/>
              <w:rPr>
                <w:rFonts w:ascii="Times New Roman" w:hAnsi="Times New Roman" w:cs="Times New Roman"/>
              </w:rPr>
            </w:pPr>
            <w:r>
              <w:rPr>
                <w:rFonts w:ascii="Times New Roman" w:hAnsi="Times New Roman" w:cs="Times New Roman"/>
              </w:rPr>
              <w:t>MOPH</w:t>
            </w:r>
            <w:r w:rsidR="008249B3" w:rsidRPr="00C426E5">
              <w:rPr>
                <w:rFonts w:ascii="Times New Roman" w:hAnsi="Times New Roman" w:cs="Times New Roman"/>
              </w:rPr>
              <w:t xml:space="preserve"> (Bureau of tobacco control)</w:t>
            </w:r>
          </w:p>
        </w:tc>
      </w:tr>
      <w:tr w:rsidR="008249B3" w:rsidRPr="00C426E5" w14:paraId="1BB84F92" w14:textId="0F56F15A" w:rsidTr="008A27F5">
        <w:trPr>
          <w:cantSplit/>
        </w:trPr>
        <w:tc>
          <w:tcPr>
            <w:tcW w:w="694" w:type="dxa"/>
          </w:tcPr>
          <w:p w14:paraId="48AE21DE" w14:textId="77777777" w:rsidR="008249B3" w:rsidRPr="00C426E5" w:rsidRDefault="008249B3" w:rsidP="00A05BE2">
            <w:pPr>
              <w:rPr>
                <w:rFonts w:ascii="Times New Roman" w:hAnsi="Times New Roman" w:cs="Times New Roman"/>
              </w:rPr>
            </w:pPr>
            <w:r w:rsidRPr="00C426E5">
              <w:rPr>
                <w:rFonts w:ascii="Times New Roman" w:hAnsi="Times New Roman" w:cs="Times New Roman"/>
              </w:rPr>
              <w:t>1.5</w:t>
            </w:r>
          </w:p>
        </w:tc>
        <w:tc>
          <w:tcPr>
            <w:tcW w:w="3071" w:type="dxa"/>
          </w:tcPr>
          <w:p w14:paraId="5B561664" w14:textId="77777777" w:rsidR="008249B3" w:rsidRPr="00C426E5" w:rsidRDefault="008249B3" w:rsidP="00A05BE2">
            <w:pPr>
              <w:rPr>
                <w:rFonts w:ascii="Times New Roman" w:hAnsi="Times New Roman" w:cs="Times New Roman"/>
              </w:rPr>
            </w:pPr>
            <w:r w:rsidRPr="00C426E5">
              <w:rPr>
                <w:rFonts w:ascii="Times New Roman" w:eastAsiaTheme="majorEastAsia" w:hAnsi="Times New Roman" w:cs="Times New Roman"/>
                <w:lang w:val="en-US"/>
              </w:rPr>
              <w:t>Identify and utilize champions for NCD-related SDG targets in health and non-health sectors</w:t>
            </w:r>
          </w:p>
        </w:tc>
        <w:tc>
          <w:tcPr>
            <w:tcW w:w="2715" w:type="dxa"/>
          </w:tcPr>
          <w:p w14:paraId="1F4DA0A9" w14:textId="77777777" w:rsidR="00CF123B" w:rsidRPr="009D650F" w:rsidRDefault="008249B3" w:rsidP="0063214B">
            <w:pPr>
              <w:pStyle w:val="ListParagraph"/>
              <w:numPr>
                <w:ilvl w:val="0"/>
                <w:numId w:val="1"/>
              </w:numPr>
              <w:ind w:left="241" w:hanging="180"/>
              <w:rPr>
                <w:rFonts w:ascii="Times New Roman" w:hAnsi="Times New Roman" w:cs="Times New Roman"/>
                <w:spacing w:val="-10"/>
              </w:rPr>
            </w:pPr>
            <w:r w:rsidRPr="009D650F">
              <w:rPr>
                <w:rFonts w:ascii="Times New Roman" w:hAnsi="Times New Roman" w:cs="Times New Roman"/>
                <w:spacing w:val="-10"/>
              </w:rPr>
              <w:t xml:space="preserve">“NCD champion” in health and non-health sectors identified, recognised, and supported in 2019, 2020, and </w:t>
            </w:r>
          </w:p>
          <w:p w14:paraId="474A4A74" w14:textId="7AF83672" w:rsidR="008249B3" w:rsidRPr="00C426E5" w:rsidRDefault="008249B3" w:rsidP="00CF123B">
            <w:pPr>
              <w:pStyle w:val="ListParagraph"/>
              <w:ind w:left="241"/>
              <w:rPr>
                <w:rFonts w:ascii="Times New Roman" w:hAnsi="Times New Roman" w:cs="Times New Roman"/>
              </w:rPr>
            </w:pPr>
            <w:r w:rsidRPr="009D650F">
              <w:rPr>
                <w:rFonts w:ascii="Times New Roman" w:hAnsi="Times New Roman" w:cs="Times New Roman"/>
                <w:spacing w:val="-10"/>
              </w:rPr>
              <w:t>every year subsequently</w:t>
            </w:r>
          </w:p>
        </w:tc>
        <w:tc>
          <w:tcPr>
            <w:tcW w:w="3456" w:type="dxa"/>
          </w:tcPr>
          <w:p w14:paraId="08171F42" w14:textId="43D4C35A"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Ministry of Public Health (CCS-NCDs) is setting up a working group to discuss criteria for recognising NCD champions in health and non-health sectors</w:t>
            </w:r>
          </w:p>
        </w:tc>
        <w:tc>
          <w:tcPr>
            <w:tcW w:w="1584" w:type="dxa"/>
          </w:tcPr>
          <w:p w14:paraId="7A16D5A7" w14:textId="216103C2" w:rsidR="008249B3" w:rsidRPr="00C426E5" w:rsidRDefault="008249B3" w:rsidP="00753F3D">
            <w:pPr>
              <w:pStyle w:val="ListParagraph"/>
              <w:ind w:left="144"/>
              <w:rPr>
                <w:rFonts w:ascii="Times New Roman" w:hAnsi="Times New Roman" w:cs="Times New Roman"/>
              </w:rPr>
            </w:pPr>
          </w:p>
        </w:tc>
        <w:tc>
          <w:tcPr>
            <w:tcW w:w="2050" w:type="dxa"/>
          </w:tcPr>
          <w:p w14:paraId="590F6E17" w14:textId="25B2F063" w:rsidR="008249B3" w:rsidRPr="00C426E5" w:rsidRDefault="008249B3" w:rsidP="0063214B">
            <w:pPr>
              <w:pStyle w:val="ListParagraph"/>
              <w:numPr>
                <w:ilvl w:val="0"/>
                <w:numId w:val="1"/>
              </w:numPr>
              <w:ind w:left="104" w:hanging="141"/>
              <w:rPr>
                <w:rFonts w:ascii="Times New Roman" w:hAnsi="Times New Roman" w:cs="Times New Roman"/>
              </w:rPr>
            </w:pPr>
            <w:r w:rsidRPr="00274E6A">
              <w:rPr>
                <w:rFonts w:ascii="Times New Roman" w:hAnsi="Times New Roman" w:cs="Times New Roman"/>
              </w:rPr>
              <w:t xml:space="preserve">WHO </w:t>
            </w:r>
            <w:r w:rsidRPr="00C426E5">
              <w:rPr>
                <w:rFonts w:ascii="Times New Roman" w:hAnsi="Times New Roman" w:cs="Times New Roman"/>
              </w:rPr>
              <w:t xml:space="preserve">to support </w:t>
            </w:r>
            <w:r w:rsidR="006A1506">
              <w:rPr>
                <w:rFonts w:ascii="Times New Roman" w:hAnsi="Times New Roman" w:cs="Times New Roman"/>
              </w:rPr>
              <w:t>MOPH</w:t>
            </w:r>
            <w:r w:rsidRPr="00C426E5">
              <w:rPr>
                <w:rFonts w:ascii="Times New Roman" w:hAnsi="Times New Roman" w:cs="Times New Roman"/>
              </w:rPr>
              <w:t xml:space="preserve"> via CCS mechanism</w:t>
            </w:r>
          </w:p>
        </w:tc>
        <w:tc>
          <w:tcPr>
            <w:tcW w:w="2016" w:type="dxa"/>
          </w:tcPr>
          <w:p w14:paraId="3DD7D2A1" w14:textId="5CBCBE29" w:rsidR="008249B3" w:rsidRPr="00C426E5" w:rsidRDefault="006A1506" w:rsidP="0063214B">
            <w:pPr>
              <w:pStyle w:val="ListParagraph"/>
              <w:numPr>
                <w:ilvl w:val="0"/>
                <w:numId w:val="1"/>
              </w:numPr>
              <w:ind w:left="104" w:hanging="141"/>
              <w:rPr>
                <w:rFonts w:ascii="Times New Roman" w:hAnsi="Times New Roman" w:cs="Times New Roman"/>
              </w:rPr>
            </w:pPr>
            <w:r>
              <w:rPr>
                <w:rFonts w:ascii="Times New Roman" w:hAnsi="Times New Roman" w:cs="Times New Roman"/>
              </w:rPr>
              <w:t>MOPH</w:t>
            </w:r>
            <w:r w:rsidR="008249B3" w:rsidRPr="00C426E5">
              <w:rPr>
                <w:rFonts w:ascii="Times New Roman" w:hAnsi="Times New Roman" w:cs="Times New Roman"/>
              </w:rPr>
              <w:t xml:space="preserve"> </w:t>
            </w:r>
          </w:p>
        </w:tc>
      </w:tr>
      <w:tr w:rsidR="008249B3" w:rsidRPr="00C426E5" w14:paraId="0642754A" w14:textId="60D013B0" w:rsidTr="008A27F5">
        <w:trPr>
          <w:cantSplit/>
        </w:trPr>
        <w:tc>
          <w:tcPr>
            <w:tcW w:w="694" w:type="dxa"/>
          </w:tcPr>
          <w:p w14:paraId="08D148CB" w14:textId="77777777" w:rsidR="008249B3" w:rsidRPr="00C426E5" w:rsidRDefault="008249B3" w:rsidP="00985692">
            <w:pPr>
              <w:rPr>
                <w:rFonts w:ascii="Times New Roman" w:hAnsi="Times New Roman" w:cs="Times New Roman"/>
              </w:rPr>
            </w:pPr>
            <w:r w:rsidRPr="00C426E5">
              <w:rPr>
                <w:rFonts w:ascii="Times New Roman" w:hAnsi="Times New Roman" w:cs="Times New Roman"/>
              </w:rPr>
              <w:lastRenderedPageBreak/>
              <w:t>1.6</w:t>
            </w:r>
          </w:p>
        </w:tc>
        <w:tc>
          <w:tcPr>
            <w:tcW w:w="3071" w:type="dxa"/>
          </w:tcPr>
          <w:p w14:paraId="5FE2426D" w14:textId="4FD80D93" w:rsidR="008249B3" w:rsidRPr="00C426E5" w:rsidRDefault="008249B3" w:rsidP="00985692">
            <w:pPr>
              <w:rPr>
                <w:rFonts w:ascii="Times New Roman" w:hAnsi="Times New Roman" w:cs="Times New Roman"/>
              </w:rPr>
            </w:pPr>
            <w:r w:rsidRPr="00C426E5">
              <w:rPr>
                <w:rFonts w:ascii="Times New Roman" w:eastAsiaTheme="majorEastAsia" w:hAnsi="Times New Roman" w:cs="Times New Roman"/>
              </w:rPr>
              <w:t xml:space="preserve">Promote Thailand as a global leader and global hub </w:t>
            </w:r>
            <w:r w:rsidRPr="00274E6A">
              <w:rPr>
                <w:rFonts w:ascii="Times New Roman" w:eastAsiaTheme="majorEastAsia" w:hAnsi="Times New Roman" w:cs="Times New Roman"/>
              </w:rPr>
              <w:t>for health promotion</w:t>
            </w:r>
            <w:r w:rsidRPr="00C426E5">
              <w:rPr>
                <w:rFonts w:ascii="Times New Roman" w:eastAsiaTheme="majorEastAsia" w:hAnsi="Times New Roman" w:cs="Times New Roman"/>
              </w:rPr>
              <w:t xml:space="preserve"> in LMICs, including lessons from </w:t>
            </w:r>
            <w:r w:rsidR="006A1506">
              <w:rPr>
                <w:rFonts w:ascii="Times New Roman" w:eastAsiaTheme="majorEastAsia" w:hAnsi="Times New Roman" w:cs="Times New Roman"/>
              </w:rPr>
              <w:t>MOPH</w:t>
            </w:r>
            <w:r w:rsidRPr="00C426E5">
              <w:rPr>
                <w:rFonts w:ascii="Times New Roman" w:eastAsiaTheme="majorEastAsia" w:hAnsi="Times New Roman" w:cs="Times New Roman"/>
              </w:rPr>
              <w:t>, Thai Health Promotion Foundation, National Health Security Office (NHSO), National Health Commission Office</w:t>
            </w:r>
            <w:r w:rsidRPr="00C426E5">
              <w:rPr>
                <w:rStyle w:val="st1"/>
                <w:rFonts w:ascii="Times New Roman" w:hAnsi="Times New Roman" w:cs="Times New Roman"/>
              </w:rPr>
              <w:t xml:space="preserve"> (</w:t>
            </w:r>
            <w:r w:rsidRPr="00C426E5">
              <w:rPr>
                <w:rFonts w:ascii="Times New Roman" w:eastAsiaTheme="majorEastAsia" w:hAnsi="Times New Roman" w:cs="Times New Roman"/>
              </w:rPr>
              <w:t xml:space="preserve">NHCO)  </w:t>
            </w:r>
          </w:p>
        </w:tc>
        <w:tc>
          <w:tcPr>
            <w:tcW w:w="2715" w:type="dxa"/>
          </w:tcPr>
          <w:p w14:paraId="5C0014A0" w14:textId="43302A1F"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Proposal for a global hub for health promotion developed</w:t>
            </w:r>
          </w:p>
        </w:tc>
        <w:tc>
          <w:tcPr>
            <w:tcW w:w="3456" w:type="dxa"/>
          </w:tcPr>
          <w:p w14:paraId="23506464" w14:textId="7FC0E46A"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ThaiHealth has a</w:t>
            </w:r>
            <w:r w:rsidR="005469E3">
              <w:rPr>
                <w:rFonts w:ascii="Times New Roman" w:hAnsi="Times New Roman" w:cs="Times New Roman"/>
              </w:rPr>
              <w:t>n</w:t>
            </w:r>
            <w:r w:rsidRPr="00C426E5">
              <w:rPr>
                <w:rFonts w:ascii="Times New Roman" w:hAnsi="Times New Roman" w:cs="Times New Roman"/>
              </w:rPr>
              <w:t xml:space="preserve"> MoU with WHO HQ to advance health promotion in LMICs </w:t>
            </w:r>
          </w:p>
          <w:p w14:paraId="0B40CEE0" w14:textId="0AA7DF96" w:rsidR="000D3FEC" w:rsidRDefault="000D3FEC" w:rsidP="000D3FEC">
            <w:pPr>
              <w:pStyle w:val="ListParagraph"/>
              <w:numPr>
                <w:ilvl w:val="0"/>
                <w:numId w:val="1"/>
              </w:numPr>
              <w:ind w:left="241" w:hanging="180"/>
              <w:rPr>
                <w:rFonts w:ascii="Times New Roman" w:hAnsi="Times New Roman" w:cs="Times New Roman"/>
              </w:rPr>
            </w:pPr>
            <w:r>
              <w:rPr>
                <w:rFonts w:ascii="Times New Roman" w:hAnsi="Times New Roman" w:cs="Times New Roman"/>
              </w:rPr>
              <w:t>Process is underway to designate P</w:t>
            </w:r>
            <w:r w:rsidR="008249B3" w:rsidRPr="00C426E5">
              <w:rPr>
                <w:rFonts w:ascii="Times New Roman" w:hAnsi="Times New Roman" w:cs="Times New Roman"/>
              </w:rPr>
              <w:t>hysical Activity</w:t>
            </w:r>
            <w:r w:rsidR="00565E9B">
              <w:rPr>
                <w:rFonts w:ascii="Times New Roman" w:hAnsi="Times New Roman" w:cs="Times New Roman"/>
              </w:rPr>
              <w:t xml:space="preserve"> </w:t>
            </w:r>
            <w:r w:rsidR="008249B3" w:rsidRPr="00C426E5">
              <w:rPr>
                <w:rFonts w:ascii="Times New Roman" w:hAnsi="Times New Roman" w:cs="Times New Roman"/>
              </w:rPr>
              <w:t>Knowledge Development Centre</w:t>
            </w:r>
            <w:r>
              <w:rPr>
                <w:rFonts w:ascii="Times New Roman" w:hAnsi="Times New Roman" w:cs="Times New Roman"/>
              </w:rPr>
              <w:t xml:space="preserve">, </w:t>
            </w:r>
            <w:r w:rsidR="008249B3" w:rsidRPr="00C426E5">
              <w:rPr>
                <w:rFonts w:ascii="Times New Roman" w:hAnsi="Times New Roman" w:cs="Times New Roman"/>
              </w:rPr>
              <w:t xml:space="preserve">Mahidol University </w:t>
            </w:r>
            <w:r w:rsidR="001D5DDD">
              <w:rPr>
                <w:rFonts w:ascii="Times New Roman" w:hAnsi="Times New Roman" w:cs="Times New Roman"/>
              </w:rPr>
              <w:t xml:space="preserve">as a </w:t>
            </w:r>
            <w:r w:rsidR="008249B3" w:rsidRPr="00C426E5">
              <w:rPr>
                <w:rFonts w:ascii="Times New Roman" w:hAnsi="Times New Roman" w:cs="Times New Roman"/>
              </w:rPr>
              <w:t>WHO- Collaborating Centre</w:t>
            </w:r>
            <w:r>
              <w:rPr>
                <w:rFonts w:ascii="Times New Roman" w:hAnsi="Times New Roman" w:cs="Times New Roman"/>
              </w:rPr>
              <w:t xml:space="preserve"> </w:t>
            </w:r>
          </w:p>
          <w:p w14:paraId="0A241ABD" w14:textId="11D24451" w:rsidR="008249B3" w:rsidRPr="00C426E5" w:rsidRDefault="000D3FEC" w:rsidP="000D3FEC">
            <w:pPr>
              <w:pStyle w:val="ListParagraph"/>
              <w:numPr>
                <w:ilvl w:val="0"/>
                <w:numId w:val="1"/>
              </w:numPr>
              <w:ind w:left="241" w:hanging="180"/>
              <w:rPr>
                <w:rFonts w:ascii="Times New Roman" w:hAnsi="Times New Roman" w:cs="Times New Roman"/>
              </w:rPr>
            </w:pPr>
            <w:r>
              <w:rPr>
                <w:rFonts w:ascii="Times New Roman" w:hAnsi="Times New Roman" w:cs="Times New Roman"/>
              </w:rPr>
              <w:t>I</w:t>
            </w:r>
            <w:r w:rsidR="009D650F">
              <w:rPr>
                <w:rFonts w:ascii="Times New Roman" w:hAnsi="Times New Roman" w:cs="Times New Roman"/>
              </w:rPr>
              <w:t>HPP</w:t>
            </w:r>
            <w:r w:rsidR="00821781">
              <w:rPr>
                <w:rFonts w:ascii="Times New Roman" w:hAnsi="Times New Roman" w:cs="Times New Roman"/>
              </w:rPr>
              <w:t xml:space="preserve"> </w:t>
            </w:r>
            <w:r w:rsidR="000F2C52">
              <w:rPr>
                <w:rFonts w:ascii="Times New Roman" w:hAnsi="Times New Roman" w:cs="Times New Roman"/>
              </w:rPr>
              <w:t xml:space="preserve">has been </w:t>
            </w:r>
            <w:r w:rsidR="008249B3" w:rsidRPr="00C426E5">
              <w:rPr>
                <w:rFonts w:ascii="Times New Roman" w:hAnsi="Times New Roman" w:cs="Times New Roman"/>
              </w:rPr>
              <w:t xml:space="preserve">developing </w:t>
            </w:r>
            <w:r w:rsidR="005469E3">
              <w:rPr>
                <w:rFonts w:ascii="Times New Roman" w:hAnsi="Times New Roman" w:cs="Times New Roman"/>
              </w:rPr>
              <w:t xml:space="preserve">an </w:t>
            </w:r>
            <w:r w:rsidR="008249B3" w:rsidRPr="00C426E5">
              <w:rPr>
                <w:rFonts w:ascii="Times New Roman" w:hAnsi="Times New Roman" w:cs="Times New Roman"/>
              </w:rPr>
              <w:t xml:space="preserve">Online Resource Centre to conduct capacity building, knowledge sharing, </w:t>
            </w:r>
            <w:r w:rsidR="00821781" w:rsidRPr="00C426E5">
              <w:rPr>
                <w:rFonts w:ascii="Times New Roman" w:hAnsi="Times New Roman" w:cs="Times New Roman"/>
              </w:rPr>
              <w:t xml:space="preserve">and </w:t>
            </w:r>
            <w:r w:rsidR="008249B3" w:rsidRPr="00C426E5">
              <w:rPr>
                <w:rFonts w:ascii="Times New Roman" w:hAnsi="Times New Roman" w:cs="Times New Roman"/>
              </w:rPr>
              <w:t>highlight</w:t>
            </w:r>
            <w:r w:rsidR="005469E3">
              <w:rPr>
                <w:rFonts w:ascii="Times New Roman" w:hAnsi="Times New Roman" w:cs="Times New Roman"/>
              </w:rPr>
              <w:t>ing</w:t>
            </w:r>
            <w:r w:rsidR="008249B3" w:rsidRPr="00C426E5">
              <w:rPr>
                <w:rFonts w:ascii="Times New Roman" w:hAnsi="Times New Roman" w:cs="Times New Roman"/>
              </w:rPr>
              <w:t xml:space="preserve"> Thai</w:t>
            </w:r>
            <w:r w:rsidR="005469E3">
              <w:rPr>
                <w:rFonts w:ascii="Times New Roman" w:hAnsi="Times New Roman" w:cs="Times New Roman"/>
              </w:rPr>
              <w:t xml:space="preserve"> </w:t>
            </w:r>
            <w:r w:rsidR="008249B3" w:rsidRPr="00C426E5">
              <w:rPr>
                <w:rFonts w:ascii="Times New Roman" w:hAnsi="Times New Roman" w:cs="Times New Roman"/>
              </w:rPr>
              <w:t xml:space="preserve">experience on </w:t>
            </w:r>
            <w:r w:rsidR="00EE7491">
              <w:rPr>
                <w:rFonts w:ascii="Times New Roman" w:hAnsi="Times New Roman" w:cs="Times New Roman"/>
              </w:rPr>
              <w:t>g</w:t>
            </w:r>
            <w:r w:rsidR="008249B3" w:rsidRPr="00C426E5">
              <w:rPr>
                <w:rFonts w:ascii="Times New Roman" w:hAnsi="Times New Roman" w:cs="Times New Roman"/>
              </w:rPr>
              <w:t xml:space="preserve">lobal </w:t>
            </w:r>
            <w:r w:rsidR="00EE7491">
              <w:rPr>
                <w:rFonts w:ascii="Times New Roman" w:hAnsi="Times New Roman" w:cs="Times New Roman"/>
              </w:rPr>
              <w:t>h</w:t>
            </w:r>
            <w:r w:rsidR="008249B3" w:rsidRPr="00C426E5">
              <w:rPr>
                <w:rFonts w:ascii="Times New Roman" w:hAnsi="Times New Roman" w:cs="Times New Roman"/>
              </w:rPr>
              <w:t>ealth issue</w:t>
            </w:r>
            <w:r w:rsidR="005469E3">
              <w:rPr>
                <w:rFonts w:ascii="Times New Roman" w:hAnsi="Times New Roman" w:cs="Times New Roman"/>
              </w:rPr>
              <w:t>s</w:t>
            </w:r>
            <w:r w:rsidR="008249B3" w:rsidRPr="00C426E5">
              <w:rPr>
                <w:rFonts w:ascii="Times New Roman" w:hAnsi="Times New Roman" w:cs="Times New Roman"/>
              </w:rPr>
              <w:t xml:space="preserve"> (which covers </w:t>
            </w:r>
            <w:r w:rsidR="00EE7491">
              <w:rPr>
                <w:rFonts w:ascii="Times New Roman" w:hAnsi="Times New Roman" w:cs="Times New Roman"/>
              </w:rPr>
              <w:t>h</w:t>
            </w:r>
            <w:r w:rsidR="008249B3" w:rsidRPr="00C426E5">
              <w:rPr>
                <w:rFonts w:ascii="Times New Roman" w:hAnsi="Times New Roman" w:cs="Times New Roman"/>
              </w:rPr>
              <w:t xml:space="preserve">ealth promotion, </w:t>
            </w:r>
            <w:r w:rsidR="00EE7491">
              <w:rPr>
                <w:rFonts w:ascii="Times New Roman" w:hAnsi="Times New Roman" w:cs="Times New Roman"/>
              </w:rPr>
              <w:t>h</w:t>
            </w:r>
            <w:r w:rsidR="008249B3" w:rsidRPr="00C426E5">
              <w:rPr>
                <w:rFonts w:ascii="Times New Roman" w:hAnsi="Times New Roman" w:cs="Times New Roman"/>
              </w:rPr>
              <w:t>ealth system, and universal health coverage</w:t>
            </w:r>
            <w:r w:rsidR="005469E3">
              <w:rPr>
                <w:rFonts w:ascii="Times New Roman" w:hAnsi="Times New Roman" w:cs="Times New Roman"/>
              </w:rPr>
              <w:t>).</w:t>
            </w:r>
            <w:r w:rsidR="000F2C52">
              <w:rPr>
                <w:rFonts w:ascii="Times New Roman" w:hAnsi="Times New Roman" w:cs="Times New Roman"/>
              </w:rPr>
              <w:t xml:space="preserve"> </w:t>
            </w:r>
          </w:p>
        </w:tc>
        <w:tc>
          <w:tcPr>
            <w:tcW w:w="1584" w:type="dxa"/>
          </w:tcPr>
          <w:p w14:paraId="26228B9F" w14:textId="2AA39EB5" w:rsidR="008249B3" w:rsidRPr="00C426E5" w:rsidRDefault="008249B3" w:rsidP="00753F3D">
            <w:pPr>
              <w:pStyle w:val="ListParagraph"/>
              <w:ind w:left="104"/>
              <w:rPr>
                <w:rFonts w:ascii="Times New Roman" w:hAnsi="Times New Roman" w:cs="Times New Roman"/>
              </w:rPr>
            </w:pPr>
          </w:p>
        </w:tc>
        <w:tc>
          <w:tcPr>
            <w:tcW w:w="2050" w:type="dxa"/>
          </w:tcPr>
          <w:p w14:paraId="165306C4" w14:textId="456EC4D1" w:rsidR="008249B3" w:rsidRPr="00C426E5" w:rsidRDefault="008249B3" w:rsidP="004F36EE">
            <w:pPr>
              <w:pStyle w:val="ListParagraph"/>
              <w:ind w:left="104"/>
              <w:rPr>
                <w:rFonts w:ascii="Times New Roman" w:hAnsi="Times New Roman" w:cs="Times New Roman"/>
                <w:b/>
                <w:bCs/>
              </w:rPr>
            </w:pPr>
          </w:p>
        </w:tc>
        <w:tc>
          <w:tcPr>
            <w:tcW w:w="2016" w:type="dxa"/>
          </w:tcPr>
          <w:p w14:paraId="0A3742EE" w14:textId="50E5E8DC" w:rsidR="008249B3" w:rsidRPr="00C426E5"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 xml:space="preserve">ThaiHealth </w:t>
            </w:r>
          </w:p>
          <w:p w14:paraId="050F6102" w14:textId="015B8E02" w:rsidR="008249B3" w:rsidRPr="00C426E5"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 xml:space="preserve">NHSO </w:t>
            </w:r>
          </w:p>
          <w:p w14:paraId="3A093436" w14:textId="306390CF" w:rsidR="008249B3" w:rsidRPr="00C426E5"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NHCO</w:t>
            </w:r>
          </w:p>
          <w:p w14:paraId="71ED520F" w14:textId="77777777" w:rsidR="008249B3" w:rsidRDefault="006A1506" w:rsidP="0063214B">
            <w:pPr>
              <w:pStyle w:val="ListParagraph"/>
              <w:numPr>
                <w:ilvl w:val="0"/>
                <w:numId w:val="1"/>
              </w:numPr>
              <w:ind w:left="104" w:hanging="141"/>
              <w:rPr>
                <w:rFonts w:ascii="Times New Roman" w:hAnsi="Times New Roman" w:cs="Times New Roman"/>
              </w:rPr>
            </w:pPr>
            <w:r>
              <w:rPr>
                <w:rFonts w:ascii="Times New Roman" w:hAnsi="Times New Roman" w:cs="Times New Roman"/>
              </w:rPr>
              <w:t>MOPH</w:t>
            </w:r>
          </w:p>
          <w:p w14:paraId="360F5BD3" w14:textId="035006B9" w:rsidR="00906A2F" w:rsidRPr="00C426E5" w:rsidRDefault="00906A2F" w:rsidP="0063214B">
            <w:pPr>
              <w:pStyle w:val="ListParagraph"/>
              <w:numPr>
                <w:ilvl w:val="0"/>
                <w:numId w:val="1"/>
              </w:numPr>
              <w:ind w:left="104" w:hanging="141"/>
              <w:rPr>
                <w:rFonts w:ascii="Times New Roman" w:hAnsi="Times New Roman" w:cs="Times New Roman"/>
              </w:rPr>
            </w:pPr>
            <w:r>
              <w:rPr>
                <w:rFonts w:ascii="Times New Roman" w:hAnsi="Times New Roman" w:cs="Times New Roman"/>
                <w:lang w:val="en-US"/>
              </w:rPr>
              <w:t>IHPP</w:t>
            </w:r>
          </w:p>
        </w:tc>
      </w:tr>
      <w:tr w:rsidR="00274E6A" w:rsidRPr="00C426E5" w14:paraId="6695A1A0" w14:textId="77777777" w:rsidTr="000A5507">
        <w:trPr>
          <w:cantSplit/>
          <w:trHeight w:val="432"/>
        </w:trPr>
        <w:tc>
          <w:tcPr>
            <w:tcW w:w="15586" w:type="dxa"/>
            <w:gridSpan w:val="7"/>
            <w:shd w:val="clear" w:color="auto" w:fill="F2F2F2" w:themeFill="background1" w:themeFillShade="F2"/>
            <w:vAlign w:val="center"/>
          </w:tcPr>
          <w:p w14:paraId="3F7E2D1E" w14:textId="52FFB6A1" w:rsidR="00274E6A" w:rsidRPr="000A5507" w:rsidRDefault="00274E6A" w:rsidP="0063214B">
            <w:pPr>
              <w:pStyle w:val="ListParagraph"/>
              <w:numPr>
                <w:ilvl w:val="0"/>
                <w:numId w:val="2"/>
              </w:numPr>
              <w:autoSpaceDE w:val="0"/>
              <w:autoSpaceDN w:val="0"/>
              <w:adjustRightInd w:val="0"/>
              <w:rPr>
                <w:rFonts w:ascii="Times New Roman" w:eastAsiaTheme="majorEastAsia" w:hAnsi="Times New Roman" w:cs="Times New Roman"/>
                <w:b/>
                <w:bCs/>
                <w:spacing w:val="-2"/>
                <w:lang w:val="en-US"/>
              </w:rPr>
            </w:pPr>
            <w:r w:rsidRPr="000A5507">
              <w:rPr>
                <w:rFonts w:ascii="Times New Roman" w:eastAsiaTheme="majorEastAsia" w:hAnsi="Times New Roman" w:cs="Times New Roman"/>
                <w:b/>
                <w:bCs/>
                <w:spacing w:val="-2"/>
                <w:lang w:val="en-US"/>
              </w:rPr>
              <w:t>Promote greater whole-of-government and whole-of-society action in order to accelerate implementation of the multi-sectoral NCD strategy and action plan.</w:t>
            </w:r>
          </w:p>
        </w:tc>
      </w:tr>
      <w:tr w:rsidR="008249B3" w:rsidRPr="00C426E5" w14:paraId="26C2F6D7" w14:textId="2EFE4F7D" w:rsidTr="008A27F5">
        <w:trPr>
          <w:cantSplit/>
        </w:trPr>
        <w:tc>
          <w:tcPr>
            <w:tcW w:w="694" w:type="dxa"/>
          </w:tcPr>
          <w:p w14:paraId="61066A63" w14:textId="77777777" w:rsidR="008249B3" w:rsidRPr="00C426E5" w:rsidRDefault="008249B3" w:rsidP="004D1C32">
            <w:pPr>
              <w:jc w:val="center"/>
              <w:rPr>
                <w:rFonts w:ascii="Times New Roman" w:hAnsi="Times New Roman" w:cs="Times New Roman"/>
              </w:rPr>
            </w:pPr>
            <w:r w:rsidRPr="00C426E5">
              <w:rPr>
                <w:rFonts w:ascii="Times New Roman" w:hAnsi="Times New Roman" w:cs="Times New Roman"/>
              </w:rPr>
              <w:t>2.1</w:t>
            </w:r>
          </w:p>
        </w:tc>
        <w:tc>
          <w:tcPr>
            <w:tcW w:w="3071" w:type="dxa"/>
          </w:tcPr>
          <w:p w14:paraId="639BFB06" w14:textId="0DD68BA9" w:rsidR="008249B3" w:rsidRPr="00C426E5" w:rsidRDefault="008249B3" w:rsidP="004D55B1">
            <w:pPr>
              <w:rPr>
                <w:rFonts w:ascii="Times New Roman" w:eastAsiaTheme="majorEastAsia" w:hAnsi="Times New Roman" w:cs="Times New Roman"/>
              </w:rPr>
            </w:pPr>
            <w:r w:rsidRPr="001E45AA">
              <w:rPr>
                <w:rFonts w:ascii="Times New Roman" w:eastAsiaTheme="majorEastAsia" w:hAnsi="Times New Roman" w:cs="Times New Roman"/>
                <w:lang w:val="en-US"/>
              </w:rPr>
              <w:t>Designate high level focal persons for NCDs in ministries with accountability to</w:t>
            </w:r>
            <w:r w:rsidRPr="00C426E5">
              <w:rPr>
                <w:rFonts w:ascii="Times New Roman" w:eastAsiaTheme="majorEastAsia" w:hAnsi="Times New Roman" w:cs="Times New Roman"/>
                <w:lang w:val="en-US"/>
              </w:rPr>
              <w:t xml:space="preserve"> the new inter-ministerial group</w:t>
            </w:r>
            <w:r w:rsidR="004D55B1">
              <w:rPr>
                <w:rFonts w:ascii="Times New Roman" w:eastAsiaTheme="majorEastAsia" w:hAnsi="Times New Roman" w:cs="Times New Roman"/>
                <w:lang w:val="en-US"/>
              </w:rPr>
              <w:t>.</w:t>
            </w:r>
          </w:p>
        </w:tc>
        <w:tc>
          <w:tcPr>
            <w:tcW w:w="2715" w:type="dxa"/>
          </w:tcPr>
          <w:p w14:paraId="71F9F276" w14:textId="77777777"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 xml:space="preserve">One high-level official (DG or above) designated for NCDs in each relevant ministry </w:t>
            </w:r>
          </w:p>
        </w:tc>
        <w:tc>
          <w:tcPr>
            <w:tcW w:w="3456" w:type="dxa"/>
          </w:tcPr>
          <w:p w14:paraId="64D48CE6" w14:textId="1933525E"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 xml:space="preserve">The NCD multisectoral committee of the </w:t>
            </w:r>
            <w:r w:rsidR="006A1506">
              <w:rPr>
                <w:rFonts w:ascii="Times New Roman" w:hAnsi="Times New Roman" w:cs="Times New Roman"/>
              </w:rPr>
              <w:t>MOPH</w:t>
            </w:r>
            <w:r w:rsidRPr="00C426E5">
              <w:rPr>
                <w:rFonts w:ascii="Times New Roman" w:hAnsi="Times New Roman" w:cs="Times New Roman"/>
              </w:rPr>
              <w:t xml:space="preserve"> includes high-level administrators (PS, DG) from concerned ministries.</w:t>
            </w:r>
          </w:p>
          <w:p w14:paraId="1CD79E8B" w14:textId="2E1B1644" w:rsidR="006F4E2E" w:rsidRPr="008A27F5" w:rsidRDefault="006F4E2E" w:rsidP="008A27F5">
            <w:pPr>
              <w:rPr>
                <w:rFonts w:ascii="Times New Roman" w:hAnsi="Times New Roman" w:cs="Times New Roman"/>
                <w:cs/>
                <w:lang w:bidi="th-TH"/>
              </w:rPr>
            </w:pPr>
          </w:p>
        </w:tc>
        <w:tc>
          <w:tcPr>
            <w:tcW w:w="1584" w:type="dxa"/>
          </w:tcPr>
          <w:p w14:paraId="16E9EFC6" w14:textId="69822C1C" w:rsidR="008249B3" w:rsidRPr="00C426E5" w:rsidRDefault="008249B3" w:rsidP="003E31AE">
            <w:pPr>
              <w:pStyle w:val="ListParagraph"/>
              <w:ind w:left="104"/>
              <w:rPr>
                <w:rFonts w:ascii="Times New Roman" w:hAnsi="Times New Roman" w:cs="Times New Roman"/>
              </w:rPr>
            </w:pPr>
          </w:p>
        </w:tc>
        <w:tc>
          <w:tcPr>
            <w:tcW w:w="2050" w:type="dxa"/>
          </w:tcPr>
          <w:p w14:paraId="27A03807" w14:textId="3608ABAC" w:rsidR="008249B3" w:rsidRPr="00C426E5" w:rsidRDefault="008249B3" w:rsidP="00985692">
            <w:pPr>
              <w:ind w:left="104" w:hanging="141"/>
              <w:jc w:val="center"/>
              <w:rPr>
                <w:rFonts w:ascii="Times New Roman" w:hAnsi="Times New Roman" w:cs="Times New Roman"/>
              </w:rPr>
            </w:pPr>
          </w:p>
        </w:tc>
        <w:tc>
          <w:tcPr>
            <w:tcW w:w="2016" w:type="dxa"/>
          </w:tcPr>
          <w:p w14:paraId="40EDD061" w14:textId="77777777" w:rsidR="001E45AA" w:rsidRPr="00C426E5" w:rsidRDefault="001E45AA"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Relevant government agencies</w:t>
            </w:r>
          </w:p>
          <w:p w14:paraId="2A0BEE55" w14:textId="44AD2193" w:rsidR="008249B3" w:rsidRPr="001E45AA" w:rsidRDefault="008249B3" w:rsidP="001E45AA">
            <w:pPr>
              <w:rPr>
                <w:rFonts w:ascii="Times New Roman" w:hAnsi="Times New Roman" w:cs="Times New Roman"/>
              </w:rPr>
            </w:pPr>
          </w:p>
        </w:tc>
      </w:tr>
      <w:tr w:rsidR="008249B3" w:rsidRPr="00C426E5" w14:paraId="46678462" w14:textId="3B7BDEA2" w:rsidTr="008A27F5">
        <w:trPr>
          <w:cantSplit/>
        </w:trPr>
        <w:tc>
          <w:tcPr>
            <w:tcW w:w="694" w:type="dxa"/>
          </w:tcPr>
          <w:p w14:paraId="20846648" w14:textId="77777777" w:rsidR="008249B3" w:rsidRPr="00C426E5" w:rsidRDefault="008249B3" w:rsidP="004D1C32">
            <w:pPr>
              <w:jc w:val="center"/>
              <w:rPr>
                <w:rFonts w:ascii="Times New Roman" w:hAnsi="Times New Roman" w:cs="Times New Roman"/>
              </w:rPr>
            </w:pPr>
            <w:r w:rsidRPr="00C426E5">
              <w:rPr>
                <w:rFonts w:ascii="Times New Roman" w:hAnsi="Times New Roman" w:cs="Times New Roman"/>
              </w:rPr>
              <w:lastRenderedPageBreak/>
              <w:t>2.2</w:t>
            </w:r>
          </w:p>
        </w:tc>
        <w:tc>
          <w:tcPr>
            <w:tcW w:w="3071" w:type="dxa"/>
          </w:tcPr>
          <w:p w14:paraId="12549946" w14:textId="37C28E5F" w:rsidR="008249B3" w:rsidRPr="00C426E5" w:rsidRDefault="008249B3" w:rsidP="004B0F8C">
            <w:pPr>
              <w:rPr>
                <w:rFonts w:ascii="Times New Roman" w:eastAsiaTheme="majorEastAsia" w:hAnsi="Times New Roman" w:cs="Times New Roman"/>
              </w:rPr>
            </w:pPr>
            <w:r w:rsidRPr="00C426E5">
              <w:rPr>
                <w:rFonts w:ascii="Times New Roman" w:hAnsi="Times New Roman" w:cs="Times New Roman"/>
              </w:rPr>
              <w:t>Introduce health impact assessments t</w:t>
            </w:r>
            <w:r w:rsidRPr="00C426E5">
              <w:rPr>
                <w:rFonts w:ascii="Times New Roman" w:eastAsiaTheme="majorEastAsia" w:hAnsi="Times New Roman" w:cs="Times New Roman"/>
                <w:lang w:val="en-US"/>
              </w:rPr>
              <w:t>o ensure that the implications of public health are considered in broader government policy, for example in the areas of finance, trade, agriculture, industry, environment, information and telecommunication, transport, and urban development</w:t>
            </w:r>
          </w:p>
        </w:tc>
        <w:tc>
          <w:tcPr>
            <w:tcW w:w="2715" w:type="dxa"/>
          </w:tcPr>
          <w:p w14:paraId="5288BFFC" w14:textId="77777777"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Report of the impact of non-health policies on health/NCDs is developed</w:t>
            </w:r>
          </w:p>
        </w:tc>
        <w:tc>
          <w:tcPr>
            <w:tcW w:w="3456" w:type="dxa"/>
          </w:tcPr>
          <w:p w14:paraId="7DECB479" w14:textId="60EBABE6" w:rsidR="008249B3" w:rsidRPr="00C426E5" w:rsidRDefault="006A1506" w:rsidP="0063214B">
            <w:pPr>
              <w:pStyle w:val="ListParagraph"/>
              <w:numPr>
                <w:ilvl w:val="0"/>
                <w:numId w:val="1"/>
              </w:numPr>
              <w:ind w:left="241" w:hanging="180"/>
              <w:rPr>
                <w:rFonts w:ascii="Times New Roman" w:hAnsi="Times New Roman" w:cs="Times New Roman"/>
              </w:rPr>
            </w:pPr>
            <w:r>
              <w:rPr>
                <w:rFonts w:ascii="Times New Roman" w:hAnsi="Times New Roman" w:cs="Times New Roman"/>
              </w:rPr>
              <w:t>MOPH</w:t>
            </w:r>
            <w:r w:rsidR="008249B3" w:rsidRPr="00C426E5">
              <w:rPr>
                <w:rFonts w:ascii="Times New Roman" w:hAnsi="Times New Roman" w:cs="Times New Roman"/>
              </w:rPr>
              <w:t xml:space="preserve"> has a guideline for health impact assessment for the development of public policy.</w:t>
            </w:r>
          </w:p>
          <w:p w14:paraId="332FE96A" w14:textId="3009CDD1" w:rsidR="00EE7491" w:rsidRDefault="008249B3" w:rsidP="00EE7491">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 xml:space="preserve">MONRE, UNEP and </w:t>
            </w:r>
            <w:proofErr w:type="spellStart"/>
            <w:r w:rsidRPr="00C426E5">
              <w:rPr>
                <w:rFonts w:ascii="Times New Roman" w:hAnsi="Times New Roman" w:cs="Times New Roman"/>
              </w:rPr>
              <w:t>Chulabhorn</w:t>
            </w:r>
            <w:proofErr w:type="spellEnd"/>
            <w:r w:rsidRPr="00C426E5">
              <w:rPr>
                <w:rFonts w:ascii="Times New Roman" w:hAnsi="Times New Roman" w:cs="Times New Roman"/>
              </w:rPr>
              <w:t xml:space="preserve"> Research Institute conducted and disseminated results of a study on health and economic impact of air pollution in Thailand</w:t>
            </w:r>
            <w:r w:rsidR="008A27F5">
              <w:rPr>
                <w:rFonts w:ascii="Times New Roman" w:hAnsi="Times New Roman" w:cs="Times New Roman"/>
              </w:rPr>
              <w:t>.</w:t>
            </w:r>
            <w:r w:rsidRPr="00C426E5">
              <w:rPr>
                <w:rFonts w:ascii="Times New Roman" w:hAnsi="Times New Roman" w:cs="Times New Roman"/>
              </w:rPr>
              <w:t xml:space="preserve"> </w:t>
            </w:r>
          </w:p>
          <w:p w14:paraId="633A112B" w14:textId="53670B78" w:rsidR="008249B3" w:rsidRPr="00C426E5" w:rsidRDefault="008249B3" w:rsidP="00EE7491">
            <w:pPr>
              <w:pStyle w:val="ListParagraph"/>
              <w:numPr>
                <w:ilvl w:val="0"/>
                <w:numId w:val="1"/>
              </w:numPr>
              <w:ind w:left="241" w:hanging="180"/>
              <w:rPr>
                <w:rFonts w:ascii="Times New Roman" w:hAnsi="Times New Roman" w:cs="Times New Roman"/>
              </w:rPr>
            </w:pPr>
            <w:r w:rsidRPr="008C19A7">
              <w:rPr>
                <w:rFonts w:ascii="Times New Roman" w:hAnsi="Times New Roman" w:cs="Times New Roman"/>
              </w:rPr>
              <w:t>UNEP is working with MONRE to develop an emission inventory and estimate impacts, including health, using</w:t>
            </w:r>
            <w:r w:rsidRPr="00C426E5">
              <w:rPr>
                <w:rFonts w:ascii="Times New Roman" w:hAnsi="Times New Roman" w:cs="Times New Roman"/>
              </w:rPr>
              <w:t xml:space="preserve"> </w:t>
            </w:r>
            <w:r w:rsidRPr="008C19A7">
              <w:rPr>
                <w:rFonts w:ascii="Times New Roman" w:hAnsi="Times New Roman" w:cs="Times New Roman"/>
              </w:rPr>
              <w:t>Stockh</w:t>
            </w:r>
            <w:r w:rsidR="008A27F5">
              <w:rPr>
                <w:rFonts w:ascii="Times New Roman" w:hAnsi="Times New Roman" w:cs="Times New Roman"/>
              </w:rPr>
              <w:t>olm</w:t>
            </w:r>
            <w:r w:rsidRPr="008C19A7">
              <w:rPr>
                <w:rFonts w:ascii="Times New Roman" w:hAnsi="Times New Roman" w:cs="Times New Roman"/>
              </w:rPr>
              <w:t xml:space="preserve"> Environment Institute</w:t>
            </w:r>
            <w:r w:rsidR="008A27F5">
              <w:rPr>
                <w:rFonts w:ascii="Times New Roman" w:hAnsi="Times New Roman" w:cs="Times New Roman"/>
              </w:rPr>
              <w:t>’s</w:t>
            </w:r>
            <w:r w:rsidRPr="008C19A7">
              <w:rPr>
                <w:rFonts w:ascii="Times New Roman" w:hAnsi="Times New Roman" w:cs="Times New Roman"/>
              </w:rPr>
              <w:t xml:space="preserve"> Long-range Energy Alternatives Planning – Integrated Benefits Calculator (LEAP-IBC).</w:t>
            </w:r>
          </w:p>
        </w:tc>
        <w:tc>
          <w:tcPr>
            <w:tcW w:w="1584" w:type="dxa"/>
          </w:tcPr>
          <w:p w14:paraId="45B18AAB" w14:textId="4E3A3C03" w:rsidR="008249B3" w:rsidRPr="00C426E5" w:rsidRDefault="008249B3" w:rsidP="00983219">
            <w:pPr>
              <w:pStyle w:val="ListParagraph"/>
              <w:ind w:left="104"/>
              <w:rPr>
                <w:rFonts w:ascii="Times New Roman" w:hAnsi="Times New Roman" w:cs="Times New Roman"/>
              </w:rPr>
            </w:pPr>
          </w:p>
        </w:tc>
        <w:tc>
          <w:tcPr>
            <w:tcW w:w="2050" w:type="dxa"/>
          </w:tcPr>
          <w:p w14:paraId="6EFBC2F3" w14:textId="394920D6" w:rsidR="008249B3" w:rsidRPr="00C426E5" w:rsidRDefault="008249B3" w:rsidP="00983219">
            <w:pPr>
              <w:pStyle w:val="ListParagraph"/>
              <w:ind w:left="104"/>
              <w:rPr>
                <w:rFonts w:ascii="Times New Roman" w:hAnsi="Times New Roman" w:cs="Times New Roman"/>
              </w:rPr>
            </w:pPr>
          </w:p>
        </w:tc>
        <w:tc>
          <w:tcPr>
            <w:tcW w:w="2016" w:type="dxa"/>
          </w:tcPr>
          <w:p w14:paraId="4B72E72D" w14:textId="4F3CD57D" w:rsidR="008249B3" w:rsidRPr="00C426E5"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M</w:t>
            </w:r>
            <w:r w:rsidR="00AE3379">
              <w:rPr>
                <w:rFonts w:ascii="Times New Roman" w:hAnsi="Times New Roman" w:cs="Times New Roman"/>
              </w:rPr>
              <w:t>O</w:t>
            </w:r>
            <w:r w:rsidR="004D1C32">
              <w:rPr>
                <w:rFonts w:ascii="Times New Roman" w:hAnsi="Times New Roman" w:cs="Times New Roman"/>
              </w:rPr>
              <w:t>NR</w:t>
            </w:r>
            <w:r w:rsidR="00AE3379">
              <w:rPr>
                <w:rFonts w:ascii="Times New Roman" w:hAnsi="Times New Roman" w:cs="Times New Roman"/>
              </w:rPr>
              <w:t>E</w:t>
            </w:r>
          </w:p>
          <w:p w14:paraId="121B8FC7" w14:textId="0329A4EB" w:rsidR="008249B3" w:rsidRPr="00C426E5" w:rsidRDefault="006A1506" w:rsidP="0063214B">
            <w:pPr>
              <w:pStyle w:val="ListParagraph"/>
              <w:numPr>
                <w:ilvl w:val="0"/>
                <w:numId w:val="1"/>
              </w:numPr>
              <w:ind w:left="104" w:hanging="141"/>
              <w:rPr>
                <w:rFonts w:ascii="Times New Roman" w:hAnsi="Times New Roman" w:cs="Times New Roman"/>
              </w:rPr>
            </w:pPr>
            <w:r>
              <w:rPr>
                <w:rFonts w:ascii="Times New Roman" w:hAnsi="Times New Roman" w:cs="Times New Roman"/>
              </w:rPr>
              <w:t>MOPH</w:t>
            </w:r>
          </w:p>
        </w:tc>
      </w:tr>
      <w:tr w:rsidR="008249B3" w:rsidRPr="00C426E5" w14:paraId="38CB7655" w14:textId="3FF36F5B" w:rsidTr="008A27F5">
        <w:trPr>
          <w:cantSplit/>
        </w:trPr>
        <w:tc>
          <w:tcPr>
            <w:tcW w:w="694" w:type="dxa"/>
          </w:tcPr>
          <w:p w14:paraId="0C4E7B32" w14:textId="77777777" w:rsidR="008249B3" w:rsidRPr="00C426E5" w:rsidRDefault="008249B3" w:rsidP="009850BD">
            <w:pPr>
              <w:jc w:val="center"/>
              <w:rPr>
                <w:rFonts w:ascii="Times New Roman" w:hAnsi="Times New Roman" w:cs="Times New Roman"/>
              </w:rPr>
            </w:pPr>
            <w:r w:rsidRPr="00C426E5">
              <w:rPr>
                <w:rFonts w:ascii="Times New Roman" w:hAnsi="Times New Roman" w:cs="Times New Roman"/>
              </w:rPr>
              <w:t>2.3</w:t>
            </w:r>
          </w:p>
        </w:tc>
        <w:tc>
          <w:tcPr>
            <w:tcW w:w="3071" w:type="dxa"/>
          </w:tcPr>
          <w:p w14:paraId="5F2D69B3" w14:textId="77777777" w:rsidR="008249B3" w:rsidRPr="00C426E5" w:rsidRDefault="008249B3" w:rsidP="00D61BD1">
            <w:pPr>
              <w:rPr>
                <w:rFonts w:ascii="Times New Roman" w:eastAsiaTheme="majorEastAsia" w:hAnsi="Times New Roman" w:cs="Times New Roman"/>
                <w:lang w:val="en-US"/>
              </w:rPr>
            </w:pPr>
            <w:r w:rsidRPr="00C426E5">
              <w:rPr>
                <w:rFonts w:ascii="Times New Roman" w:eastAsiaTheme="majorEastAsia" w:hAnsi="Times New Roman" w:cs="Times New Roman"/>
                <w:lang w:val="en-US"/>
              </w:rPr>
              <w:t>Develop mechanisms to strengthen collaboration with non-State actors, including through leveraging SDG movements, e.g. civil society, private sector, academia, community, while protecting public health from conflicts of interest</w:t>
            </w:r>
          </w:p>
          <w:p w14:paraId="39D8ED9A" w14:textId="5906B798" w:rsidR="008249B3" w:rsidRPr="00C426E5" w:rsidRDefault="008249B3" w:rsidP="00D61BD1">
            <w:pPr>
              <w:rPr>
                <w:rFonts w:ascii="Times New Roman" w:eastAsiaTheme="majorEastAsia" w:hAnsi="Times New Roman" w:cs="Times New Roman"/>
              </w:rPr>
            </w:pPr>
          </w:p>
        </w:tc>
        <w:tc>
          <w:tcPr>
            <w:tcW w:w="2715" w:type="dxa"/>
          </w:tcPr>
          <w:p w14:paraId="52200EE0" w14:textId="77777777" w:rsidR="008249B3" w:rsidRPr="00C426E5" w:rsidRDefault="008249B3" w:rsidP="0063214B">
            <w:pPr>
              <w:pStyle w:val="ListParagraph"/>
              <w:numPr>
                <w:ilvl w:val="0"/>
                <w:numId w:val="1"/>
              </w:numPr>
              <w:ind w:left="241" w:hanging="180"/>
              <w:rPr>
                <w:rFonts w:ascii="Times New Roman" w:hAnsi="Times New Roman" w:cs="Times New Roman"/>
                <w:rtl/>
                <w:cs/>
              </w:rPr>
            </w:pPr>
            <w:r w:rsidRPr="00C426E5">
              <w:rPr>
                <w:rFonts w:ascii="Times New Roman" w:hAnsi="Times New Roman" w:cs="Times New Roman"/>
              </w:rPr>
              <w:t xml:space="preserve">National multisectoral NCD Forum with participation of private sector organised annually </w:t>
            </w:r>
          </w:p>
        </w:tc>
        <w:tc>
          <w:tcPr>
            <w:tcW w:w="3456" w:type="dxa"/>
          </w:tcPr>
          <w:p w14:paraId="4235E264" w14:textId="61D2D5BF" w:rsidR="00D63D51" w:rsidRDefault="006A1506" w:rsidP="0063214B">
            <w:pPr>
              <w:pStyle w:val="ListParagraph"/>
              <w:numPr>
                <w:ilvl w:val="0"/>
                <w:numId w:val="1"/>
              </w:numPr>
              <w:ind w:left="241" w:hanging="180"/>
              <w:rPr>
                <w:rFonts w:ascii="Times New Roman" w:hAnsi="Times New Roman" w:cs="Times New Roman"/>
              </w:rPr>
            </w:pPr>
            <w:r>
              <w:rPr>
                <w:rFonts w:ascii="Times New Roman" w:hAnsi="Times New Roman" w:cs="Times New Roman"/>
              </w:rPr>
              <w:t>MOPH</w:t>
            </w:r>
            <w:r w:rsidR="00D63D51" w:rsidRPr="00C426E5">
              <w:rPr>
                <w:rFonts w:ascii="Times New Roman" w:hAnsi="Times New Roman" w:cs="Times New Roman"/>
              </w:rPr>
              <w:t xml:space="preserve"> plans to conduct </w:t>
            </w:r>
            <w:r w:rsidR="008A27F5">
              <w:rPr>
                <w:rFonts w:ascii="Times New Roman" w:hAnsi="Times New Roman" w:cs="Times New Roman"/>
              </w:rPr>
              <w:t xml:space="preserve">the 2020 </w:t>
            </w:r>
            <w:r w:rsidR="00D63D51" w:rsidRPr="00C426E5">
              <w:rPr>
                <w:rFonts w:ascii="Times New Roman" w:hAnsi="Times New Roman" w:cs="Times New Roman"/>
              </w:rPr>
              <w:t>NCD forum</w:t>
            </w:r>
            <w:r w:rsidR="008A27F5">
              <w:rPr>
                <w:rFonts w:ascii="Times New Roman" w:hAnsi="Times New Roman" w:cs="Times New Roman"/>
              </w:rPr>
              <w:t xml:space="preserve"> </w:t>
            </w:r>
            <w:r w:rsidR="00D63D51" w:rsidRPr="00C426E5">
              <w:rPr>
                <w:rFonts w:ascii="Times New Roman" w:hAnsi="Times New Roman" w:cs="Times New Roman"/>
              </w:rPr>
              <w:t>virtual</w:t>
            </w:r>
            <w:r w:rsidR="00EE7491">
              <w:rPr>
                <w:rFonts w:ascii="Times New Roman" w:hAnsi="Times New Roman" w:cs="Times New Roman"/>
              </w:rPr>
              <w:t>ly.</w:t>
            </w:r>
          </w:p>
          <w:p w14:paraId="01F055B9" w14:textId="4534CDC3" w:rsidR="008249B3" w:rsidRPr="00C426E5" w:rsidRDefault="00890894" w:rsidP="0063214B">
            <w:pPr>
              <w:pStyle w:val="ListParagraph"/>
              <w:numPr>
                <w:ilvl w:val="0"/>
                <w:numId w:val="1"/>
              </w:numPr>
              <w:ind w:left="241" w:hanging="180"/>
              <w:rPr>
                <w:rFonts w:ascii="Times New Roman" w:hAnsi="Times New Roman" w:cs="Times New Roman"/>
              </w:rPr>
            </w:pPr>
            <w:r>
              <w:rPr>
                <w:rFonts w:ascii="Times New Roman" w:hAnsi="Times New Roman" w:cs="Times New Roman"/>
              </w:rPr>
              <w:t>The n</w:t>
            </w:r>
            <w:r w:rsidR="008249B3" w:rsidRPr="00C426E5">
              <w:rPr>
                <w:rFonts w:ascii="Times New Roman" w:hAnsi="Times New Roman" w:cs="Times New Roman"/>
              </w:rPr>
              <w:t xml:space="preserve">ational </w:t>
            </w:r>
            <w:r w:rsidR="008A27F5">
              <w:rPr>
                <w:rFonts w:ascii="Times New Roman" w:hAnsi="Times New Roman" w:cs="Times New Roman"/>
              </w:rPr>
              <w:t xml:space="preserve">sodium reduction committee includes government, academia, </w:t>
            </w:r>
            <w:r w:rsidR="00E73540" w:rsidRPr="00C426E5">
              <w:rPr>
                <w:rFonts w:ascii="Times New Roman" w:hAnsi="Times New Roman" w:cs="Times New Roman"/>
              </w:rPr>
              <w:t>civil society</w:t>
            </w:r>
            <w:r w:rsidR="008A27F5">
              <w:rPr>
                <w:rFonts w:ascii="Times New Roman" w:hAnsi="Times New Roman" w:cs="Times New Roman"/>
              </w:rPr>
              <w:t xml:space="preserve"> and </w:t>
            </w:r>
            <w:r w:rsidR="008249B3" w:rsidRPr="00C426E5">
              <w:rPr>
                <w:rFonts w:ascii="Times New Roman" w:hAnsi="Times New Roman" w:cs="Times New Roman"/>
              </w:rPr>
              <w:t>private sector</w:t>
            </w:r>
            <w:r>
              <w:rPr>
                <w:rFonts w:ascii="Times New Roman" w:hAnsi="Times New Roman" w:cs="Times New Roman"/>
              </w:rPr>
              <w:t xml:space="preserve"> stakeholders and it meets regularly. </w:t>
            </w:r>
          </w:p>
          <w:p w14:paraId="32E790BA" w14:textId="45577E2E" w:rsidR="008249B3" w:rsidRPr="00D63D51" w:rsidRDefault="008249B3" w:rsidP="00D63D51">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 xml:space="preserve">Assessment of NCD situation among PLHIV in 4 provinces is work in progress. Results will be used to inform </w:t>
            </w:r>
            <w:r w:rsidR="008A27F5">
              <w:rPr>
                <w:rFonts w:ascii="Times New Roman" w:hAnsi="Times New Roman" w:cs="Times New Roman"/>
              </w:rPr>
              <w:t xml:space="preserve">the </w:t>
            </w:r>
            <w:r w:rsidRPr="00C426E5">
              <w:rPr>
                <w:rFonts w:ascii="Times New Roman" w:hAnsi="Times New Roman" w:cs="Times New Roman"/>
              </w:rPr>
              <w:t>development of strategic plan on interface of NCD and HIV and contribution of CSO to NCD agenda.</w:t>
            </w:r>
          </w:p>
        </w:tc>
        <w:tc>
          <w:tcPr>
            <w:tcW w:w="1584" w:type="dxa"/>
          </w:tcPr>
          <w:p w14:paraId="78A7F1E1" w14:textId="4224A466" w:rsidR="008249B3" w:rsidRPr="00C426E5" w:rsidRDefault="008A27F5" w:rsidP="00753F3D">
            <w:pPr>
              <w:pStyle w:val="ListParagraph"/>
              <w:ind w:left="104"/>
              <w:rPr>
                <w:rFonts w:ascii="Times New Roman" w:hAnsi="Times New Roman" w:cs="Times New Roman"/>
              </w:rPr>
            </w:pPr>
            <w:r>
              <w:rPr>
                <w:rFonts w:ascii="Times New Roman" w:hAnsi="Times New Roman" w:cs="Times New Roman"/>
              </w:rPr>
              <w:t>Interference by food industry, especially against sodium taxation and food reformulation and food labelling</w:t>
            </w:r>
          </w:p>
        </w:tc>
        <w:tc>
          <w:tcPr>
            <w:tcW w:w="2050" w:type="dxa"/>
          </w:tcPr>
          <w:p w14:paraId="5DF73B6C" w14:textId="457D81C4" w:rsidR="008249B3" w:rsidRPr="00C426E5" w:rsidRDefault="008249B3" w:rsidP="00983219">
            <w:pPr>
              <w:pStyle w:val="ListParagraph"/>
              <w:ind w:left="104"/>
              <w:rPr>
                <w:rFonts w:ascii="Times New Roman" w:hAnsi="Times New Roman" w:cs="Times New Roman"/>
              </w:rPr>
            </w:pPr>
          </w:p>
        </w:tc>
        <w:tc>
          <w:tcPr>
            <w:tcW w:w="2016" w:type="dxa"/>
          </w:tcPr>
          <w:p w14:paraId="70AF93A5" w14:textId="15C68B4F" w:rsidR="008249B3" w:rsidRPr="00C426E5" w:rsidRDefault="006A1506" w:rsidP="0063214B">
            <w:pPr>
              <w:pStyle w:val="ListParagraph"/>
              <w:numPr>
                <w:ilvl w:val="0"/>
                <w:numId w:val="1"/>
              </w:numPr>
              <w:ind w:left="104" w:hanging="141"/>
              <w:rPr>
                <w:rFonts w:ascii="Times New Roman" w:hAnsi="Times New Roman" w:cs="Times New Roman"/>
              </w:rPr>
            </w:pPr>
            <w:r>
              <w:rPr>
                <w:rFonts w:ascii="Times New Roman" w:hAnsi="Times New Roman" w:cs="Times New Roman"/>
              </w:rPr>
              <w:t>MOPH</w:t>
            </w:r>
          </w:p>
          <w:p w14:paraId="1AC012FC" w14:textId="73578A3C" w:rsidR="008249B3" w:rsidRPr="00C426E5"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Thai NCD Alliance</w:t>
            </w:r>
          </w:p>
          <w:p w14:paraId="005F198F" w14:textId="41C654BA" w:rsidR="00E73540" w:rsidRPr="00C426E5" w:rsidRDefault="00E73540"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Thai Low Salt Network</w:t>
            </w:r>
          </w:p>
          <w:p w14:paraId="55A512B4" w14:textId="3E342ECA" w:rsidR="008249B3" w:rsidRPr="00C426E5"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Thai Network of People Living with HIV/AIDS (TNP+)</w:t>
            </w:r>
          </w:p>
        </w:tc>
      </w:tr>
    </w:tbl>
    <w:p w14:paraId="3F99B44A" w14:textId="7CDB0487" w:rsidR="00B340BB" w:rsidRDefault="00B340BB"/>
    <w:tbl>
      <w:tblPr>
        <w:tblStyle w:val="TableGrid"/>
        <w:tblW w:w="15586" w:type="dxa"/>
        <w:tblInd w:w="-815" w:type="dxa"/>
        <w:tblLayout w:type="fixed"/>
        <w:tblCellMar>
          <w:top w:w="72" w:type="dxa"/>
          <w:left w:w="72" w:type="dxa"/>
          <w:bottom w:w="72" w:type="dxa"/>
          <w:right w:w="72" w:type="dxa"/>
        </w:tblCellMar>
        <w:tblLook w:val="04A0" w:firstRow="1" w:lastRow="0" w:firstColumn="1" w:lastColumn="0" w:noHBand="0" w:noVBand="1"/>
      </w:tblPr>
      <w:tblGrid>
        <w:gridCol w:w="694"/>
        <w:gridCol w:w="3071"/>
        <w:gridCol w:w="2715"/>
        <w:gridCol w:w="3456"/>
        <w:gridCol w:w="1440"/>
        <w:gridCol w:w="2194"/>
        <w:gridCol w:w="2016"/>
      </w:tblGrid>
      <w:tr w:rsidR="00B340BB" w:rsidRPr="00C426E5" w14:paraId="3858354F" w14:textId="77777777" w:rsidTr="00931293">
        <w:trPr>
          <w:cantSplit/>
          <w:trHeight w:val="864"/>
          <w:tblHeader/>
        </w:trPr>
        <w:tc>
          <w:tcPr>
            <w:tcW w:w="694" w:type="dxa"/>
            <w:shd w:val="clear" w:color="auto" w:fill="DBE5F1" w:themeFill="accent1" w:themeFillTint="33"/>
            <w:vAlign w:val="center"/>
          </w:tcPr>
          <w:p w14:paraId="3CA08912" w14:textId="77777777" w:rsidR="00B340BB" w:rsidRPr="00C426E5" w:rsidRDefault="00B340BB" w:rsidP="00931293">
            <w:pPr>
              <w:jc w:val="center"/>
              <w:rPr>
                <w:rFonts w:ascii="Times New Roman" w:hAnsi="Times New Roman" w:cs="Times New Roman"/>
                <w:b/>
                <w:bCs/>
              </w:rPr>
            </w:pPr>
            <w:r w:rsidRPr="00C426E5">
              <w:rPr>
                <w:rFonts w:ascii="Times New Roman" w:hAnsi="Times New Roman" w:cs="Times New Roman"/>
                <w:b/>
                <w:bCs/>
              </w:rPr>
              <w:t>S.N.</w:t>
            </w:r>
          </w:p>
        </w:tc>
        <w:tc>
          <w:tcPr>
            <w:tcW w:w="3071" w:type="dxa"/>
            <w:shd w:val="clear" w:color="auto" w:fill="DBE5F1" w:themeFill="accent1" w:themeFillTint="33"/>
            <w:vAlign w:val="center"/>
          </w:tcPr>
          <w:p w14:paraId="75B73F51" w14:textId="77777777" w:rsidR="00B340BB" w:rsidRPr="00C426E5" w:rsidRDefault="00B340BB" w:rsidP="00931293">
            <w:pPr>
              <w:jc w:val="center"/>
              <w:rPr>
                <w:rFonts w:ascii="Times New Roman" w:hAnsi="Times New Roman" w:cs="Times New Roman"/>
                <w:b/>
                <w:bCs/>
              </w:rPr>
            </w:pPr>
            <w:r w:rsidRPr="00C426E5">
              <w:rPr>
                <w:rFonts w:ascii="Times New Roman" w:hAnsi="Times New Roman" w:cs="Times New Roman"/>
                <w:b/>
                <w:bCs/>
              </w:rPr>
              <w:t>Recommendations</w:t>
            </w:r>
          </w:p>
        </w:tc>
        <w:tc>
          <w:tcPr>
            <w:tcW w:w="2715" w:type="dxa"/>
            <w:shd w:val="clear" w:color="auto" w:fill="DBE5F1" w:themeFill="accent1" w:themeFillTint="33"/>
            <w:vAlign w:val="center"/>
          </w:tcPr>
          <w:p w14:paraId="12050715" w14:textId="77777777" w:rsidR="00B340BB" w:rsidRPr="00C426E5" w:rsidRDefault="00B340BB" w:rsidP="00931293">
            <w:pPr>
              <w:jc w:val="center"/>
              <w:rPr>
                <w:rFonts w:ascii="Times New Roman" w:hAnsi="Times New Roman" w:cs="Times New Roman"/>
                <w:b/>
                <w:bCs/>
              </w:rPr>
            </w:pPr>
            <w:r w:rsidRPr="00C426E5">
              <w:rPr>
                <w:rFonts w:ascii="Times New Roman" w:hAnsi="Times New Roman" w:cs="Times New Roman"/>
                <w:b/>
                <w:bCs/>
              </w:rPr>
              <w:t>Proposed expected outcomes</w:t>
            </w:r>
          </w:p>
        </w:tc>
        <w:tc>
          <w:tcPr>
            <w:tcW w:w="3456" w:type="dxa"/>
            <w:shd w:val="clear" w:color="auto" w:fill="DBE5F1" w:themeFill="accent1" w:themeFillTint="33"/>
            <w:vAlign w:val="center"/>
          </w:tcPr>
          <w:p w14:paraId="65ED5F75" w14:textId="77777777" w:rsidR="00B340BB" w:rsidRPr="00C426E5" w:rsidRDefault="00B340BB" w:rsidP="00931293">
            <w:pPr>
              <w:jc w:val="center"/>
              <w:rPr>
                <w:rFonts w:ascii="Times New Roman" w:hAnsi="Times New Roman" w:cs="Times New Roman"/>
                <w:b/>
                <w:bCs/>
                <w:lang w:bidi="th-TH"/>
              </w:rPr>
            </w:pPr>
            <w:r w:rsidRPr="00C426E5">
              <w:rPr>
                <w:rFonts w:ascii="Times New Roman" w:hAnsi="Times New Roman" w:cs="Times New Roman"/>
                <w:b/>
                <w:bCs/>
              </w:rPr>
              <w:t>Current</w:t>
            </w:r>
            <w:r w:rsidRPr="00C426E5">
              <w:rPr>
                <w:rFonts w:ascii="Times New Roman" w:hAnsi="Times New Roman" w:cs="Times New Roman"/>
                <w:b/>
                <w:bCs/>
                <w:cs/>
                <w:lang w:bidi="th-TH"/>
              </w:rPr>
              <w:t xml:space="preserve"> </w:t>
            </w:r>
            <w:r w:rsidRPr="00C426E5">
              <w:rPr>
                <w:rFonts w:ascii="Times New Roman" w:hAnsi="Times New Roman" w:cs="Times New Roman"/>
                <w:b/>
                <w:bCs/>
                <w:lang w:bidi="th-TH"/>
              </w:rPr>
              <w:t>situation</w:t>
            </w:r>
          </w:p>
        </w:tc>
        <w:tc>
          <w:tcPr>
            <w:tcW w:w="1440" w:type="dxa"/>
            <w:shd w:val="clear" w:color="auto" w:fill="DBE5F1" w:themeFill="accent1" w:themeFillTint="33"/>
            <w:vAlign w:val="center"/>
          </w:tcPr>
          <w:p w14:paraId="5E73F97F" w14:textId="77777777" w:rsidR="00B340BB" w:rsidRPr="00C426E5" w:rsidRDefault="00B340BB" w:rsidP="00931293">
            <w:pPr>
              <w:jc w:val="center"/>
              <w:rPr>
                <w:rFonts w:ascii="Times New Roman" w:hAnsi="Times New Roman" w:cs="Times New Roman"/>
                <w:b/>
                <w:bCs/>
              </w:rPr>
            </w:pPr>
            <w:r w:rsidRPr="00C426E5">
              <w:rPr>
                <w:rFonts w:ascii="Times New Roman" w:hAnsi="Times New Roman" w:cs="Times New Roman"/>
                <w:b/>
                <w:bCs/>
              </w:rPr>
              <w:t>Challenges/</w:t>
            </w:r>
          </w:p>
          <w:p w14:paraId="22376FDB" w14:textId="77777777" w:rsidR="00B340BB" w:rsidRPr="00C426E5" w:rsidRDefault="00B340BB" w:rsidP="00931293">
            <w:pPr>
              <w:jc w:val="center"/>
              <w:rPr>
                <w:rFonts w:ascii="Times New Roman" w:hAnsi="Times New Roman" w:cs="Times New Roman"/>
                <w:b/>
                <w:bCs/>
              </w:rPr>
            </w:pPr>
            <w:r w:rsidRPr="00C426E5">
              <w:rPr>
                <w:rFonts w:ascii="Times New Roman" w:hAnsi="Times New Roman" w:cs="Times New Roman"/>
                <w:b/>
                <w:bCs/>
              </w:rPr>
              <w:t>bottlenecks</w:t>
            </w:r>
          </w:p>
        </w:tc>
        <w:tc>
          <w:tcPr>
            <w:tcW w:w="2194" w:type="dxa"/>
            <w:shd w:val="clear" w:color="auto" w:fill="DBE5F1" w:themeFill="accent1" w:themeFillTint="33"/>
            <w:vAlign w:val="center"/>
          </w:tcPr>
          <w:p w14:paraId="43CADB8E" w14:textId="77777777" w:rsidR="00B340BB" w:rsidRPr="00C426E5" w:rsidRDefault="00B340BB" w:rsidP="00931293">
            <w:pPr>
              <w:jc w:val="center"/>
              <w:rPr>
                <w:rFonts w:ascii="Times New Roman" w:hAnsi="Times New Roman" w:cs="Times New Roman"/>
                <w:b/>
                <w:bCs/>
              </w:rPr>
            </w:pPr>
            <w:r w:rsidRPr="00C426E5">
              <w:rPr>
                <w:rFonts w:ascii="Times New Roman" w:hAnsi="Times New Roman" w:cs="Times New Roman"/>
                <w:b/>
                <w:bCs/>
              </w:rPr>
              <w:t>Support required from UN agencies</w:t>
            </w:r>
          </w:p>
        </w:tc>
        <w:tc>
          <w:tcPr>
            <w:tcW w:w="2016" w:type="dxa"/>
            <w:shd w:val="clear" w:color="auto" w:fill="DBE5F1" w:themeFill="accent1" w:themeFillTint="33"/>
            <w:vAlign w:val="center"/>
          </w:tcPr>
          <w:p w14:paraId="5855BCDD" w14:textId="77777777" w:rsidR="00B340BB" w:rsidRPr="00C426E5" w:rsidRDefault="00B340BB" w:rsidP="00931293">
            <w:pPr>
              <w:jc w:val="center"/>
              <w:rPr>
                <w:rFonts w:ascii="Times New Roman" w:hAnsi="Times New Roman" w:cs="Times New Roman"/>
                <w:b/>
                <w:bCs/>
                <w:lang w:val="en-US" w:bidi="th-TH"/>
              </w:rPr>
            </w:pPr>
            <w:r w:rsidRPr="00C426E5">
              <w:rPr>
                <w:rFonts w:ascii="Times New Roman" w:hAnsi="Times New Roman" w:cs="Times New Roman"/>
                <w:b/>
                <w:bCs/>
                <w:lang w:val="en-US" w:bidi="th-TH"/>
              </w:rPr>
              <w:t xml:space="preserve">Government agencies and </w:t>
            </w:r>
          </w:p>
          <w:p w14:paraId="6C3B41CD" w14:textId="77777777" w:rsidR="00B340BB" w:rsidRPr="00C426E5" w:rsidRDefault="00B340BB" w:rsidP="00931293">
            <w:pPr>
              <w:jc w:val="center"/>
              <w:rPr>
                <w:rFonts w:ascii="Times New Roman" w:hAnsi="Times New Roman" w:cs="Times New Roman"/>
                <w:b/>
                <w:bCs/>
                <w:lang w:val="en-US" w:bidi="th-TH"/>
              </w:rPr>
            </w:pPr>
            <w:r w:rsidRPr="00C426E5">
              <w:rPr>
                <w:rFonts w:ascii="Times New Roman" w:hAnsi="Times New Roman" w:cs="Times New Roman"/>
                <w:b/>
                <w:bCs/>
                <w:lang w:val="en-US" w:bidi="th-TH"/>
              </w:rPr>
              <w:t>Thai counterparts</w:t>
            </w:r>
          </w:p>
        </w:tc>
      </w:tr>
      <w:tr w:rsidR="00CF3BB4" w:rsidRPr="00C426E5" w14:paraId="6DC8D891" w14:textId="77777777" w:rsidTr="00CF3BB4">
        <w:trPr>
          <w:cantSplit/>
          <w:trHeight w:val="432"/>
        </w:trPr>
        <w:tc>
          <w:tcPr>
            <w:tcW w:w="15586" w:type="dxa"/>
            <w:gridSpan w:val="7"/>
            <w:shd w:val="clear" w:color="auto" w:fill="F2F2F2" w:themeFill="background1" w:themeFillShade="F2"/>
            <w:vAlign w:val="center"/>
          </w:tcPr>
          <w:p w14:paraId="2A7536ED" w14:textId="02E838AB" w:rsidR="00CF3BB4" w:rsidRPr="00CF3BB4" w:rsidRDefault="00830937" w:rsidP="0063214B">
            <w:pPr>
              <w:pStyle w:val="ListParagraph"/>
              <w:numPr>
                <w:ilvl w:val="0"/>
                <w:numId w:val="2"/>
              </w:numPr>
              <w:autoSpaceDE w:val="0"/>
              <w:autoSpaceDN w:val="0"/>
              <w:adjustRightInd w:val="0"/>
              <w:rPr>
                <w:rFonts w:ascii="Times New Roman" w:eastAsiaTheme="majorEastAsia" w:hAnsi="Times New Roman" w:cs="Times New Roman"/>
                <w:b/>
                <w:bCs/>
                <w:spacing w:val="-2"/>
                <w:lang w:val="en-US"/>
              </w:rPr>
            </w:pPr>
            <w:r w:rsidRPr="00830937">
              <w:rPr>
                <w:rFonts w:ascii="Times New Roman" w:eastAsiaTheme="majorEastAsia" w:hAnsi="Times New Roman" w:cs="Times New Roman"/>
                <w:b/>
                <w:bCs/>
                <w:spacing w:val="-2"/>
                <w:lang w:val="en-US"/>
              </w:rPr>
              <w:t>Strengthen fiscal policies including taxation on health harming products as a way of improving public health.</w:t>
            </w:r>
          </w:p>
        </w:tc>
      </w:tr>
      <w:tr w:rsidR="008249B3" w:rsidRPr="00C426E5" w14:paraId="16B25DDF" w14:textId="35B040CF" w:rsidTr="00C426E5">
        <w:trPr>
          <w:cantSplit/>
        </w:trPr>
        <w:tc>
          <w:tcPr>
            <w:tcW w:w="694" w:type="dxa"/>
          </w:tcPr>
          <w:p w14:paraId="61042648" w14:textId="77777777" w:rsidR="008249B3" w:rsidRPr="00C426E5" w:rsidRDefault="008249B3" w:rsidP="001F13E0">
            <w:pPr>
              <w:jc w:val="center"/>
              <w:rPr>
                <w:rFonts w:ascii="Times New Roman" w:hAnsi="Times New Roman" w:cs="Times New Roman"/>
              </w:rPr>
            </w:pPr>
            <w:r w:rsidRPr="00C426E5">
              <w:rPr>
                <w:rFonts w:ascii="Times New Roman" w:hAnsi="Times New Roman" w:cs="Times New Roman"/>
              </w:rPr>
              <w:t>3.1</w:t>
            </w:r>
          </w:p>
        </w:tc>
        <w:tc>
          <w:tcPr>
            <w:tcW w:w="3071" w:type="dxa"/>
          </w:tcPr>
          <w:p w14:paraId="773D86BF" w14:textId="77777777" w:rsidR="008249B3" w:rsidRPr="00C426E5" w:rsidRDefault="008249B3" w:rsidP="00A05BE2">
            <w:pPr>
              <w:rPr>
                <w:rFonts w:ascii="Times New Roman" w:eastAsiaTheme="majorEastAsia" w:hAnsi="Times New Roman" w:cs="Times New Roman"/>
                <w:lang w:val="en-US"/>
              </w:rPr>
            </w:pPr>
            <w:r w:rsidRPr="00C426E5">
              <w:rPr>
                <w:rFonts w:ascii="Times New Roman" w:eastAsiaTheme="majorEastAsia" w:hAnsi="Times New Roman" w:cs="Times New Roman"/>
                <w:lang w:val="en-US"/>
              </w:rPr>
              <w:t>Continue to simplify cigarette tax system by removing tiers and substantially increase tax on roll-your-own (RYO) tobacco products</w:t>
            </w:r>
          </w:p>
        </w:tc>
        <w:tc>
          <w:tcPr>
            <w:tcW w:w="2715" w:type="dxa"/>
          </w:tcPr>
          <w:p w14:paraId="0E67517D" w14:textId="77777777" w:rsidR="008249B3" w:rsidRPr="009850BD" w:rsidRDefault="008249B3" w:rsidP="0063214B">
            <w:pPr>
              <w:pStyle w:val="ListParagraph"/>
              <w:numPr>
                <w:ilvl w:val="0"/>
                <w:numId w:val="1"/>
              </w:numPr>
              <w:ind w:left="241" w:hanging="180"/>
              <w:rPr>
                <w:rFonts w:ascii="Times New Roman" w:hAnsi="Times New Roman" w:cs="Times New Roman"/>
              </w:rPr>
            </w:pPr>
            <w:r w:rsidRPr="009850BD">
              <w:rPr>
                <w:rFonts w:ascii="Times New Roman" w:hAnsi="Times New Roman" w:cs="Times New Roman"/>
              </w:rPr>
              <w:t>Tiers on cigarette tax removed by 2019</w:t>
            </w:r>
          </w:p>
          <w:p w14:paraId="2CADE4E1" w14:textId="1E5538E0" w:rsidR="008249B3" w:rsidRPr="00C426E5" w:rsidRDefault="008249B3" w:rsidP="0063214B">
            <w:pPr>
              <w:pStyle w:val="ListParagraph"/>
              <w:numPr>
                <w:ilvl w:val="0"/>
                <w:numId w:val="1"/>
              </w:numPr>
              <w:ind w:left="241" w:hanging="180"/>
              <w:rPr>
                <w:rFonts w:ascii="Times New Roman" w:hAnsi="Times New Roman" w:cs="Times New Roman"/>
              </w:rPr>
            </w:pPr>
            <w:r w:rsidRPr="009850BD">
              <w:rPr>
                <w:rFonts w:ascii="Times New Roman" w:hAnsi="Times New Roman" w:cs="Times New Roman"/>
              </w:rPr>
              <w:t>Tax for RYO increased in 2019 and 2020 and every year subsequently, to eliminate tax difference with cigarettes</w:t>
            </w:r>
          </w:p>
        </w:tc>
        <w:tc>
          <w:tcPr>
            <w:tcW w:w="3456" w:type="dxa"/>
          </w:tcPr>
          <w:p w14:paraId="01DF10D0" w14:textId="181A54FD" w:rsidR="008249B3" w:rsidRPr="006A1506" w:rsidRDefault="003714DA" w:rsidP="0063214B">
            <w:pPr>
              <w:pStyle w:val="ListParagraph"/>
              <w:numPr>
                <w:ilvl w:val="0"/>
                <w:numId w:val="1"/>
              </w:numPr>
              <w:ind w:left="241" w:hanging="180"/>
              <w:rPr>
                <w:rFonts w:ascii="Times New Roman" w:hAnsi="Times New Roman" w:cs="Times New Roman"/>
              </w:rPr>
            </w:pPr>
            <w:r w:rsidRPr="006A1506">
              <w:rPr>
                <w:rFonts w:ascii="Times New Roman" w:hAnsi="Times New Roman" w:cs="Times New Roman"/>
              </w:rPr>
              <w:t>Removal of t</w:t>
            </w:r>
            <w:r w:rsidR="008249B3" w:rsidRPr="006A1506">
              <w:rPr>
                <w:rFonts w:ascii="Times New Roman" w:hAnsi="Times New Roman" w:cs="Times New Roman"/>
              </w:rPr>
              <w:t>iers on cigarette tax w</w:t>
            </w:r>
            <w:r w:rsidRPr="006A1506">
              <w:rPr>
                <w:rFonts w:ascii="Times New Roman" w:hAnsi="Times New Roman" w:cs="Times New Roman"/>
              </w:rPr>
              <w:t>as</w:t>
            </w:r>
            <w:r w:rsidR="008249B3" w:rsidRPr="006A1506">
              <w:rPr>
                <w:rFonts w:ascii="Times New Roman" w:hAnsi="Times New Roman" w:cs="Times New Roman"/>
              </w:rPr>
              <w:t xml:space="preserve"> </w:t>
            </w:r>
            <w:r w:rsidR="00125338" w:rsidRPr="006A1506">
              <w:rPr>
                <w:rFonts w:ascii="Times New Roman" w:hAnsi="Times New Roman" w:cs="Times New Roman"/>
              </w:rPr>
              <w:t xml:space="preserve">further </w:t>
            </w:r>
            <w:r w:rsidR="008249B3" w:rsidRPr="006A1506">
              <w:rPr>
                <w:rFonts w:ascii="Times New Roman" w:hAnsi="Times New Roman" w:cs="Times New Roman"/>
              </w:rPr>
              <w:t>postponed to1 October 2021</w:t>
            </w:r>
            <w:r w:rsidRPr="006A1506">
              <w:rPr>
                <w:rFonts w:ascii="Times New Roman" w:hAnsi="Times New Roman" w:cs="Times New Roman"/>
              </w:rPr>
              <w:t xml:space="preserve">. </w:t>
            </w:r>
            <w:r w:rsidR="008249B3" w:rsidRPr="006A1506">
              <w:rPr>
                <w:rFonts w:ascii="Times New Roman" w:hAnsi="Times New Roman" w:cs="Times New Roman"/>
              </w:rPr>
              <w:t xml:space="preserve"> </w:t>
            </w:r>
            <w:r w:rsidRPr="006A1506">
              <w:rPr>
                <w:rFonts w:ascii="Times New Roman" w:hAnsi="Times New Roman" w:cs="Times New Roman"/>
              </w:rPr>
              <w:t>This drove</w:t>
            </w:r>
            <w:r w:rsidR="008249B3" w:rsidRPr="006A1506">
              <w:rPr>
                <w:rFonts w:ascii="Times New Roman" w:hAnsi="Times New Roman" w:cs="Times New Roman"/>
              </w:rPr>
              <w:t xml:space="preserve"> import</w:t>
            </w:r>
            <w:r w:rsidRPr="006A1506">
              <w:rPr>
                <w:rFonts w:ascii="Times New Roman" w:hAnsi="Times New Roman" w:cs="Times New Roman"/>
              </w:rPr>
              <w:t>ed</w:t>
            </w:r>
            <w:r w:rsidR="008249B3" w:rsidRPr="006A1506">
              <w:rPr>
                <w:rFonts w:ascii="Times New Roman" w:hAnsi="Times New Roman" w:cs="Times New Roman"/>
              </w:rPr>
              <w:t xml:space="preserve"> cigarettes</w:t>
            </w:r>
            <w:r w:rsidRPr="006A1506">
              <w:rPr>
                <w:rFonts w:ascii="Times New Roman" w:hAnsi="Times New Roman" w:cs="Times New Roman"/>
              </w:rPr>
              <w:t xml:space="preserve"> to reduce</w:t>
            </w:r>
            <w:r w:rsidR="008249B3" w:rsidRPr="006A1506">
              <w:rPr>
                <w:rFonts w:ascii="Times New Roman" w:hAnsi="Times New Roman" w:cs="Times New Roman"/>
              </w:rPr>
              <w:t xml:space="preserve"> price</w:t>
            </w:r>
            <w:r w:rsidRPr="006A1506">
              <w:rPr>
                <w:rFonts w:ascii="Times New Roman" w:hAnsi="Times New Roman" w:cs="Times New Roman"/>
              </w:rPr>
              <w:t xml:space="preserve">s making smokers </w:t>
            </w:r>
            <w:r w:rsidR="008249B3" w:rsidRPr="006A1506">
              <w:rPr>
                <w:rFonts w:ascii="Times New Roman" w:hAnsi="Times New Roman" w:cs="Times New Roman"/>
              </w:rPr>
              <w:t>switch from Thai cigarette</w:t>
            </w:r>
            <w:r w:rsidRPr="006A1506">
              <w:rPr>
                <w:rFonts w:ascii="Times New Roman" w:hAnsi="Times New Roman" w:cs="Times New Roman"/>
              </w:rPr>
              <w:t>s</w:t>
            </w:r>
            <w:r w:rsidR="008249B3" w:rsidRPr="006A1506">
              <w:rPr>
                <w:rFonts w:ascii="Times New Roman" w:hAnsi="Times New Roman" w:cs="Times New Roman"/>
              </w:rPr>
              <w:t xml:space="preserve"> to</w:t>
            </w:r>
            <w:r w:rsidR="00125338" w:rsidRPr="006A1506">
              <w:rPr>
                <w:rFonts w:ascii="Times New Roman" w:hAnsi="Times New Roman" w:cs="Times New Roman"/>
              </w:rPr>
              <w:t xml:space="preserve"> cheaper</w:t>
            </w:r>
            <w:r w:rsidR="008249B3" w:rsidRPr="006A1506">
              <w:rPr>
                <w:rFonts w:ascii="Times New Roman" w:hAnsi="Times New Roman" w:cs="Times New Roman"/>
              </w:rPr>
              <w:t xml:space="preserve"> import</w:t>
            </w:r>
            <w:r w:rsidR="00125338" w:rsidRPr="006A1506">
              <w:rPr>
                <w:rFonts w:ascii="Times New Roman" w:hAnsi="Times New Roman" w:cs="Times New Roman"/>
              </w:rPr>
              <w:t>ed</w:t>
            </w:r>
            <w:r w:rsidR="008249B3" w:rsidRPr="006A1506">
              <w:rPr>
                <w:rFonts w:ascii="Times New Roman" w:hAnsi="Times New Roman" w:cs="Times New Roman"/>
              </w:rPr>
              <w:t xml:space="preserve"> </w:t>
            </w:r>
            <w:r w:rsidR="00125338" w:rsidRPr="006A1506">
              <w:rPr>
                <w:rFonts w:ascii="Times New Roman" w:hAnsi="Times New Roman" w:cs="Times New Roman"/>
              </w:rPr>
              <w:t>cigarettes</w:t>
            </w:r>
            <w:r w:rsidR="008249B3" w:rsidRPr="006A1506">
              <w:rPr>
                <w:rFonts w:ascii="Times New Roman" w:hAnsi="Times New Roman" w:cs="Times New Roman"/>
              </w:rPr>
              <w:t>.</w:t>
            </w:r>
          </w:p>
          <w:p w14:paraId="740B6BFB" w14:textId="5DF8B55B" w:rsidR="008249B3" w:rsidRPr="006A1506" w:rsidRDefault="008249B3" w:rsidP="0063214B">
            <w:pPr>
              <w:pStyle w:val="ListParagraph"/>
              <w:numPr>
                <w:ilvl w:val="0"/>
                <w:numId w:val="1"/>
              </w:numPr>
              <w:ind w:left="241" w:hanging="180"/>
              <w:rPr>
                <w:rFonts w:ascii="Times New Roman" w:hAnsi="Times New Roman" w:cs="Times New Roman"/>
              </w:rPr>
            </w:pPr>
            <w:r w:rsidRPr="006A1506">
              <w:rPr>
                <w:rFonts w:ascii="Times New Roman" w:hAnsi="Times New Roman" w:cs="Times New Roman"/>
              </w:rPr>
              <w:t xml:space="preserve">Excise tax on RYO increased on 8 May 2019 </w:t>
            </w:r>
            <w:r w:rsidR="008F55CA" w:rsidRPr="006A1506">
              <w:rPr>
                <w:rFonts w:ascii="Times New Roman" w:hAnsi="Times New Roman" w:cs="Times New Roman"/>
              </w:rPr>
              <w:t>(</w:t>
            </w:r>
            <w:r w:rsidRPr="006A1506">
              <w:rPr>
                <w:rFonts w:ascii="Times New Roman" w:hAnsi="Times New Roman" w:cs="Times New Roman"/>
              </w:rPr>
              <w:t>from 0.005 to 0.1 baht per gram</w:t>
            </w:r>
            <w:r w:rsidR="008F55CA" w:rsidRPr="006A1506">
              <w:rPr>
                <w:rFonts w:ascii="Times New Roman" w:hAnsi="Times New Roman" w:cs="Times New Roman"/>
              </w:rPr>
              <w:t xml:space="preserve">. However, </w:t>
            </w:r>
            <w:r w:rsidRPr="006A1506">
              <w:rPr>
                <w:rFonts w:ascii="Times New Roman" w:hAnsi="Times New Roman" w:cs="Times New Roman"/>
              </w:rPr>
              <w:t>on 8 October 2019</w:t>
            </w:r>
            <w:r w:rsidR="008F55CA" w:rsidRPr="006A1506">
              <w:rPr>
                <w:rFonts w:ascii="Times New Roman" w:hAnsi="Times New Roman" w:cs="Times New Roman"/>
              </w:rPr>
              <w:t>, tax rate was reduced</w:t>
            </w:r>
            <w:r w:rsidR="004571A1" w:rsidRPr="006A1506">
              <w:rPr>
                <w:rFonts w:ascii="Times New Roman" w:hAnsi="Times New Roman" w:cs="Times New Roman"/>
              </w:rPr>
              <w:t xml:space="preserve"> for a limited period (until 31 December 2020) </w:t>
            </w:r>
            <w:r w:rsidRPr="006A1506">
              <w:rPr>
                <w:rFonts w:ascii="Times New Roman" w:hAnsi="Times New Roman" w:cs="Times New Roman"/>
              </w:rPr>
              <w:t xml:space="preserve">to 0.025 baht per gram for </w:t>
            </w:r>
            <w:r w:rsidR="00125338" w:rsidRPr="006A1506">
              <w:rPr>
                <w:rFonts w:ascii="Times New Roman" w:hAnsi="Times New Roman" w:cs="Times New Roman"/>
              </w:rPr>
              <w:t>smaller companies</w:t>
            </w:r>
            <w:r w:rsidR="008F55CA" w:rsidRPr="006A1506">
              <w:rPr>
                <w:rFonts w:ascii="Times New Roman" w:hAnsi="Times New Roman" w:cs="Times New Roman"/>
              </w:rPr>
              <w:t>.</w:t>
            </w:r>
          </w:p>
        </w:tc>
        <w:tc>
          <w:tcPr>
            <w:tcW w:w="1440" w:type="dxa"/>
          </w:tcPr>
          <w:p w14:paraId="00A94F27" w14:textId="77777777" w:rsidR="002104D9"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 xml:space="preserve">Resistance from tobacco farmers, Thailand Tobacco Authority, and industry. </w:t>
            </w:r>
          </w:p>
          <w:p w14:paraId="753A775D" w14:textId="293F68EF"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Large price gap between cigarettes and RYO</w:t>
            </w:r>
          </w:p>
        </w:tc>
        <w:tc>
          <w:tcPr>
            <w:tcW w:w="2194" w:type="dxa"/>
          </w:tcPr>
          <w:p w14:paraId="6F049701" w14:textId="3708E774" w:rsidR="008249B3" w:rsidRPr="00C426E5" w:rsidRDefault="008249B3" w:rsidP="0063214B">
            <w:pPr>
              <w:pStyle w:val="ListParagraph"/>
              <w:numPr>
                <w:ilvl w:val="0"/>
                <w:numId w:val="1"/>
              </w:numPr>
              <w:ind w:left="241" w:hanging="180"/>
              <w:rPr>
                <w:rFonts w:ascii="Times New Roman" w:hAnsi="Times New Roman" w:cs="Times New Roman"/>
              </w:rPr>
            </w:pPr>
            <w:r w:rsidRPr="009850BD">
              <w:rPr>
                <w:rFonts w:ascii="Times New Roman" w:hAnsi="Times New Roman" w:cs="Times New Roman"/>
              </w:rPr>
              <w:t>WHO</w:t>
            </w:r>
            <w:r w:rsidRPr="00C426E5">
              <w:rPr>
                <w:rFonts w:ascii="Times New Roman" w:hAnsi="Times New Roman" w:cs="Times New Roman"/>
              </w:rPr>
              <w:t xml:space="preserve"> and </w:t>
            </w:r>
            <w:r w:rsidRPr="009850BD">
              <w:rPr>
                <w:rFonts w:ascii="Times New Roman" w:hAnsi="Times New Roman" w:cs="Times New Roman"/>
              </w:rPr>
              <w:t>UNDP</w:t>
            </w:r>
            <w:r w:rsidRPr="00C426E5">
              <w:rPr>
                <w:rFonts w:ascii="Times New Roman" w:hAnsi="Times New Roman" w:cs="Times New Roman"/>
              </w:rPr>
              <w:t xml:space="preserve"> to continue advocacy and provide technical support</w:t>
            </w:r>
          </w:p>
        </w:tc>
        <w:tc>
          <w:tcPr>
            <w:tcW w:w="2016" w:type="dxa"/>
          </w:tcPr>
          <w:p w14:paraId="1E21E3D2" w14:textId="3408285F" w:rsidR="008249B3"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M</w:t>
            </w:r>
            <w:r w:rsidR="004745B9">
              <w:rPr>
                <w:rFonts w:ascii="Times New Roman" w:hAnsi="Times New Roman" w:cs="Times New Roman"/>
              </w:rPr>
              <w:t>OF</w:t>
            </w:r>
          </w:p>
          <w:p w14:paraId="38018B05" w14:textId="29524445" w:rsidR="008F55CA" w:rsidRPr="00C426E5" w:rsidRDefault="008F55CA" w:rsidP="0063214B">
            <w:pPr>
              <w:pStyle w:val="ListParagraph"/>
              <w:numPr>
                <w:ilvl w:val="0"/>
                <w:numId w:val="1"/>
              </w:numPr>
              <w:ind w:left="104" w:hanging="141"/>
              <w:rPr>
                <w:rFonts w:ascii="Times New Roman" w:hAnsi="Times New Roman" w:cs="Times New Roman"/>
              </w:rPr>
            </w:pPr>
            <w:r>
              <w:rPr>
                <w:rFonts w:ascii="Times New Roman" w:hAnsi="Times New Roman" w:cs="Times New Roman"/>
              </w:rPr>
              <w:t>-</w:t>
            </w:r>
            <w:r w:rsidR="006A1506">
              <w:rPr>
                <w:rFonts w:ascii="Times New Roman" w:hAnsi="Times New Roman" w:cs="Times New Roman"/>
              </w:rPr>
              <w:t>MOPH</w:t>
            </w:r>
          </w:p>
          <w:p w14:paraId="152DBCD8" w14:textId="77777777" w:rsidR="008249B3" w:rsidRPr="00C426E5" w:rsidRDefault="008249B3" w:rsidP="004745B9">
            <w:pPr>
              <w:ind w:left="104" w:hanging="141"/>
              <w:rPr>
                <w:rFonts w:ascii="Times New Roman" w:hAnsi="Times New Roman" w:cs="Times New Roman"/>
              </w:rPr>
            </w:pPr>
          </w:p>
        </w:tc>
      </w:tr>
      <w:tr w:rsidR="008249B3" w:rsidRPr="00C426E5" w14:paraId="430EFC36" w14:textId="0130F189" w:rsidTr="00C426E5">
        <w:trPr>
          <w:cantSplit/>
        </w:trPr>
        <w:tc>
          <w:tcPr>
            <w:tcW w:w="694" w:type="dxa"/>
          </w:tcPr>
          <w:p w14:paraId="53C7FEB7" w14:textId="77777777" w:rsidR="008249B3" w:rsidRPr="00C426E5" w:rsidRDefault="008249B3" w:rsidP="001F13E0">
            <w:pPr>
              <w:jc w:val="center"/>
              <w:rPr>
                <w:rFonts w:ascii="Times New Roman" w:hAnsi="Times New Roman" w:cs="Times New Roman"/>
              </w:rPr>
            </w:pPr>
            <w:r w:rsidRPr="00C426E5">
              <w:rPr>
                <w:rFonts w:ascii="Times New Roman" w:hAnsi="Times New Roman" w:cs="Times New Roman"/>
              </w:rPr>
              <w:t>3.2</w:t>
            </w:r>
          </w:p>
        </w:tc>
        <w:tc>
          <w:tcPr>
            <w:tcW w:w="3071" w:type="dxa"/>
          </w:tcPr>
          <w:p w14:paraId="3A838FFE" w14:textId="77777777" w:rsidR="008249B3" w:rsidRPr="00C426E5" w:rsidRDefault="008249B3" w:rsidP="00A05BE2">
            <w:pPr>
              <w:rPr>
                <w:rFonts w:ascii="Times New Roman" w:eastAsiaTheme="majorEastAsia" w:hAnsi="Times New Roman" w:cs="Times New Roman"/>
                <w:lang w:val="en-US"/>
              </w:rPr>
            </w:pPr>
            <w:r w:rsidRPr="00C426E5">
              <w:rPr>
                <w:rFonts w:ascii="Times New Roman" w:eastAsiaTheme="majorEastAsia" w:hAnsi="Times New Roman" w:cs="Times New Roman"/>
              </w:rPr>
              <w:t>Implement ambitious year on year increases in tax on Sugar Sweetened Beverages (SSBs)</w:t>
            </w:r>
          </w:p>
        </w:tc>
        <w:tc>
          <w:tcPr>
            <w:tcW w:w="2715" w:type="dxa"/>
          </w:tcPr>
          <w:p w14:paraId="6437D11F" w14:textId="77777777"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SSB tax implemented as planned in 2017</w:t>
            </w:r>
          </w:p>
        </w:tc>
        <w:tc>
          <w:tcPr>
            <w:tcW w:w="3456" w:type="dxa"/>
          </w:tcPr>
          <w:p w14:paraId="4C5E87E6" w14:textId="53FDA5BC" w:rsidR="008249B3" w:rsidRPr="006A1506" w:rsidRDefault="008249B3" w:rsidP="0063214B">
            <w:pPr>
              <w:pStyle w:val="ListParagraph"/>
              <w:numPr>
                <w:ilvl w:val="0"/>
                <w:numId w:val="1"/>
              </w:numPr>
              <w:ind w:left="241" w:hanging="180"/>
              <w:rPr>
                <w:rFonts w:ascii="Times New Roman" w:hAnsi="Times New Roman" w:cs="Times New Roman"/>
              </w:rPr>
            </w:pPr>
            <w:r w:rsidRPr="006A1506">
              <w:rPr>
                <w:rFonts w:ascii="Times New Roman" w:hAnsi="Times New Roman" w:cs="Times New Roman"/>
              </w:rPr>
              <w:t xml:space="preserve">As per Excise Tax Act 2017, there was a further increase in tax on SSB from 1 October </w:t>
            </w:r>
            <w:r w:rsidR="00E1463D" w:rsidRPr="006A1506">
              <w:rPr>
                <w:rFonts w:ascii="Times New Roman" w:hAnsi="Times New Roman" w:cs="Times New Roman"/>
              </w:rPr>
              <w:t>2019</w:t>
            </w:r>
            <w:r w:rsidR="004571A1" w:rsidRPr="006A1506">
              <w:rPr>
                <w:rFonts w:ascii="Times New Roman" w:hAnsi="Times New Roman" w:cs="Times New Roman"/>
              </w:rPr>
              <w:t xml:space="preserve">. </w:t>
            </w:r>
          </w:p>
        </w:tc>
        <w:tc>
          <w:tcPr>
            <w:tcW w:w="1440" w:type="dxa"/>
          </w:tcPr>
          <w:p w14:paraId="61906323" w14:textId="05BF9F36" w:rsidR="008249B3" w:rsidRPr="00C426E5" w:rsidRDefault="008249B3" w:rsidP="00F31BA2">
            <w:pPr>
              <w:rPr>
                <w:rFonts w:ascii="Times New Roman" w:hAnsi="Times New Roman" w:cs="Times New Roman"/>
              </w:rPr>
            </w:pPr>
          </w:p>
        </w:tc>
        <w:tc>
          <w:tcPr>
            <w:tcW w:w="2194" w:type="dxa"/>
          </w:tcPr>
          <w:p w14:paraId="680AF73C" w14:textId="6BBE8FC1" w:rsidR="008249B3" w:rsidRPr="00C426E5" w:rsidRDefault="008249B3" w:rsidP="0063214B">
            <w:pPr>
              <w:pStyle w:val="ListParagraph"/>
              <w:numPr>
                <w:ilvl w:val="0"/>
                <w:numId w:val="1"/>
              </w:numPr>
              <w:ind w:left="241" w:hanging="180"/>
              <w:rPr>
                <w:rFonts w:ascii="Times New Roman" w:hAnsi="Times New Roman" w:cs="Times New Roman"/>
              </w:rPr>
            </w:pPr>
            <w:r w:rsidRPr="001F13E0">
              <w:rPr>
                <w:rFonts w:ascii="Times New Roman" w:hAnsi="Times New Roman" w:cs="Times New Roman"/>
              </w:rPr>
              <w:t>WHO, FAO</w:t>
            </w:r>
            <w:r w:rsidRPr="00C426E5">
              <w:rPr>
                <w:rFonts w:ascii="Times New Roman" w:hAnsi="Times New Roman" w:cs="Times New Roman"/>
              </w:rPr>
              <w:t xml:space="preserve"> and </w:t>
            </w:r>
            <w:r w:rsidRPr="001F13E0">
              <w:rPr>
                <w:rFonts w:ascii="Times New Roman" w:hAnsi="Times New Roman" w:cs="Times New Roman"/>
              </w:rPr>
              <w:t>WFP</w:t>
            </w:r>
            <w:r w:rsidRPr="00C426E5">
              <w:rPr>
                <w:rFonts w:ascii="Times New Roman" w:hAnsi="Times New Roman" w:cs="Times New Roman"/>
              </w:rPr>
              <w:t xml:space="preserve"> to continue advocacy and provide technical support</w:t>
            </w:r>
          </w:p>
        </w:tc>
        <w:tc>
          <w:tcPr>
            <w:tcW w:w="2016" w:type="dxa"/>
          </w:tcPr>
          <w:p w14:paraId="0BE1C0E3" w14:textId="77777777" w:rsidR="008249B3"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M</w:t>
            </w:r>
            <w:r w:rsidR="001F13E0">
              <w:rPr>
                <w:rFonts w:ascii="Times New Roman" w:hAnsi="Times New Roman" w:cs="Times New Roman"/>
              </w:rPr>
              <w:t>O</w:t>
            </w:r>
            <w:r w:rsidRPr="00C426E5">
              <w:rPr>
                <w:rFonts w:ascii="Times New Roman" w:hAnsi="Times New Roman" w:cs="Times New Roman"/>
              </w:rPr>
              <w:t>F</w:t>
            </w:r>
          </w:p>
          <w:p w14:paraId="07BB99FC" w14:textId="44CC0EE3" w:rsidR="008F55CA" w:rsidRPr="00C426E5" w:rsidRDefault="006A1506" w:rsidP="0063214B">
            <w:pPr>
              <w:pStyle w:val="ListParagraph"/>
              <w:numPr>
                <w:ilvl w:val="0"/>
                <w:numId w:val="1"/>
              </w:numPr>
              <w:ind w:left="104" w:hanging="141"/>
              <w:rPr>
                <w:rFonts w:ascii="Times New Roman" w:hAnsi="Times New Roman" w:cs="Times New Roman"/>
              </w:rPr>
            </w:pPr>
            <w:r>
              <w:rPr>
                <w:rFonts w:ascii="Times New Roman" w:hAnsi="Times New Roman" w:cs="Times New Roman"/>
              </w:rPr>
              <w:t>MOPH</w:t>
            </w:r>
          </w:p>
        </w:tc>
      </w:tr>
      <w:tr w:rsidR="008249B3" w:rsidRPr="00C426E5" w14:paraId="2C333B4C" w14:textId="46CBD8F9" w:rsidTr="00C426E5">
        <w:trPr>
          <w:cantSplit/>
          <w:trHeight w:val="1651"/>
        </w:trPr>
        <w:tc>
          <w:tcPr>
            <w:tcW w:w="694" w:type="dxa"/>
          </w:tcPr>
          <w:p w14:paraId="30EE8F24" w14:textId="77777777" w:rsidR="008249B3" w:rsidRPr="00C426E5" w:rsidRDefault="008249B3" w:rsidP="0063214B">
            <w:pPr>
              <w:jc w:val="center"/>
              <w:rPr>
                <w:rFonts w:ascii="Times New Roman" w:hAnsi="Times New Roman" w:cs="Times New Roman"/>
              </w:rPr>
            </w:pPr>
            <w:r w:rsidRPr="00C426E5">
              <w:rPr>
                <w:rFonts w:ascii="Times New Roman" w:hAnsi="Times New Roman" w:cs="Times New Roman"/>
              </w:rPr>
              <w:lastRenderedPageBreak/>
              <w:t>3.3</w:t>
            </w:r>
          </w:p>
        </w:tc>
        <w:tc>
          <w:tcPr>
            <w:tcW w:w="3071" w:type="dxa"/>
          </w:tcPr>
          <w:p w14:paraId="4AF624A8" w14:textId="77777777" w:rsidR="008249B3" w:rsidRPr="00C426E5" w:rsidRDefault="008249B3" w:rsidP="00A05BE2">
            <w:pPr>
              <w:autoSpaceDE w:val="0"/>
              <w:autoSpaceDN w:val="0"/>
              <w:adjustRightInd w:val="0"/>
              <w:rPr>
                <w:rFonts w:ascii="Times New Roman" w:eastAsiaTheme="majorEastAsia" w:hAnsi="Times New Roman" w:cs="Times New Roman"/>
                <w:spacing w:val="-4"/>
                <w:lang w:val="en-US"/>
              </w:rPr>
            </w:pPr>
            <w:r w:rsidRPr="00C426E5">
              <w:rPr>
                <w:rFonts w:ascii="Times New Roman" w:eastAsiaTheme="majorEastAsia" w:hAnsi="Times New Roman" w:cs="Times New Roman"/>
                <w:spacing w:val="-4"/>
              </w:rPr>
              <w:t>Sustain innovative financing mechanisms from tobacco, alcohol and SSBs for NCD prevention and control, including the Thai Health Promotion Foundation, health promotion fund of the NHSO and local government health budgets</w:t>
            </w:r>
          </w:p>
        </w:tc>
        <w:tc>
          <w:tcPr>
            <w:tcW w:w="2715" w:type="dxa"/>
          </w:tcPr>
          <w:p w14:paraId="5FE90CEF" w14:textId="77777777"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Additional model for innovative financing developed</w:t>
            </w:r>
            <w:r w:rsidRPr="00C426E5">
              <w:rPr>
                <w:rFonts w:ascii="Times New Roman" w:hAnsi="Times New Roman" w:cs="Times New Roman"/>
                <w:cs/>
                <w:lang w:bidi="th-TH"/>
              </w:rPr>
              <w:t xml:space="preserve"> </w:t>
            </w:r>
            <w:r w:rsidRPr="00C426E5">
              <w:rPr>
                <w:rFonts w:ascii="Times New Roman" w:hAnsi="Times New Roman" w:cs="Times New Roman"/>
              </w:rPr>
              <w:t>(e.g. Bangkok Metropolitan Administration tax on cigarette)</w:t>
            </w:r>
          </w:p>
        </w:tc>
        <w:tc>
          <w:tcPr>
            <w:tcW w:w="3456" w:type="dxa"/>
          </w:tcPr>
          <w:p w14:paraId="74D2AA8E" w14:textId="65C78AF4"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 xml:space="preserve">Innovative financing mechanisms from sin tax for health promotion is continuing </w:t>
            </w:r>
          </w:p>
          <w:p w14:paraId="0AA206BE" w14:textId="703940FA"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No specific action so far by the Bangkok Metropolitan Administration tax on cigarette</w:t>
            </w:r>
            <w:r w:rsidR="002B6A5C">
              <w:rPr>
                <w:rFonts w:ascii="Times New Roman" w:hAnsi="Times New Roman" w:cs="Times New Roman"/>
              </w:rPr>
              <w:t>s</w:t>
            </w:r>
          </w:p>
        </w:tc>
        <w:tc>
          <w:tcPr>
            <w:tcW w:w="1440" w:type="dxa"/>
          </w:tcPr>
          <w:p w14:paraId="04E9594E" w14:textId="76463DED" w:rsidR="008249B3" w:rsidRPr="00C426E5" w:rsidRDefault="008249B3" w:rsidP="007E00AF">
            <w:pPr>
              <w:pStyle w:val="ListParagraph"/>
              <w:ind w:left="104"/>
              <w:rPr>
                <w:rFonts w:ascii="Times New Roman" w:hAnsi="Times New Roman" w:cs="Times New Roman"/>
              </w:rPr>
            </w:pPr>
          </w:p>
        </w:tc>
        <w:tc>
          <w:tcPr>
            <w:tcW w:w="2194" w:type="dxa"/>
          </w:tcPr>
          <w:p w14:paraId="0713B43F" w14:textId="106A6009" w:rsidR="008249B3" w:rsidRPr="001F13E0" w:rsidRDefault="008249B3" w:rsidP="0063214B">
            <w:pPr>
              <w:pStyle w:val="ListParagraph"/>
              <w:numPr>
                <w:ilvl w:val="0"/>
                <w:numId w:val="1"/>
              </w:numPr>
              <w:ind w:left="241" w:hanging="180"/>
              <w:rPr>
                <w:rFonts w:ascii="Times New Roman" w:hAnsi="Times New Roman" w:cs="Times New Roman"/>
              </w:rPr>
            </w:pPr>
            <w:r w:rsidRPr="001F13E0">
              <w:rPr>
                <w:rFonts w:ascii="Times New Roman" w:hAnsi="Times New Roman" w:cs="Times New Roman"/>
              </w:rPr>
              <w:t>UNDP</w:t>
            </w:r>
          </w:p>
        </w:tc>
        <w:tc>
          <w:tcPr>
            <w:tcW w:w="2016" w:type="dxa"/>
          </w:tcPr>
          <w:p w14:paraId="19F67D20" w14:textId="63640263" w:rsidR="008249B3" w:rsidRPr="00C426E5" w:rsidRDefault="006A1506" w:rsidP="0063214B">
            <w:pPr>
              <w:pStyle w:val="ListParagraph"/>
              <w:numPr>
                <w:ilvl w:val="0"/>
                <w:numId w:val="1"/>
              </w:numPr>
              <w:ind w:left="104" w:hanging="141"/>
              <w:rPr>
                <w:rFonts w:ascii="Times New Roman" w:hAnsi="Times New Roman" w:cs="Times New Roman"/>
              </w:rPr>
            </w:pPr>
            <w:r>
              <w:rPr>
                <w:rFonts w:ascii="Times New Roman" w:hAnsi="Times New Roman" w:cs="Times New Roman"/>
              </w:rPr>
              <w:t>MOPH</w:t>
            </w:r>
          </w:p>
          <w:p w14:paraId="202AFCDC" w14:textId="7DCD108B" w:rsidR="008249B3" w:rsidRPr="00C426E5"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Ministry of Interior</w:t>
            </w:r>
          </w:p>
        </w:tc>
      </w:tr>
      <w:tr w:rsidR="008249B3" w:rsidRPr="00C426E5" w14:paraId="6038E9FE" w14:textId="2937C49F" w:rsidTr="00C426E5">
        <w:trPr>
          <w:cantSplit/>
        </w:trPr>
        <w:tc>
          <w:tcPr>
            <w:tcW w:w="694" w:type="dxa"/>
          </w:tcPr>
          <w:p w14:paraId="44768F00" w14:textId="77777777" w:rsidR="008249B3" w:rsidRPr="00C426E5" w:rsidRDefault="008249B3" w:rsidP="0063214B">
            <w:pPr>
              <w:jc w:val="center"/>
              <w:rPr>
                <w:rFonts w:ascii="Times New Roman" w:hAnsi="Times New Roman" w:cs="Times New Roman"/>
              </w:rPr>
            </w:pPr>
            <w:r w:rsidRPr="00C426E5">
              <w:rPr>
                <w:rFonts w:ascii="Times New Roman" w:hAnsi="Times New Roman" w:cs="Times New Roman"/>
              </w:rPr>
              <w:t>3.4</w:t>
            </w:r>
          </w:p>
        </w:tc>
        <w:tc>
          <w:tcPr>
            <w:tcW w:w="3071" w:type="dxa"/>
          </w:tcPr>
          <w:p w14:paraId="1358DC47" w14:textId="77777777" w:rsidR="008249B3" w:rsidRPr="00983219" w:rsidRDefault="008249B3" w:rsidP="00C50841">
            <w:pPr>
              <w:rPr>
                <w:rFonts w:ascii="Times New Roman" w:eastAsiaTheme="majorEastAsia" w:hAnsi="Times New Roman" w:cs="Times New Roman"/>
                <w:lang w:val="en-US"/>
              </w:rPr>
            </w:pPr>
            <w:r w:rsidRPr="00983219">
              <w:rPr>
                <w:rFonts w:ascii="Times New Roman" w:eastAsiaTheme="majorEastAsia" w:hAnsi="Times New Roman" w:cs="Times New Roman"/>
              </w:rPr>
              <w:t>Increase the availability of regular budgets for health promotion from all line ministries as well as from local governments for the prevention and control of NCDs</w:t>
            </w:r>
          </w:p>
        </w:tc>
        <w:tc>
          <w:tcPr>
            <w:tcW w:w="2715" w:type="dxa"/>
          </w:tcPr>
          <w:p w14:paraId="59DA5228" w14:textId="2A983B67"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 xml:space="preserve">At least two models in place where government ministries use their regular budgets for health promotion for their target population </w:t>
            </w:r>
          </w:p>
        </w:tc>
        <w:tc>
          <w:tcPr>
            <w:tcW w:w="3456" w:type="dxa"/>
          </w:tcPr>
          <w:p w14:paraId="66C79C95" w14:textId="5880D611"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 xml:space="preserve">The local administrative offices partially support local </w:t>
            </w:r>
            <w:proofErr w:type="spellStart"/>
            <w:r w:rsidRPr="00C426E5">
              <w:rPr>
                <w:rFonts w:ascii="Times New Roman" w:hAnsi="Times New Roman" w:cs="Times New Roman"/>
              </w:rPr>
              <w:t>Tumbol</w:t>
            </w:r>
            <w:proofErr w:type="spellEnd"/>
            <w:r w:rsidRPr="00C426E5">
              <w:rPr>
                <w:rFonts w:ascii="Times New Roman" w:hAnsi="Times New Roman" w:cs="Times New Roman"/>
              </w:rPr>
              <w:t xml:space="preserve"> Health Funds. </w:t>
            </w:r>
          </w:p>
          <w:p w14:paraId="278EBD92" w14:textId="7294B78F"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 xml:space="preserve">There is no health promotion budget allocated from the other allied ministries for the targeted population, </w:t>
            </w:r>
            <w:r w:rsidR="004571A1">
              <w:rPr>
                <w:rFonts w:ascii="Times New Roman" w:hAnsi="Times New Roman" w:cs="Times New Roman"/>
              </w:rPr>
              <w:t>because of</w:t>
            </w:r>
            <w:r w:rsidRPr="00C426E5">
              <w:rPr>
                <w:rFonts w:ascii="Times New Roman" w:hAnsi="Times New Roman" w:cs="Times New Roman"/>
              </w:rPr>
              <w:t xml:space="preserve"> financial regulations of the non-health ministries and government agencies.</w:t>
            </w:r>
          </w:p>
        </w:tc>
        <w:tc>
          <w:tcPr>
            <w:tcW w:w="1440" w:type="dxa"/>
          </w:tcPr>
          <w:p w14:paraId="2A0B593D" w14:textId="265DC473" w:rsidR="008249B3" w:rsidRPr="00C426E5" w:rsidRDefault="008249B3" w:rsidP="007E00AF">
            <w:pPr>
              <w:pStyle w:val="ListParagraph"/>
              <w:ind w:left="104"/>
              <w:rPr>
                <w:rFonts w:ascii="Times New Roman" w:hAnsi="Times New Roman" w:cs="Times New Roman"/>
              </w:rPr>
            </w:pPr>
          </w:p>
        </w:tc>
        <w:tc>
          <w:tcPr>
            <w:tcW w:w="2194" w:type="dxa"/>
          </w:tcPr>
          <w:p w14:paraId="106B52C7" w14:textId="5BF2F4D6" w:rsidR="008249B3" w:rsidRPr="00C426E5" w:rsidRDefault="008249B3" w:rsidP="0063214B">
            <w:pPr>
              <w:pStyle w:val="ListParagraph"/>
              <w:numPr>
                <w:ilvl w:val="0"/>
                <w:numId w:val="1"/>
              </w:numPr>
              <w:ind w:left="241" w:hanging="180"/>
              <w:rPr>
                <w:rFonts w:ascii="Times New Roman" w:hAnsi="Times New Roman" w:cs="Times New Roman"/>
              </w:rPr>
            </w:pPr>
            <w:r w:rsidRPr="001F13E0">
              <w:rPr>
                <w:rFonts w:ascii="Times New Roman" w:hAnsi="Times New Roman" w:cs="Times New Roman"/>
              </w:rPr>
              <w:t xml:space="preserve">UNFPA </w:t>
            </w:r>
            <w:r w:rsidRPr="00C426E5">
              <w:rPr>
                <w:rFonts w:ascii="Times New Roman" w:hAnsi="Times New Roman" w:cs="Times New Roman"/>
              </w:rPr>
              <w:t xml:space="preserve">and </w:t>
            </w:r>
            <w:r w:rsidRPr="001F13E0">
              <w:rPr>
                <w:rFonts w:ascii="Times New Roman" w:hAnsi="Times New Roman" w:cs="Times New Roman"/>
              </w:rPr>
              <w:t>WHO</w:t>
            </w:r>
            <w:r w:rsidRPr="00C426E5">
              <w:rPr>
                <w:rFonts w:ascii="Times New Roman" w:hAnsi="Times New Roman" w:cs="Times New Roman"/>
              </w:rPr>
              <w:t xml:space="preserve"> to carry out joint advocacy</w:t>
            </w:r>
          </w:p>
        </w:tc>
        <w:tc>
          <w:tcPr>
            <w:tcW w:w="2016" w:type="dxa"/>
          </w:tcPr>
          <w:p w14:paraId="00535910" w14:textId="3F009BB5" w:rsidR="008249B3" w:rsidRPr="00C426E5"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Relevant government agencies</w:t>
            </w:r>
          </w:p>
          <w:p w14:paraId="188C7A34" w14:textId="77777777" w:rsidR="008249B3" w:rsidRPr="00C426E5" w:rsidRDefault="008249B3" w:rsidP="00F31BA2">
            <w:pPr>
              <w:rPr>
                <w:rFonts w:ascii="Times New Roman" w:hAnsi="Times New Roman" w:cs="Times New Roman"/>
              </w:rPr>
            </w:pPr>
          </w:p>
        </w:tc>
      </w:tr>
    </w:tbl>
    <w:p w14:paraId="5935C890" w14:textId="40D0AFBF" w:rsidR="00A130EE" w:rsidRDefault="00A130EE"/>
    <w:p w14:paraId="20F3064F" w14:textId="77777777" w:rsidR="00A130EE" w:rsidRDefault="00A130EE">
      <w:r>
        <w:br w:type="page"/>
      </w:r>
    </w:p>
    <w:tbl>
      <w:tblPr>
        <w:tblStyle w:val="TableGrid"/>
        <w:tblW w:w="15750" w:type="dxa"/>
        <w:tblInd w:w="-815" w:type="dxa"/>
        <w:tblLayout w:type="fixed"/>
        <w:tblCellMar>
          <w:top w:w="72" w:type="dxa"/>
          <w:left w:w="72" w:type="dxa"/>
          <w:bottom w:w="72" w:type="dxa"/>
          <w:right w:w="72" w:type="dxa"/>
        </w:tblCellMar>
        <w:tblLook w:val="04A0" w:firstRow="1" w:lastRow="0" w:firstColumn="1" w:lastColumn="0" w:noHBand="0" w:noVBand="1"/>
      </w:tblPr>
      <w:tblGrid>
        <w:gridCol w:w="694"/>
        <w:gridCol w:w="3071"/>
        <w:gridCol w:w="2715"/>
        <w:gridCol w:w="3456"/>
        <w:gridCol w:w="1584"/>
        <w:gridCol w:w="2050"/>
        <w:gridCol w:w="2180"/>
      </w:tblGrid>
      <w:tr w:rsidR="006B4C32" w:rsidRPr="00C426E5" w14:paraId="0E19D60C" w14:textId="77777777" w:rsidTr="002B6A5C">
        <w:trPr>
          <w:cantSplit/>
          <w:trHeight w:val="864"/>
          <w:tblHeader/>
        </w:trPr>
        <w:tc>
          <w:tcPr>
            <w:tcW w:w="694" w:type="dxa"/>
            <w:shd w:val="clear" w:color="auto" w:fill="DBE5F1" w:themeFill="accent1" w:themeFillTint="33"/>
            <w:vAlign w:val="center"/>
          </w:tcPr>
          <w:p w14:paraId="5005594D" w14:textId="77777777" w:rsidR="006B4C32" w:rsidRPr="00C426E5" w:rsidRDefault="006B4C32" w:rsidP="00931293">
            <w:pPr>
              <w:jc w:val="center"/>
              <w:rPr>
                <w:rFonts w:ascii="Times New Roman" w:hAnsi="Times New Roman" w:cs="Times New Roman"/>
                <w:b/>
                <w:bCs/>
              </w:rPr>
            </w:pPr>
            <w:r w:rsidRPr="00C426E5">
              <w:rPr>
                <w:rFonts w:ascii="Times New Roman" w:hAnsi="Times New Roman" w:cs="Times New Roman"/>
                <w:b/>
                <w:bCs/>
              </w:rPr>
              <w:lastRenderedPageBreak/>
              <w:t>S.N.</w:t>
            </w:r>
          </w:p>
        </w:tc>
        <w:tc>
          <w:tcPr>
            <w:tcW w:w="3071" w:type="dxa"/>
            <w:shd w:val="clear" w:color="auto" w:fill="DBE5F1" w:themeFill="accent1" w:themeFillTint="33"/>
            <w:vAlign w:val="center"/>
          </w:tcPr>
          <w:p w14:paraId="783FD116" w14:textId="77777777" w:rsidR="006B4C32" w:rsidRPr="00C426E5" w:rsidRDefault="006B4C32" w:rsidP="00931293">
            <w:pPr>
              <w:jc w:val="center"/>
              <w:rPr>
                <w:rFonts w:ascii="Times New Roman" w:hAnsi="Times New Roman" w:cs="Times New Roman"/>
                <w:b/>
                <w:bCs/>
              </w:rPr>
            </w:pPr>
            <w:r w:rsidRPr="00C426E5">
              <w:rPr>
                <w:rFonts w:ascii="Times New Roman" w:hAnsi="Times New Roman" w:cs="Times New Roman"/>
                <w:b/>
                <w:bCs/>
              </w:rPr>
              <w:t>Recommendations</w:t>
            </w:r>
          </w:p>
        </w:tc>
        <w:tc>
          <w:tcPr>
            <w:tcW w:w="2715" w:type="dxa"/>
            <w:shd w:val="clear" w:color="auto" w:fill="DBE5F1" w:themeFill="accent1" w:themeFillTint="33"/>
            <w:vAlign w:val="center"/>
          </w:tcPr>
          <w:p w14:paraId="43452B55" w14:textId="77777777" w:rsidR="006B4C32" w:rsidRPr="00C426E5" w:rsidRDefault="006B4C32" w:rsidP="00931293">
            <w:pPr>
              <w:jc w:val="center"/>
              <w:rPr>
                <w:rFonts w:ascii="Times New Roman" w:hAnsi="Times New Roman" w:cs="Times New Roman"/>
                <w:b/>
                <w:bCs/>
              </w:rPr>
            </w:pPr>
            <w:r w:rsidRPr="00C426E5">
              <w:rPr>
                <w:rFonts w:ascii="Times New Roman" w:hAnsi="Times New Roman" w:cs="Times New Roman"/>
                <w:b/>
                <w:bCs/>
              </w:rPr>
              <w:t>Proposed expected outcomes</w:t>
            </w:r>
          </w:p>
        </w:tc>
        <w:tc>
          <w:tcPr>
            <w:tcW w:w="3456" w:type="dxa"/>
            <w:shd w:val="clear" w:color="auto" w:fill="DBE5F1" w:themeFill="accent1" w:themeFillTint="33"/>
            <w:vAlign w:val="center"/>
          </w:tcPr>
          <w:p w14:paraId="4F9C3CE9" w14:textId="77777777" w:rsidR="006B4C32" w:rsidRPr="00C426E5" w:rsidRDefault="006B4C32" w:rsidP="00931293">
            <w:pPr>
              <w:jc w:val="center"/>
              <w:rPr>
                <w:rFonts w:ascii="Times New Roman" w:hAnsi="Times New Roman" w:cs="Times New Roman"/>
                <w:b/>
                <w:bCs/>
                <w:lang w:bidi="th-TH"/>
              </w:rPr>
            </w:pPr>
            <w:r w:rsidRPr="00C426E5">
              <w:rPr>
                <w:rFonts w:ascii="Times New Roman" w:hAnsi="Times New Roman" w:cs="Times New Roman"/>
                <w:b/>
                <w:bCs/>
              </w:rPr>
              <w:t>Current</w:t>
            </w:r>
            <w:r w:rsidRPr="00C426E5">
              <w:rPr>
                <w:rFonts w:ascii="Times New Roman" w:hAnsi="Times New Roman" w:cs="Times New Roman"/>
                <w:b/>
                <w:bCs/>
                <w:cs/>
                <w:lang w:bidi="th-TH"/>
              </w:rPr>
              <w:t xml:space="preserve"> </w:t>
            </w:r>
            <w:r w:rsidRPr="00C426E5">
              <w:rPr>
                <w:rFonts w:ascii="Times New Roman" w:hAnsi="Times New Roman" w:cs="Times New Roman"/>
                <w:b/>
                <w:bCs/>
                <w:lang w:bidi="th-TH"/>
              </w:rPr>
              <w:t>situation</w:t>
            </w:r>
          </w:p>
        </w:tc>
        <w:tc>
          <w:tcPr>
            <w:tcW w:w="1584" w:type="dxa"/>
            <w:shd w:val="clear" w:color="auto" w:fill="DBE5F1" w:themeFill="accent1" w:themeFillTint="33"/>
            <w:vAlign w:val="center"/>
          </w:tcPr>
          <w:p w14:paraId="37D9991A" w14:textId="77777777" w:rsidR="006B4C32" w:rsidRPr="00C426E5" w:rsidRDefault="006B4C32" w:rsidP="00931293">
            <w:pPr>
              <w:jc w:val="center"/>
              <w:rPr>
                <w:rFonts w:ascii="Times New Roman" w:hAnsi="Times New Roman" w:cs="Times New Roman"/>
                <w:b/>
                <w:bCs/>
              </w:rPr>
            </w:pPr>
            <w:r w:rsidRPr="00C426E5">
              <w:rPr>
                <w:rFonts w:ascii="Times New Roman" w:hAnsi="Times New Roman" w:cs="Times New Roman"/>
                <w:b/>
                <w:bCs/>
              </w:rPr>
              <w:t>Challenges/</w:t>
            </w:r>
          </w:p>
          <w:p w14:paraId="31D347D9" w14:textId="77777777" w:rsidR="006B4C32" w:rsidRPr="00C426E5" w:rsidRDefault="006B4C32" w:rsidP="00931293">
            <w:pPr>
              <w:jc w:val="center"/>
              <w:rPr>
                <w:rFonts w:ascii="Times New Roman" w:hAnsi="Times New Roman" w:cs="Times New Roman"/>
                <w:b/>
                <w:bCs/>
              </w:rPr>
            </w:pPr>
            <w:r w:rsidRPr="00C426E5">
              <w:rPr>
                <w:rFonts w:ascii="Times New Roman" w:hAnsi="Times New Roman" w:cs="Times New Roman"/>
                <w:b/>
                <w:bCs/>
              </w:rPr>
              <w:t>bottlenecks</w:t>
            </w:r>
          </w:p>
        </w:tc>
        <w:tc>
          <w:tcPr>
            <w:tcW w:w="2050" w:type="dxa"/>
            <w:shd w:val="clear" w:color="auto" w:fill="DBE5F1" w:themeFill="accent1" w:themeFillTint="33"/>
            <w:vAlign w:val="center"/>
          </w:tcPr>
          <w:p w14:paraId="11781BAA" w14:textId="77777777" w:rsidR="006B4C32" w:rsidRPr="00C426E5" w:rsidRDefault="006B4C32" w:rsidP="00931293">
            <w:pPr>
              <w:jc w:val="center"/>
              <w:rPr>
                <w:rFonts w:ascii="Times New Roman" w:hAnsi="Times New Roman" w:cs="Times New Roman"/>
                <w:b/>
                <w:bCs/>
              </w:rPr>
            </w:pPr>
            <w:r w:rsidRPr="00C426E5">
              <w:rPr>
                <w:rFonts w:ascii="Times New Roman" w:hAnsi="Times New Roman" w:cs="Times New Roman"/>
                <w:b/>
                <w:bCs/>
              </w:rPr>
              <w:t>Support required from UN agencies</w:t>
            </w:r>
          </w:p>
        </w:tc>
        <w:tc>
          <w:tcPr>
            <w:tcW w:w="2180" w:type="dxa"/>
            <w:shd w:val="clear" w:color="auto" w:fill="DBE5F1" w:themeFill="accent1" w:themeFillTint="33"/>
            <w:vAlign w:val="center"/>
          </w:tcPr>
          <w:p w14:paraId="47C9F557" w14:textId="77777777" w:rsidR="006B4C32" w:rsidRPr="00C426E5" w:rsidRDefault="006B4C32" w:rsidP="00931293">
            <w:pPr>
              <w:jc w:val="center"/>
              <w:rPr>
                <w:rFonts w:ascii="Times New Roman" w:hAnsi="Times New Roman" w:cs="Times New Roman"/>
                <w:b/>
                <w:bCs/>
                <w:lang w:val="en-US" w:bidi="th-TH"/>
              </w:rPr>
            </w:pPr>
            <w:r w:rsidRPr="00C426E5">
              <w:rPr>
                <w:rFonts w:ascii="Times New Roman" w:hAnsi="Times New Roman" w:cs="Times New Roman"/>
                <w:b/>
                <w:bCs/>
                <w:lang w:val="en-US" w:bidi="th-TH"/>
              </w:rPr>
              <w:t xml:space="preserve">Government agencies and </w:t>
            </w:r>
          </w:p>
          <w:p w14:paraId="29D5E75E" w14:textId="77777777" w:rsidR="006B4C32" w:rsidRPr="00C426E5" w:rsidRDefault="006B4C32" w:rsidP="00931293">
            <w:pPr>
              <w:jc w:val="center"/>
              <w:rPr>
                <w:rFonts w:ascii="Times New Roman" w:hAnsi="Times New Roman" w:cs="Times New Roman"/>
                <w:b/>
                <w:bCs/>
                <w:lang w:val="en-US" w:bidi="th-TH"/>
              </w:rPr>
            </w:pPr>
            <w:r w:rsidRPr="00C426E5">
              <w:rPr>
                <w:rFonts w:ascii="Times New Roman" w:hAnsi="Times New Roman" w:cs="Times New Roman"/>
                <w:b/>
                <w:bCs/>
                <w:lang w:val="en-US" w:bidi="th-TH"/>
              </w:rPr>
              <w:t>Thai counterparts</w:t>
            </w:r>
          </w:p>
        </w:tc>
      </w:tr>
      <w:tr w:rsidR="00A130EE" w:rsidRPr="00A130EE" w14:paraId="5C1A5DD1" w14:textId="77777777" w:rsidTr="009F5932">
        <w:trPr>
          <w:cantSplit/>
          <w:trHeight w:val="432"/>
        </w:trPr>
        <w:tc>
          <w:tcPr>
            <w:tcW w:w="15750" w:type="dxa"/>
            <w:gridSpan w:val="7"/>
            <w:shd w:val="clear" w:color="auto" w:fill="F2F2F2" w:themeFill="background1" w:themeFillShade="F2"/>
            <w:vAlign w:val="center"/>
          </w:tcPr>
          <w:p w14:paraId="4F49C514" w14:textId="161F2873" w:rsidR="00A130EE" w:rsidRPr="00A130EE" w:rsidRDefault="00A130EE" w:rsidP="0063214B">
            <w:pPr>
              <w:pStyle w:val="ListParagraph"/>
              <w:numPr>
                <w:ilvl w:val="0"/>
                <w:numId w:val="2"/>
              </w:numPr>
              <w:autoSpaceDE w:val="0"/>
              <w:autoSpaceDN w:val="0"/>
              <w:adjustRightInd w:val="0"/>
              <w:rPr>
                <w:rFonts w:ascii="Times New Roman" w:eastAsiaTheme="majorEastAsia" w:hAnsi="Times New Roman" w:cs="Times New Roman"/>
                <w:b/>
                <w:bCs/>
                <w:spacing w:val="-2"/>
                <w:lang w:val="en-US"/>
              </w:rPr>
            </w:pPr>
            <w:r w:rsidRPr="00A130EE">
              <w:rPr>
                <w:rFonts w:ascii="Times New Roman" w:eastAsiaTheme="majorEastAsia" w:hAnsi="Times New Roman" w:cs="Times New Roman"/>
                <w:b/>
                <w:bCs/>
                <w:spacing w:val="-2"/>
                <w:lang w:val="en-US"/>
              </w:rPr>
              <w:t>Intensify NCD-related regulations and their enforcement.</w:t>
            </w:r>
          </w:p>
        </w:tc>
      </w:tr>
      <w:tr w:rsidR="008249B3" w:rsidRPr="00C426E5" w14:paraId="21AF6157" w14:textId="0503E5CE" w:rsidTr="006A1506">
        <w:trPr>
          <w:cantSplit/>
        </w:trPr>
        <w:tc>
          <w:tcPr>
            <w:tcW w:w="694" w:type="dxa"/>
          </w:tcPr>
          <w:p w14:paraId="3CBA2362" w14:textId="77777777" w:rsidR="008249B3" w:rsidRPr="00C426E5" w:rsidRDefault="008249B3" w:rsidP="0063214B">
            <w:pPr>
              <w:jc w:val="center"/>
              <w:rPr>
                <w:rFonts w:ascii="Times New Roman" w:hAnsi="Times New Roman" w:cs="Times New Roman"/>
              </w:rPr>
            </w:pPr>
            <w:r w:rsidRPr="00C426E5">
              <w:rPr>
                <w:rFonts w:ascii="Times New Roman" w:hAnsi="Times New Roman" w:cs="Times New Roman"/>
              </w:rPr>
              <w:t>4.1</w:t>
            </w:r>
          </w:p>
        </w:tc>
        <w:tc>
          <w:tcPr>
            <w:tcW w:w="3071" w:type="dxa"/>
          </w:tcPr>
          <w:p w14:paraId="4BEC45D6" w14:textId="77777777" w:rsidR="008249B3" w:rsidRPr="00C426E5" w:rsidRDefault="008249B3" w:rsidP="00C50841">
            <w:pPr>
              <w:autoSpaceDE w:val="0"/>
              <w:autoSpaceDN w:val="0"/>
              <w:adjustRightInd w:val="0"/>
              <w:rPr>
                <w:rFonts w:ascii="Times New Roman" w:eastAsiaTheme="majorEastAsia" w:hAnsi="Times New Roman" w:cs="Times New Roman"/>
                <w:lang w:val="en-US"/>
              </w:rPr>
            </w:pPr>
            <w:r w:rsidRPr="00C426E5">
              <w:rPr>
                <w:rFonts w:ascii="Times New Roman" w:eastAsiaTheme="majorEastAsia" w:hAnsi="Times New Roman" w:cs="Times New Roman"/>
              </w:rPr>
              <w:t>Accelerate enforcement of NCD-related regulations at local levels, particularly actions by provincial tobacco and alcohol control committees</w:t>
            </w:r>
          </w:p>
          <w:p w14:paraId="423FF769" w14:textId="77777777" w:rsidR="008249B3" w:rsidRPr="00C426E5" w:rsidRDefault="008249B3" w:rsidP="00C50841">
            <w:pPr>
              <w:autoSpaceDE w:val="0"/>
              <w:autoSpaceDN w:val="0"/>
              <w:adjustRightInd w:val="0"/>
              <w:rPr>
                <w:rFonts w:ascii="Times New Roman" w:eastAsiaTheme="majorEastAsia" w:hAnsi="Times New Roman" w:cs="Times New Roman"/>
                <w:lang w:val="en-US"/>
              </w:rPr>
            </w:pPr>
          </w:p>
          <w:p w14:paraId="2B035ABA" w14:textId="77777777" w:rsidR="008249B3" w:rsidRPr="00C426E5" w:rsidRDefault="008249B3" w:rsidP="00C50841">
            <w:pPr>
              <w:rPr>
                <w:rFonts w:ascii="Times New Roman" w:eastAsiaTheme="majorEastAsia" w:hAnsi="Times New Roman" w:cs="Times New Roman"/>
              </w:rPr>
            </w:pPr>
          </w:p>
        </w:tc>
        <w:tc>
          <w:tcPr>
            <w:tcW w:w="2715" w:type="dxa"/>
          </w:tcPr>
          <w:p w14:paraId="3ABC5468" w14:textId="77777777"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Designate at least one full time dedicated person at provincial level to co-ordinate the implementation of tobacco and alcohol control plans</w:t>
            </w:r>
          </w:p>
          <w:p w14:paraId="605F2ADC" w14:textId="77777777"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Annual report on enforcement of tobacco and alcohol control law from all provinces</w:t>
            </w:r>
          </w:p>
          <w:p w14:paraId="00F76AE3" w14:textId="45837CFF" w:rsidR="008249B3" w:rsidRPr="00C426E5" w:rsidRDefault="008249B3" w:rsidP="00B04E0F">
            <w:pPr>
              <w:pStyle w:val="ListParagraph"/>
              <w:ind w:left="241" w:hanging="180"/>
              <w:rPr>
                <w:rFonts w:ascii="Times New Roman" w:hAnsi="Times New Roman" w:cs="Times New Roman"/>
                <w:rtl/>
                <w:cs/>
              </w:rPr>
            </w:pPr>
          </w:p>
        </w:tc>
        <w:tc>
          <w:tcPr>
            <w:tcW w:w="3456" w:type="dxa"/>
            <w:shd w:val="clear" w:color="auto" w:fill="auto"/>
          </w:tcPr>
          <w:p w14:paraId="2ECC2E67" w14:textId="3DC54EF8" w:rsidR="008249B3" w:rsidRPr="00C426E5" w:rsidRDefault="004571A1">
            <w:pPr>
              <w:pStyle w:val="ListParagraph"/>
              <w:numPr>
                <w:ilvl w:val="0"/>
                <w:numId w:val="1"/>
              </w:numPr>
              <w:ind w:left="241" w:hanging="180"/>
              <w:rPr>
                <w:rFonts w:ascii="Times New Roman" w:hAnsi="Times New Roman" w:cs="Times New Roman"/>
              </w:rPr>
            </w:pPr>
            <w:r w:rsidRPr="006A1506">
              <w:rPr>
                <w:rFonts w:ascii="Times New Roman" w:hAnsi="Times New Roman" w:cs="Angsana New"/>
                <w:szCs w:val="28"/>
                <w:lang w:val="en-US"/>
              </w:rPr>
              <w:t>T</w:t>
            </w:r>
            <w:r w:rsidR="00BD02F9" w:rsidRPr="006A1506">
              <w:rPr>
                <w:rFonts w:ascii="Times New Roman" w:hAnsi="Times New Roman" w:cs="Angsana New"/>
                <w:szCs w:val="28"/>
                <w:lang w:val="en-US"/>
              </w:rPr>
              <w:t xml:space="preserve">he </w:t>
            </w:r>
            <w:r w:rsidR="00FF0AB3" w:rsidRPr="006A1506">
              <w:rPr>
                <w:rFonts w:ascii="Times New Roman" w:hAnsi="Times New Roman" w:cs="Angsana New"/>
                <w:szCs w:val="28"/>
                <w:lang w:val="en-US"/>
              </w:rPr>
              <w:t xml:space="preserve">Alcohol and Tobacco Control Unit </w:t>
            </w:r>
            <w:r w:rsidRPr="006A1506">
              <w:rPr>
                <w:rFonts w:ascii="Times New Roman" w:hAnsi="Times New Roman" w:cs="Angsana New"/>
                <w:szCs w:val="28"/>
                <w:lang w:val="en-US"/>
              </w:rPr>
              <w:t xml:space="preserve">is </w:t>
            </w:r>
            <w:r w:rsidR="00FF0AB3" w:rsidRPr="006A1506">
              <w:rPr>
                <w:rFonts w:ascii="Times New Roman" w:hAnsi="Times New Roman" w:cs="Angsana New"/>
                <w:szCs w:val="28"/>
                <w:lang w:val="en-US"/>
              </w:rPr>
              <w:t>carrying out an online tobacco and alcohol surveillance system</w:t>
            </w:r>
            <w:r w:rsidRPr="006A1506">
              <w:rPr>
                <w:rFonts w:ascii="Times New Roman" w:hAnsi="Times New Roman" w:cs="Angsana New"/>
                <w:szCs w:val="28"/>
                <w:lang w:val="en-US"/>
              </w:rPr>
              <w:t xml:space="preserve"> to monitor violations to the law</w:t>
            </w:r>
            <w:r w:rsidR="00FF0AB3" w:rsidRPr="006A1506">
              <w:rPr>
                <w:rFonts w:ascii="Times New Roman" w:hAnsi="Times New Roman" w:cs="Angsana New"/>
                <w:szCs w:val="28"/>
                <w:lang w:val="en-US"/>
              </w:rPr>
              <w:t xml:space="preserve">. </w:t>
            </w:r>
            <w:r w:rsidRPr="006A1506">
              <w:rPr>
                <w:rFonts w:ascii="Times New Roman" w:hAnsi="Times New Roman" w:cs="Angsana New"/>
                <w:szCs w:val="28"/>
                <w:lang w:val="en-US"/>
              </w:rPr>
              <w:t>A</w:t>
            </w:r>
            <w:r w:rsidR="00FF0AB3" w:rsidRPr="006A1506">
              <w:rPr>
                <w:rFonts w:ascii="Times New Roman" w:hAnsi="Times New Roman" w:cs="Angsana New"/>
                <w:szCs w:val="28"/>
                <w:lang w:val="en-US"/>
              </w:rPr>
              <w:t xml:space="preserve"> target </w:t>
            </w:r>
            <w:r w:rsidRPr="006A1506">
              <w:rPr>
                <w:rFonts w:ascii="Times New Roman" w:hAnsi="Times New Roman" w:cs="Angsana New"/>
                <w:szCs w:val="28"/>
                <w:lang w:val="en-US"/>
              </w:rPr>
              <w:t xml:space="preserve">was set up </w:t>
            </w:r>
            <w:r w:rsidR="00FF0AB3" w:rsidRPr="006A1506">
              <w:rPr>
                <w:rFonts w:ascii="Times New Roman" w:hAnsi="Times New Roman" w:cs="Angsana New"/>
                <w:szCs w:val="28"/>
                <w:lang w:val="en-US"/>
              </w:rPr>
              <w:t xml:space="preserve">to </w:t>
            </w:r>
            <w:r w:rsidRPr="006A1506">
              <w:rPr>
                <w:rFonts w:ascii="Times New Roman" w:hAnsi="Times New Roman" w:cs="Angsana New"/>
                <w:szCs w:val="28"/>
                <w:lang w:val="en-US"/>
              </w:rPr>
              <w:t xml:space="preserve">ensure </w:t>
            </w:r>
            <w:r w:rsidR="00FF0AB3" w:rsidRPr="006A1506">
              <w:rPr>
                <w:rFonts w:ascii="Times New Roman" w:hAnsi="Times New Roman" w:cs="Angsana New"/>
                <w:szCs w:val="28"/>
                <w:lang w:val="en-US"/>
              </w:rPr>
              <w:t>response to complain</w:t>
            </w:r>
            <w:r w:rsidRPr="006A1506">
              <w:rPr>
                <w:rFonts w:ascii="Times New Roman" w:hAnsi="Times New Roman" w:cs="Angsana New"/>
                <w:szCs w:val="28"/>
                <w:lang w:val="en-US"/>
              </w:rPr>
              <w:t>ts</w:t>
            </w:r>
            <w:r w:rsidR="00FF0AB3" w:rsidRPr="006A1506">
              <w:rPr>
                <w:rFonts w:ascii="Times New Roman" w:hAnsi="Times New Roman" w:cs="Angsana New"/>
                <w:szCs w:val="28"/>
                <w:lang w:val="en-US"/>
              </w:rPr>
              <w:t xml:space="preserve"> within 60 days. </w:t>
            </w:r>
            <w:r w:rsidR="002000B6" w:rsidRPr="006A1506">
              <w:rPr>
                <w:rFonts w:ascii="Times New Roman" w:hAnsi="Times New Roman" w:cs="Angsana New"/>
                <w:szCs w:val="28"/>
                <w:lang w:val="en-US"/>
              </w:rPr>
              <w:t xml:space="preserve"> </w:t>
            </w:r>
          </w:p>
        </w:tc>
        <w:tc>
          <w:tcPr>
            <w:tcW w:w="1584" w:type="dxa"/>
          </w:tcPr>
          <w:p w14:paraId="7F601B39" w14:textId="77777777"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Limited commitment, resources, and capacity for law enforcement at local level.</w:t>
            </w:r>
          </w:p>
          <w:p w14:paraId="6A1CF823" w14:textId="5FF0C160" w:rsidR="008249B3" w:rsidRPr="00C426E5" w:rsidRDefault="008249B3" w:rsidP="00B04E0F">
            <w:pPr>
              <w:ind w:left="241" w:hanging="180"/>
              <w:rPr>
                <w:rFonts w:ascii="Times New Roman" w:hAnsi="Times New Roman" w:cs="Times New Roman"/>
              </w:rPr>
            </w:pPr>
          </w:p>
        </w:tc>
        <w:tc>
          <w:tcPr>
            <w:tcW w:w="2050" w:type="dxa"/>
          </w:tcPr>
          <w:p w14:paraId="7468506F" w14:textId="4DCE2283" w:rsidR="008249B3" w:rsidRPr="00C426E5"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UNDP</w:t>
            </w:r>
          </w:p>
        </w:tc>
        <w:tc>
          <w:tcPr>
            <w:tcW w:w="2180" w:type="dxa"/>
          </w:tcPr>
          <w:p w14:paraId="60E2A244" w14:textId="55734241" w:rsidR="008249B3" w:rsidRPr="00C426E5" w:rsidRDefault="006A1506" w:rsidP="0063214B">
            <w:pPr>
              <w:pStyle w:val="ListParagraph"/>
              <w:numPr>
                <w:ilvl w:val="0"/>
                <w:numId w:val="1"/>
              </w:numPr>
              <w:ind w:left="104" w:hanging="141"/>
              <w:rPr>
                <w:rFonts w:ascii="Times New Roman" w:hAnsi="Times New Roman" w:cs="Times New Roman"/>
              </w:rPr>
            </w:pPr>
            <w:r>
              <w:rPr>
                <w:rFonts w:ascii="Times New Roman" w:hAnsi="Times New Roman" w:cs="Times New Roman"/>
              </w:rPr>
              <w:t>MOPH</w:t>
            </w:r>
          </w:p>
          <w:p w14:paraId="7177F2ED" w14:textId="33CD393A" w:rsidR="008249B3" w:rsidRPr="00C426E5"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Ministry of Interior</w:t>
            </w:r>
          </w:p>
        </w:tc>
      </w:tr>
      <w:tr w:rsidR="008249B3" w:rsidRPr="00C426E5" w14:paraId="58590979" w14:textId="1D737D55" w:rsidTr="002B6A5C">
        <w:trPr>
          <w:cantSplit/>
        </w:trPr>
        <w:tc>
          <w:tcPr>
            <w:tcW w:w="694" w:type="dxa"/>
          </w:tcPr>
          <w:p w14:paraId="6036082B" w14:textId="77777777" w:rsidR="008249B3" w:rsidRPr="00C426E5" w:rsidRDefault="008249B3" w:rsidP="0063214B">
            <w:pPr>
              <w:jc w:val="center"/>
              <w:rPr>
                <w:rFonts w:ascii="Times New Roman" w:hAnsi="Times New Roman" w:cs="Times New Roman"/>
              </w:rPr>
            </w:pPr>
            <w:r w:rsidRPr="00C426E5">
              <w:rPr>
                <w:rFonts w:ascii="Times New Roman" w:hAnsi="Times New Roman" w:cs="Times New Roman"/>
              </w:rPr>
              <w:t>4.2</w:t>
            </w:r>
          </w:p>
        </w:tc>
        <w:tc>
          <w:tcPr>
            <w:tcW w:w="3071" w:type="dxa"/>
          </w:tcPr>
          <w:p w14:paraId="13E430FE" w14:textId="77777777" w:rsidR="008249B3" w:rsidRPr="00C426E5" w:rsidRDefault="008249B3" w:rsidP="00C50841">
            <w:pPr>
              <w:rPr>
                <w:rFonts w:ascii="Times New Roman" w:eastAsiaTheme="majorEastAsia" w:hAnsi="Times New Roman" w:cs="Times New Roman"/>
                <w:lang w:val="en-US" w:bidi="th-TH"/>
              </w:rPr>
            </w:pPr>
            <w:r w:rsidRPr="00C426E5">
              <w:rPr>
                <w:rFonts w:ascii="Times New Roman" w:eastAsiaTheme="majorEastAsia" w:hAnsi="Times New Roman" w:cs="Times New Roman"/>
                <w:lang w:val="en-US"/>
              </w:rPr>
              <w:t>Introduce tobacco plain packaging regulation</w:t>
            </w:r>
          </w:p>
          <w:p w14:paraId="07421638" w14:textId="77777777" w:rsidR="008249B3" w:rsidRPr="00C426E5" w:rsidRDefault="008249B3" w:rsidP="00C50841">
            <w:pPr>
              <w:rPr>
                <w:rFonts w:ascii="Times New Roman" w:eastAsiaTheme="majorEastAsia" w:hAnsi="Times New Roman" w:cs="Times New Roman"/>
                <w:lang w:bidi="th-TH"/>
              </w:rPr>
            </w:pPr>
          </w:p>
        </w:tc>
        <w:tc>
          <w:tcPr>
            <w:tcW w:w="2715" w:type="dxa"/>
          </w:tcPr>
          <w:p w14:paraId="0D5B08DC" w14:textId="77777777"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Plain packaging law introduced</w:t>
            </w:r>
          </w:p>
        </w:tc>
        <w:tc>
          <w:tcPr>
            <w:tcW w:w="3456" w:type="dxa"/>
          </w:tcPr>
          <w:p w14:paraId="786FA155" w14:textId="41C1A05D"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Plain packaging regulation was announced and has been enforced with effect from 10 Sep</w:t>
            </w:r>
            <w:r w:rsidR="002B6A5C">
              <w:rPr>
                <w:rFonts w:ascii="Times New Roman" w:hAnsi="Times New Roman" w:cs="Times New Roman"/>
              </w:rPr>
              <w:t>tember</w:t>
            </w:r>
            <w:r w:rsidRPr="00C426E5">
              <w:rPr>
                <w:rFonts w:ascii="Times New Roman" w:hAnsi="Times New Roman" w:cs="Times New Roman"/>
              </w:rPr>
              <w:t xml:space="preserve"> 2019</w:t>
            </w:r>
          </w:p>
        </w:tc>
        <w:tc>
          <w:tcPr>
            <w:tcW w:w="1584" w:type="dxa"/>
          </w:tcPr>
          <w:p w14:paraId="6D8D29AB" w14:textId="4A9F9E74" w:rsidR="008249B3" w:rsidRPr="00C426E5" w:rsidRDefault="008249B3" w:rsidP="00B04E0F">
            <w:pPr>
              <w:pStyle w:val="ListParagraph"/>
              <w:ind w:left="241" w:hanging="180"/>
              <w:rPr>
                <w:rFonts w:ascii="Times New Roman" w:hAnsi="Times New Roman" w:cs="Times New Roman"/>
              </w:rPr>
            </w:pPr>
          </w:p>
        </w:tc>
        <w:tc>
          <w:tcPr>
            <w:tcW w:w="2050" w:type="dxa"/>
          </w:tcPr>
          <w:p w14:paraId="5B84859F" w14:textId="77777777" w:rsidR="008249B3" w:rsidRPr="00C426E5" w:rsidRDefault="008249B3" w:rsidP="00753F3D">
            <w:pPr>
              <w:pStyle w:val="ListParagraph"/>
              <w:ind w:left="104"/>
              <w:rPr>
                <w:rFonts w:ascii="Times New Roman" w:hAnsi="Times New Roman" w:cs="Times New Roman"/>
              </w:rPr>
            </w:pPr>
          </w:p>
        </w:tc>
        <w:tc>
          <w:tcPr>
            <w:tcW w:w="2180" w:type="dxa"/>
          </w:tcPr>
          <w:p w14:paraId="06071263" w14:textId="6A542418" w:rsidR="008249B3" w:rsidRPr="00C426E5" w:rsidRDefault="008249B3" w:rsidP="0063214B">
            <w:pPr>
              <w:pStyle w:val="ListParagraph"/>
              <w:numPr>
                <w:ilvl w:val="0"/>
                <w:numId w:val="1"/>
              </w:numPr>
              <w:ind w:left="104" w:hanging="141"/>
              <w:rPr>
                <w:rFonts w:ascii="Times New Roman" w:hAnsi="Times New Roman" w:cs="Times New Roman"/>
              </w:rPr>
            </w:pPr>
          </w:p>
        </w:tc>
      </w:tr>
      <w:tr w:rsidR="008249B3" w:rsidRPr="00C426E5" w14:paraId="44FC4192" w14:textId="5FF6F4D8" w:rsidTr="002B6A5C">
        <w:trPr>
          <w:cantSplit/>
        </w:trPr>
        <w:tc>
          <w:tcPr>
            <w:tcW w:w="694" w:type="dxa"/>
          </w:tcPr>
          <w:p w14:paraId="6ACD58EC" w14:textId="77777777" w:rsidR="008249B3" w:rsidRPr="00C426E5" w:rsidRDefault="008249B3" w:rsidP="0063214B">
            <w:pPr>
              <w:jc w:val="center"/>
              <w:rPr>
                <w:rFonts w:ascii="Times New Roman" w:hAnsi="Times New Roman" w:cs="Times New Roman"/>
              </w:rPr>
            </w:pPr>
            <w:r w:rsidRPr="00C426E5">
              <w:rPr>
                <w:rFonts w:ascii="Times New Roman" w:hAnsi="Times New Roman" w:cs="Times New Roman"/>
              </w:rPr>
              <w:t>4.3</w:t>
            </w:r>
          </w:p>
        </w:tc>
        <w:tc>
          <w:tcPr>
            <w:tcW w:w="3071" w:type="dxa"/>
          </w:tcPr>
          <w:p w14:paraId="0FF117FD" w14:textId="77777777" w:rsidR="008249B3" w:rsidRPr="00D05D07" w:rsidRDefault="008249B3" w:rsidP="00C50841">
            <w:pPr>
              <w:rPr>
                <w:rFonts w:ascii="Times New Roman" w:eastAsiaTheme="majorEastAsia" w:hAnsi="Times New Roman" w:cs="Times New Roman"/>
                <w:lang w:val="en-US"/>
              </w:rPr>
            </w:pPr>
            <w:r w:rsidRPr="00D05D07">
              <w:rPr>
                <w:rFonts w:ascii="Times New Roman" w:eastAsiaTheme="majorEastAsia" w:hAnsi="Times New Roman" w:cs="Times New Roman"/>
                <w:lang w:val="en-US"/>
              </w:rPr>
              <w:t>Strengthen alcohol control and enforcement, including drink-driving and alcohol tax. Strengthen regulation of food industry to ensure food products comply with recommended standards, focusing on reducing sodium, sugar, and fat</w:t>
            </w:r>
          </w:p>
          <w:p w14:paraId="2E48DAA7" w14:textId="77777777" w:rsidR="008249B3" w:rsidRPr="00D05D07" w:rsidRDefault="008249B3" w:rsidP="00C50841">
            <w:pPr>
              <w:rPr>
                <w:rFonts w:ascii="Times New Roman" w:eastAsiaTheme="majorEastAsia" w:hAnsi="Times New Roman" w:cs="Times New Roman"/>
                <w:lang w:val="en-US"/>
              </w:rPr>
            </w:pPr>
          </w:p>
          <w:p w14:paraId="590F0786" w14:textId="77777777" w:rsidR="008249B3" w:rsidRPr="00D05D07" w:rsidRDefault="008249B3" w:rsidP="00C50841">
            <w:pPr>
              <w:rPr>
                <w:rFonts w:ascii="Times New Roman" w:eastAsiaTheme="majorEastAsia" w:hAnsi="Times New Roman" w:cs="Times New Roman"/>
                <w:lang w:val="en-US"/>
              </w:rPr>
            </w:pPr>
          </w:p>
          <w:p w14:paraId="62D93A23" w14:textId="3BF8F656" w:rsidR="008249B3" w:rsidRPr="00D05D07" w:rsidRDefault="008249B3" w:rsidP="00C50841">
            <w:pPr>
              <w:rPr>
                <w:rFonts w:ascii="Times New Roman" w:eastAsiaTheme="majorEastAsia" w:hAnsi="Times New Roman" w:cs="Times New Roman"/>
                <w:lang w:val="en-US"/>
              </w:rPr>
            </w:pPr>
          </w:p>
        </w:tc>
        <w:tc>
          <w:tcPr>
            <w:tcW w:w="2715" w:type="dxa"/>
          </w:tcPr>
          <w:p w14:paraId="429839D7" w14:textId="7C81A3F1"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 xml:space="preserve">Sodium content of selected packaged food reduced by 10% by 2020 </w:t>
            </w:r>
          </w:p>
          <w:p w14:paraId="5CC72E0F" w14:textId="77777777" w:rsidR="008249B3" w:rsidRPr="00C426E5" w:rsidRDefault="008249B3" w:rsidP="00B04E0F">
            <w:pPr>
              <w:ind w:left="241" w:hanging="180"/>
              <w:rPr>
                <w:rFonts w:ascii="Times New Roman" w:hAnsi="Times New Roman" w:cs="Times New Roman"/>
              </w:rPr>
            </w:pPr>
          </w:p>
        </w:tc>
        <w:tc>
          <w:tcPr>
            <w:tcW w:w="3456" w:type="dxa"/>
          </w:tcPr>
          <w:p w14:paraId="33C25269" w14:textId="6AF17F32" w:rsidR="008249B3" w:rsidRPr="00C426E5" w:rsidRDefault="00B0153B" w:rsidP="0063214B">
            <w:pPr>
              <w:pStyle w:val="ListParagraph"/>
              <w:numPr>
                <w:ilvl w:val="0"/>
                <w:numId w:val="1"/>
              </w:numPr>
              <w:ind w:left="241" w:hanging="180"/>
              <w:rPr>
                <w:rFonts w:ascii="Times New Roman" w:hAnsi="Times New Roman" w:cs="Times New Roman"/>
              </w:rPr>
            </w:pPr>
            <w:r>
              <w:rPr>
                <w:rFonts w:ascii="Times New Roman" w:hAnsi="Times New Roman" w:cs="Times New Roman"/>
              </w:rPr>
              <w:t>A</w:t>
            </w:r>
            <w:r w:rsidR="008249B3" w:rsidRPr="00C426E5">
              <w:rPr>
                <w:rFonts w:ascii="Times New Roman" w:hAnsi="Times New Roman" w:cs="Times New Roman"/>
              </w:rPr>
              <w:t xml:space="preserve">n agreement </w:t>
            </w:r>
            <w:r w:rsidR="004571A1">
              <w:rPr>
                <w:rFonts w:ascii="Times New Roman" w:hAnsi="Times New Roman" w:cs="Times New Roman"/>
              </w:rPr>
              <w:t xml:space="preserve">was reached </w:t>
            </w:r>
            <w:r w:rsidR="008249B3" w:rsidRPr="00C426E5">
              <w:rPr>
                <w:rFonts w:ascii="Times New Roman" w:hAnsi="Times New Roman" w:cs="Times New Roman"/>
              </w:rPr>
              <w:t xml:space="preserve">for voluntary </w:t>
            </w:r>
            <w:r>
              <w:rPr>
                <w:rFonts w:ascii="Times New Roman" w:hAnsi="Times New Roman" w:cs="Times New Roman"/>
              </w:rPr>
              <w:t xml:space="preserve">salt </w:t>
            </w:r>
            <w:r w:rsidR="008249B3" w:rsidRPr="00C426E5">
              <w:rPr>
                <w:rFonts w:ascii="Times New Roman" w:hAnsi="Times New Roman" w:cs="Times New Roman"/>
              </w:rPr>
              <w:t>reduction in four food categories (instant foods, noodles, and congee; snacks; frozen foods; and condiments</w:t>
            </w:r>
            <w:r w:rsidR="001F462D">
              <w:rPr>
                <w:rFonts w:ascii="Times New Roman" w:hAnsi="Times New Roman" w:cs="Times New Roman"/>
              </w:rPr>
              <w:t>)</w:t>
            </w:r>
            <w:r w:rsidR="008249B3" w:rsidRPr="00C426E5">
              <w:rPr>
                <w:rFonts w:ascii="Times New Roman" w:hAnsi="Times New Roman" w:cs="Times New Roman"/>
              </w:rPr>
              <w:t xml:space="preserve"> by 5% in 2019. </w:t>
            </w:r>
            <w:r w:rsidR="004571A1">
              <w:rPr>
                <w:rFonts w:ascii="Times New Roman" w:hAnsi="Times New Roman" w:cs="Times New Roman"/>
              </w:rPr>
              <w:t xml:space="preserve">Data collection is underway to check if the target was met. </w:t>
            </w:r>
          </w:p>
          <w:p w14:paraId="40E06574" w14:textId="617AB531" w:rsidR="008249B3" w:rsidRPr="00C426E5" w:rsidRDefault="008249B3" w:rsidP="0063214B">
            <w:pPr>
              <w:pStyle w:val="ListParagraph"/>
              <w:numPr>
                <w:ilvl w:val="0"/>
                <w:numId w:val="1"/>
              </w:numPr>
              <w:ind w:left="241" w:hanging="180"/>
              <w:rPr>
                <w:rFonts w:ascii="Times New Roman" w:hAnsi="Times New Roman" w:cs="Times New Roman"/>
              </w:rPr>
            </w:pPr>
            <w:r w:rsidRPr="004369A5">
              <w:rPr>
                <w:rFonts w:ascii="Times New Roman" w:hAnsi="Times New Roman" w:cs="Times New Roman"/>
                <w:spacing w:val="-10"/>
              </w:rPr>
              <w:t xml:space="preserve">Advocacy for sodium taxation on </w:t>
            </w:r>
            <w:r w:rsidR="004571A1">
              <w:rPr>
                <w:rFonts w:ascii="Times New Roman" w:hAnsi="Times New Roman" w:cs="Times New Roman"/>
                <w:spacing w:val="-10"/>
              </w:rPr>
              <w:t xml:space="preserve">selected </w:t>
            </w:r>
            <w:r w:rsidRPr="004369A5">
              <w:rPr>
                <w:rFonts w:ascii="Times New Roman" w:hAnsi="Times New Roman" w:cs="Times New Roman"/>
                <w:spacing w:val="-10"/>
              </w:rPr>
              <w:t>food categor</w:t>
            </w:r>
            <w:r w:rsidR="004571A1">
              <w:rPr>
                <w:rFonts w:ascii="Times New Roman" w:hAnsi="Times New Roman" w:cs="Times New Roman"/>
                <w:spacing w:val="-10"/>
              </w:rPr>
              <w:t>ies</w:t>
            </w:r>
            <w:r w:rsidRPr="004369A5">
              <w:rPr>
                <w:rFonts w:ascii="Times New Roman" w:hAnsi="Times New Roman" w:cs="Times New Roman"/>
                <w:spacing w:val="-10"/>
              </w:rPr>
              <w:t xml:space="preserve"> is on-going</w:t>
            </w:r>
            <w:r w:rsidRPr="00C426E5">
              <w:rPr>
                <w:rFonts w:ascii="Times New Roman" w:hAnsi="Times New Roman" w:cs="Times New Roman"/>
              </w:rPr>
              <w:t xml:space="preserve">. </w:t>
            </w:r>
          </w:p>
          <w:p w14:paraId="603EE9BC" w14:textId="3AD09B1F" w:rsidR="008249B3" w:rsidRPr="002B6A5C" w:rsidRDefault="008249B3" w:rsidP="002B6A5C">
            <w:pPr>
              <w:ind w:left="61"/>
              <w:rPr>
                <w:rFonts w:ascii="Times New Roman" w:hAnsi="Times New Roman" w:cs="Times New Roman"/>
              </w:rPr>
            </w:pPr>
          </w:p>
        </w:tc>
        <w:tc>
          <w:tcPr>
            <w:tcW w:w="1584" w:type="dxa"/>
          </w:tcPr>
          <w:p w14:paraId="6899CDE7" w14:textId="6FDBCD93" w:rsidR="008249B3" w:rsidRPr="00C426E5" w:rsidRDefault="002B6A5C" w:rsidP="00B04E0F">
            <w:pPr>
              <w:ind w:left="241" w:hanging="180"/>
              <w:rPr>
                <w:rFonts w:ascii="Times New Roman" w:hAnsi="Times New Roman" w:cs="Times New Roman"/>
              </w:rPr>
            </w:pPr>
            <w:r>
              <w:rPr>
                <w:rFonts w:ascii="Times New Roman" w:hAnsi="Times New Roman" w:cs="Times New Roman"/>
              </w:rPr>
              <w:t xml:space="preserve">Food Industry </w:t>
            </w:r>
            <w:r w:rsidRPr="00C426E5">
              <w:rPr>
                <w:rFonts w:ascii="Times New Roman" w:hAnsi="Times New Roman" w:cs="Times New Roman"/>
              </w:rPr>
              <w:t>Interference has resulted in a delay in the policy</w:t>
            </w:r>
          </w:p>
        </w:tc>
        <w:tc>
          <w:tcPr>
            <w:tcW w:w="2050" w:type="dxa"/>
          </w:tcPr>
          <w:p w14:paraId="1B0D565C" w14:textId="32BA3EFA" w:rsidR="008249B3" w:rsidRPr="00C426E5"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WHO, FAO and WFP to continue advocacy and provide technical support</w:t>
            </w:r>
          </w:p>
        </w:tc>
        <w:tc>
          <w:tcPr>
            <w:tcW w:w="2180" w:type="dxa"/>
          </w:tcPr>
          <w:p w14:paraId="69B6C6E2" w14:textId="3B860B38" w:rsidR="008249B3" w:rsidRPr="00C426E5" w:rsidRDefault="006A1506" w:rsidP="0063214B">
            <w:pPr>
              <w:pStyle w:val="ListParagraph"/>
              <w:numPr>
                <w:ilvl w:val="0"/>
                <w:numId w:val="1"/>
              </w:numPr>
              <w:ind w:left="104" w:hanging="141"/>
              <w:rPr>
                <w:rFonts w:ascii="Times New Roman" w:hAnsi="Times New Roman" w:cs="Times New Roman"/>
              </w:rPr>
            </w:pPr>
            <w:r>
              <w:rPr>
                <w:rFonts w:ascii="Times New Roman" w:hAnsi="Times New Roman" w:cs="Times New Roman"/>
              </w:rPr>
              <w:t>MOPH</w:t>
            </w:r>
          </w:p>
          <w:p w14:paraId="359D877A" w14:textId="77777777" w:rsidR="00CB0E6A" w:rsidRPr="00B04E0F" w:rsidRDefault="008249B3" w:rsidP="0063214B">
            <w:pPr>
              <w:pStyle w:val="ListParagraph"/>
              <w:numPr>
                <w:ilvl w:val="0"/>
                <w:numId w:val="1"/>
              </w:numPr>
              <w:ind w:left="104" w:hanging="141"/>
              <w:rPr>
                <w:rFonts w:ascii="Times New Roman" w:hAnsi="Times New Roman" w:cs="Times New Roman"/>
              </w:rPr>
            </w:pPr>
            <w:r w:rsidRPr="00CB0E6A">
              <w:rPr>
                <w:rFonts w:ascii="Times New Roman" w:hAnsi="Times New Roman" w:cs="Times New Roman"/>
              </w:rPr>
              <w:t>M</w:t>
            </w:r>
            <w:r w:rsidR="00CB0E6A" w:rsidRPr="00CB0E6A">
              <w:rPr>
                <w:rFonts w:ascii="Times New Roman" w:hAnsi="Times New Roman" w:cs="Times New Roman"/>
              </w:rPr>
              <w:t>OF</w:t>
            </w:r>
          </w:p>
          <w:p w14:paraId="19E547F8" w14:textId="44E0DD0B" w:rsidR="008249B3" w:rsidRPr="00B04E0F" w:rsidRDefault="008249B3" w:rsidP="0063214B">
            <w:pPr>
              <w:pStyle w:val="ListParagraph"/>
              <w:numPr>
                <w:ilvl w:val="0"/>
                <w:numId w:val="1"/>
              </w:numPr>
              <w:ind w:left="104" w:hanging="141"/>
              <w:rPr>
                <w:rFonts w:ascii="Times New Roman" w:hAnsi="Times New Roman" w:cs="Times New Roman"/>
              </w:rPr>
            </w:pPr>
            <w:r w:rsidRPr="00B04E0F">
              <w:rPr>
                <w:rFonts w:ascii="Times New Roman" w:hAnsi="Times New Roman" w:cs="Times New Roman"/>
              </w:rPr>
              <w:t>M</w:t>
            </w:r>
            <w:r w:rsidR="00CB0E6A" w:rsidRPr="00B04E0F">
              <w:rPr>
                <w:rFonts w:ascii="Times New Roman" w:hAnsi="Times New Roman" w:cs="Times New Roman"/>
              </w:rPr>
              <w:t>OC</w:t>
            </w:r>
          </w:p>
          <w:p w14:paraId="018CDA4C" w14:textId="6BAB6286" w:rsidR="00CB0E6A" w:rsidRPr="00B04E0F" w:rsidRDefault="00CB0E6A" w:rsidP="0063214B">
            <w:pPr>
              <w:pStyle w:val="ListParagraph"/>
              <w:numPr>
                <w:ilvl w:val="0"/>
                <w:numId w:val="1"/>
              </w:numPr>
              <w:ind w:left="104" w:hanging="141"/>
              <w:rPr>
                <w:rFonts w:ascii="Times New Roman" w:hAnsi="Times New Roman" w:cs="Times New Roman"/>
              </w:rPr>
            </w:pPr>
            <w:r w:rsidRPr="00B04E0F">
              <w:rPr>
                <w:rFonts w:ascii="Times New Roman" w:hAnsi="Times New Roman" w:cs="Times New Roman"/>
              </w:rPr>
              <w:t>MOI</w:t>
            </w:r>
          </w:p>
          <w:p w14:paraId="4AF35355" w14:textId="16C3DB6E" w:rsidR="008249B3" w:rsidRPr="00C426E5"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Ministry of industry</w:t>
            </w:r>
          </w:p>
          <w:p w14:paraId="1B05B4F8" w14:textId="3239CAA0" w:rsidR="008249B3" w:rsidRPr="00CB0E6A" w:rsidRDefault="008249B3" w:rsidP="00CB0E6A">
            <w:pPr>
              <w:rPr>
                <w:rFonts w:ascii="Times New Roman" w:hAnsi="Times New Roman" w:cs="Times New Roman"/>
              </w:rPr>
            </w:pPr>
          </w:p>
        </w:tc>
      </w:tr>
      <w:tr w:rsidR="008249B3" w:rsidRPr="00C426E5" w14:paraId="60DEF2D3" w14:textId="682A5102" w:rsidTr="002B6A5C">
        <w:trPr>
          <w:cantSplit/>
        </w:trPr>
        <w:tc>
          <w:tcPr>
            <w:tcW w:w="694" w:type="dxa"/>
          </w:tcPr>
          <w:p w14:paraId="1C6C4FB7" w14:textId="77777777" w:rsidR="008249B3" w:rsidRPr="00C426E5" w:rsidRDefault="008249B3" w:rsidP="0063214B">
            <w:pPr>
              <w:jc w:val="center"/>
              <w:rPr>
                <w:rFonts w:ascii="Times New Roman" w:hAnsi="Times New Roman" w:cs="Times New Roman"/>
              </w:rPr>
            </w:pPr>
            <w:r w:rsidRPr="00C426E5">
              <w:rPr>
                <w:rFonts w:ascii="Times New Roman" w:hAnsi="Times New Roman" w:cs="Times New Roman"/>
              </w:rPr>
              <w:lastRenderedPageBreak/>
              <w:t>4.4</w:t>
            </w:r>
          </w:p>
        </w:tc>
        <w:tc>
          <w:tcPr>
            <w:tcW w:w="3071" w:type="dxa"/>
          </w:tcPr>
          <w:p w14:paraId="023AD283" w14:textId="77777777" w:rsidR="008249B3" w:rsidRPr="00AA2065" w:rsidRDefault="008249B3" w:rsidP="00C50841">
            <w:pPr>
              <w:rPr>
                <w:rFonts w:ascii="Times New Roman" w:eastAsiaTheme="majorEastAsia" w:hAnsi="Times New Roman" w:cs="Times New Roman"/>
              </w:rPr>
            </w:pPr>
            <w:r w:rsidRPr="00AA2065">
              <w:rPr>
                <w:rFonts w:ascii="Times New Roman" w:eastAsiaTheme="majorEastAsia" w:hAnsi="Times New Roman" w:cs="Times New Roman"/>
                <w:lang w:val="en-US"/>
              </w:rPr>
              <w:t>Ban inappropriate marketing of unhealthy food and beverages to children and implement the Act on Control of Marketing of Infant and Young Child Food</w:t>
            </w:r>
          </w:p>
        </w:tc>
        <w:tc>
          <w:tcPr>
            <w:tcW w:w="2715" w:type="dxa"/>
          </w:tcPr>
          <w:p w14:paraId="25AA9374" w14:textId="4DC1AD35"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Draft regulation to ban inappropriate marketing of unhealthy food and beverages to children developed</w:t>
            </w:r>
          </w:p>
          <w:p w14:paraId="16495F7F" w14:textId="4AB4E0D9"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Report</w:t>
            </w:r>
            <w:r w:rsidRPr="00C426E5">
              <w:rPr>
                <w:rFonts w:ascii="Times New Roman" w:hAnsi="Times New Roman" w:cs="Times New Roman"/>
                <w:cs/>
                <w:lang w:bidi="th-TH"/>
              </w:rPr>
              <w:t xml:space="preserve"> </w:t>
            </w:r>
            <w:r w:rsidRPr="00C426E5">
              <w:rPr>
                <w:rFonts w:ascii="Times New Roman" w:hAnsi="Times New Roman" w:cs="Times New Roman"/>
              </w:rPr>
              <w:t xml:space="preserve">of compliance with Act on control of marketing of infant and young child food released annually. </w:t>
            </w:r>
          </w:p>
        </w:tc>
        <w:tc>
          <w:tcPr>
            <w:tcW w:w="3456" w:type="dxa"/>
          </w:tcPr>
          <w:p w14:paraId="7CF536C1" w14:textId="77777777" w:rsidR="006A1506" w:rsidRDefault="00D8158C" w:rsidP="0063214B">
            <w:pPr>
              <w:pStyle w:val="ListParagraph"/>
              <w:numPr>
                <w:ilvl w:val="0"/>
                <w:numId w:val="1"/>
              </w:numPr>
              <w:ind w:left="241" w:hanging="180"/>
              <w:rPr>
                <w:rFonts w:ascii="Times New Roman" w:hAnsi="Times New Roman" w:cs="Times New Roman"/>
              </w:rPr>
            </w:pPr>
            <w:r w:rsidRPr="00AA2065">
              <w:rPr>
                <w:rFonts w:ascii="Times New Roman" w:hAnsi="Times New Roman" w:cs="Times New Roman"/>
              </w:rPr>
              <w:t>On 6 Sep, UNICEF in collaboration with WHO, FAO and WFP</w:t>
            </w:r>
            <w:r w:rsidRPr="00C426E5">
              <w:rPr>
                <w:rFonts w:ascii="Times New Roman" w:hAnsi="Times New Roman" w:cs="Times New Roman"/>
              </w:rPr>
              <w:t xml:space="preserve"> convened a multisectoral meeting to discuss inappropriate marketing to children of unhealthy food and beverages. </w:t>
            </w:r>
          </w:p>
          <w:p w14:paraId="5D33D305" w14:textId="206924D5" w:rsidR="008249B3" w:rsidRPr="004369A5" w:rsidRDefault="00AC462B" w:rsidP="0063214B">
            <w:pPr>
              <w:pStyle w:val="ListParagraph"/>
              <w:numPr>
                <w:ilvl w:val="0"/>
                <w:numId w:val="1"/>
              </w:numPr>
              <w:ind w:left="241" w:hanging="180"/>
              <w:rPr>
                <w:rFonts w:ascii="Times New Roman" w:hAnsi="Times New Roman" w:cs="Times New Roman"/>
              </w:rPr>
            </w:pPr>
            <w:r w:rsidRPr="004369A5">
              <w:rPr>
                <w:rFonts w:ascii="Times New Roman" w:hAnsi="Times New Roman" w:cs="Times New Roman"/>
              </w:rPr>
              <w:t>DOH</w:t>
            </w:r>
            <w:r w:rsidR="008249B3" w:rsidRPr="004369A5">
              <w:rPr>
                <w:rFonts w:ascii="Times New Roman" w:hAnsi="Times New Roman" w:cs="Times New Roman"/>
              </w:rPr>
              <w:t xml:space="preserve"> enacted </w:t>
            </w:r>
            <w:r w:rsidR="002B6A5C">
              <w:rPr>
                <w:rFonts w:ascii="Times New Roman" w:hAnsi="Times New Roman" w:cs="Times New Roman"/>
              </w:rPr>
              <w:t>a</w:t>
            </w:r>
            <w:r w:rsidR="008249B3" w:rsidRPr="004369A5">
              <w:rPr>
                <w:rFonts w:ascii="Times New Roman" w:hAnsi="Times New Roman" w:cs="Times New Roman"/>
              </w:rPr>
              <w:t xml:space="preserve"> subcommittee for </w:t>
            </w:r>
            <w:r w:rsidR="004571A1">
              <w:rPr>
                <w:rFonts w:ascii="Times New Roman" w:hAnsi="Times New Roman" w:cs="Times New Roman"/>
              </w:rPr>
              <w:t xml:space="preserve">control of inappropriate </w:t>
            </w:r>
            <w:r w:rsidR="004571A1" w:rsidRPr="004369A5">
              <w:rPr>
                <w:rFonts w:ascii="Times New Roman" w:hAnsi="Times New Roman" w:cs="Times New Roman"/>
              </w:rPr>
              <w:t xml:space="preserve">marketing </w:t>
            </w:r>
            <w:r w:rsidR="004571A1">
              <w:rPr>
                <w:rFonts w:ascii="Times New Roman" w:hAnsi="Times New Roman" w:cs="Times New Roman"/>
              </w:rPr>
              <w:t xml:space="preserve">of </w:t>
            </w:r>
            <w:r w:rsidR="008249B3" w:rsidRPr="004369A5">
              <w:rPr>
                <w:rFonts w:ascii="Times New Roman" w:hAnsi="Times New Roman" w:cs="Times New Roman"/>
              </w:rPr>
              <w:t>food and non-alcohol</w:t>
            </w:r>
            <w:r w:rsidR="004571A1">
              <w:rPr>
                <w:rFonts w:ascii="Times New Roman" w:hAnsi="Times New Roman" w:cs="Times New Roman"/>
              </w:rPr>
              <w:t>ic beverages</w:t>
            </w:r>
          </w:p>
          <w:p w14:paraId="28333EA2" w14:textId="42D72CEC"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 xml:space="preserve">Thai NCD Alliance </w:t>
            </w:r>
            <w:r w:rsidR="004571A1">
              <w:rPr>
                <w:rFonts w:ascii="Times New Roman" w:hAnsi="Times New Roman" w:cs="Times New Roman"/>
              </w:rPr>
              <w:t>proposed a</w:t>
            </w:r>
            <w:r w:rsidRPr="00C426E5">
              <w:rPr>
                <w:rFonts w:ascii="Times New Roman" w:hAnsi="Times New Roman" w:cs="Times New Roman"/>
              </w:rPr>
              <w:t xml:space="preserve"> policy brief </w:t>
            </w:r>
            <w:r w:rsidR="004571A1" w:rsidRPr="00C426E5">
              <w:rPr>
                <w:rFonts w:ascii="Times New Roman" w:hAnsi="Times New Roman" w:cs="Times New Roman"/>
              </w:rPr>
              <w:t xml:space="preserve">to the </w:t>
            </w:r>
            <w:r w:rsidR="004571A1">
              <w:rPr>
                <w:rFonts w:ascii="Times New Roman" w:hAnsi="Times New Roman" w:cs="Times New Roman"/>
              </w:rPr>
              <w:t xml:space="preserve">senate </w:t>
            </w:r>
            <w:r w:rsidR="004571A1" w:rsidRPr="00C426E5">
              <w:rPr>
                <w:rFonts w:ascii="Times New Roman" w:hAnsi="Times New Roman" w:cs="Times New Roman"/>
              </w:rPr>
              <w:t xml:space="preserve">committee of social affairs </w:t>
            </w:r>
            <w:r w:rsidR="004571A1">
              <w:rPr>
                <w:rFonts w:ascii="Times New Roman" w:hAnsi="Times New Roman" w:cs="Times New Roman"/>
              </w:rPr>
              <w:t xml:space="preserve">on </w:t>
            </w:r>
            <w:r w:rsidRPr="00C426E5">
              <w:rPr>
                <w:rFonts w:ascii="Times New Roman" w:hAnsi="Times New Roman" w:cs="Times New Roman"/>
              </w:rPr>
              <w:t>children</w:t>
            </w:r>
            <w:r w:rsidR="004571A1">
              <w:rPr>
                <w:rFonts w:ascii="Times New Roman" w:hAnsi="Times New Roman" w:cs="Times New Roman"/>
              </w:rPr>
              <w:t>’s</w:t>
            </w:r>
            <w:r w:rsidRPr="00C426E5">
              <w:rPr>
                <w:rFonts w:ascii="Times New Roman" w:hAnsi="Times New Roman" w:cs="Times New Roman"/>
              </w:rPr>
              <w:t xml:space="preserve"> right</w:t>
            </w:r>
            <w:r w:rsidR="004571A1">
              <w:rPr>
                <w:rFonts w:ascii="Times New Roman" w:hAnsi="Times New Roman" w:cs="Times New Roman"/>
              </w:rPr>
              <w:t>s</w:t>
            </w:r>
            <w:r w:rsidRPr="00C426E5">
              <w:rPr>
                <w:rFonts w:ascii="Times New Roman" w:hAnsi="Times New Roman" w:cs="Times New Roman"/>
              </w:rPr>
              <w:t xml:space="preserve"> on </w:t>
            </w:r>
            <w:r w:rsidR="004571A1">
              <w:rPr>
                <w:rFonts w:ascii="Times New Roman" w:hAnsi="Times New Roman" w:cs="Times New Roman"/>
              </w:rPr>
              <w:t>f</w:t>
            </w:r>
            <w:r w:rsidR="004571A1" w:rsidRPr="00C426E5">
              <w:rPr>
                <w:rFonts w:ascii="Times New Roman" w:hAnsi="Times New Roman" w:cs="Times New Roman"/>
              </w:rPr>
              <w:t xml:space="preserve">ood </w:t>
            </w:r>
            <w:r w:rsidRPr="00C426E5">
              <w:rPr>
                <w:rFonts w:ascii="Times New Roman" w:hAnsi="Times New Roman" w:cs="Times New Roman"/>
              </w:rPr>
              <w:t>marketing</w:t>
            </w:r>
            <w:r w:rsidR="004571A1">
              <w:rPr>
                <w:rFonts w:ascii="Times New Roman" w:hAnsi="Times New Roman" w:cs="Times New Roman"/>
              </w:rPr>
              <w:t>.</w:t>
            </w:r>
            <w:r w:rsidRPr="00C426E5">
              <w:rPr>
                <w:rFonts w:ascii="Times New Roman" w:hAnsi="Times New Roman" w:cs="Times New Roman"/>
              </w:rPr>
              <w:t xml:space="preserve"> </w:t>
            </w:r>
          </w:p>
          <w:p w14:paraId="50F6A232" w14:textId="5434008F"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 xml:space="preserve">The Control of Marketing of Infant and Young Child Food Act 2017 was announced and is effective since 8 September 2017.  Plans for monitoring compliance with the law are underway. </w:t>
            </w:r>
          </w:p>
          <w:p w14:paraId="2BA73679" w14:textId="48CC4258" w:rsidR="008249B3" w:rsidRPr="00C426E5" w:rsidRDefault="008249B3" w:rsidP="0063214B">
            <w:pPr>
              <w:pStyle w:val="ListParagraph"/>
              <w:numPr>
                <w:ilvl w:val="0"/>
                <w:numId w:val="1"/>
              </w:numPr>
              <w:ind w:left="241" w:hanging="180"/>
              <w:rPr>
                <w:rFonts w:ascii="Times New Roman" w:hAnsi="Times New Roman" w:cs="Times New Roman"/>
              </w:rPr>
            </w:pPr>
            <w:r w:rsidRPr="00C426E5">
              <w:rPr>
                <w:rFonts w:ascii="Times New Roman" w:hAnsi="Times New Roman" w:cs="Times New Roman"/>
              </w:rPr>
              <w:t xml:space="preserve">UNICEF </w:t>
            </w:r>
            <w:r w:rsidR="002B6A5C">
              <w:rPr>
                <w:rFonts w:ascii="Times New Roman" w:hAnsi="Times New Roman" w:cs="Times New Roman"/>
              </w:rPr>
              <w:t xml:space="preserve">in conjunction with WHO, </w:t>
            </w:r>
            <w:r w:rsidR="006A1506">
              <w:rPr>
                <w:rFonts w:ascii="Times New Roman" w:hAnsi="Times New Roman" w:cs="Times New Roman"/>
              </w:rPr>
              <w:t>MOPH</w:t>
            </w:r>
            <w:r w:rsidR="002B6A5C">
              <w:rPr>
                <w:rFonts w:ascii="Times New Roman" w:hAnsi="Times New Roman" w:cs="Times New Roman"/>
              </w:rPr>
              <w:t xml:space="preserve"> and IHPP has</w:t>
            </w:r>
            <w:r w:rsidRPr="00C426E5">
              <w:rPr>
                <w:rFonts w:ascii="Times New Roman" w:hAnsi="Times New Roman" w:cs="Times New Roman"/>
              </w:rPr>
              <w:t xml:space="preserve"> develop</w:t>
            </w:r>
            <w:r w:rsidR="002B6A5C">
              <w:rPr>
                <w:rFonts w:ascii="Times New Roman" w:hAnsi="Times New Roman" w:cs="Times New Roman"/>
              </w:rPr>
              <w:t>ed</w:t>
            </w:r>
            <w:r w:rsidRPr="00C426E5">
              <w:rPr>
                <w:rFonts w:ascii="Times New Roman" w:hAnsi="Times New Roman" w:cs="Times New Roman"/>
              </w:rPr>
              <w:t xml:space="preserve"> a draft </w:t>
            </w:r>
            <w:r w:rsidR="004571A1">
              <w:rPr>
                <w:rFonts w:ascii="Times New Roman" w:hAnsi="Times New Roman" w:cs="Times New Roman"/>
              </w:rPr>
              <w:t xml:space="preserve">legal </w:t>
            </w:r>
            <w:r w:rsidRPr="00C426E5">
              <w:rPr>
                <w:rFonts w:ascii="Times New Roman" w:hAnsi="Times New Roman" w:cs="Times New Roman"/>
              </w:rPr>
              <w:t xml:space="preserve">framework suitable </w:t>
            </w:r>
            <w:r w:rsidR="00FB009A">
              <w:rPr>
                <w:rFonts w:ascii="Times New Roman" w:hAnsi="Times New Roman" w:cs="Times New Roman"/>
              </w:rPr>
              <w:t xml:space="preserve">to </w:t>
            </w:r>
            <w:r w:rsidR="00FB009A" w:rsidRPr="00C426E5">
              <w:rPr>
                <w:rFonts w:ascii="Times New Roman" w:hAnsi="Times New Roman" w:cs="Times New Roman"/>
              </w:rPr>
              <w:t>the</w:t>
            </w:r>
            <w:r w:rsidRPr="00C426E5">
              <w:rPr>
                <w:rFonts w:ascii="Times New Roman" w:hAnsi="Times New Roman" w:cs="Times New Roman"/>
              </w:rPr>
              <w:t xml:space="preserve"> Thai context</w:t>
            </w:r>
          </w:p>
          <w:p w14:paraId="1387463C" w14:textId="24412AB1" w:rsidR="00FB2E6E" w:rsidRDefault="00FB2E6E" w:rsidP="0063214B">
            <w:pPr>
              <w:pStyle w:val="ListParagraph"/>
              <w:numPr>
                <w:ilvl w:val="0"/>
                <w:numId w:val="1"/>
              </w:numPr>
              <w:ind w:left="241" w:hanging="180"/>
              <w:rPr>
                <w:rFonts w:ascii="Times New Roman" w:hAnsi="Times New Roman" w:cs="Times New Roman"/>
              </w:rPr>
            </w:pPr>
            <w:r w:rsidRPr="004369A5">
              <w:rPr>
                <w:rFonts w:ascii="Times New Roman" w:hAnsi="Times New Roman" w:cs="Times New Roman"/>
              </w:rPr>
              <w:t>Ministry of Education announced measure</w:t>
            </w:r>
            <w:r w:rsidR="002B6A5C">
              <w:rPr>
                <w:rFonts w:ascii="Times New Roman" w:hAnsi="Times New Roman" w:cs="Times New Roman"/>
              </w:rPr>
              <w:t>s</w:t>
            </w:r>
            <w:r w:rsidRPr="004369A5">
              <w:rPr>
                <w:rFonts w:ascii="Times New Roman" w:hAnsi="Times New Roman" w:cs="Times New Roman"/>
              </w:rPr>
              <w:t xml:space="preserve"> to promote literacy and skills on oral health of students where article number 2 stated that “the marketing of all food and </w:t>
            </w:r>
            <w:r w:rsidR="00D8158C">
              <w:rPr>
                <w:rFonts w:ascii="Times New Roman" w:hAnsi="Times New Roman" w:cs="Times New Roman"/>
              </w:rPr>
              <w:t xml:space="preserve">SSB </w:t>
            </w:r>
            <w:r w:rsidRPr="004369A5">
              <w:rPr>
                <w:rFonts w:ascii="Times New Roman" w:hAnsi="Times New Roman" w:cs="Times New Roman"/>
              </w:rPr>
              <w:t>is prohibited</w:t>
            </w:r>
            <w:r w:rsidR="00D8158C" w:rsidRPr="004369A5">
              <w:rPr>
                <w:rFonts w:ascii="Times New Roman" w:hAnsi="Times New Roman" w:cs="Times New Roman"/>
              </w:rPr>
              <w:t xml:space="preserve"> in school</w:t>
            </w:r>
            <w:r w:rsidR="00D8158C">
              <w:rPr>
                <w:rFonts w:ascii="Times New Roman" w:hAnsi="Times New Roman" w:cs="Times New Roman"/>
              </w:rPr>
              <w:t xml:space="preserve"> settings</w:t>
            </w:r>
            <w:r w:rsidRPr="004369A5">
              <w:rPr>
                <w:rFonts w:ascii="Times New Roman" w:hAnsi="Times New Roman" w:cs="Times New Roman"/>
              </w:rPr>
              <w:t xml:space="preserve">”. </w:t>
            </w:r>
          </w:p>
          <w:p w14:paraId="4A1B72DF" w14:textId="6749C13E" w:rsidR="004571A1" w:rsidRPr="006A1506" w:rsidRDefault="004571A1" w:rsidP="006A1506">
            <w:pPr>
              <w:jc w:val="center"/>
            </w:pPr>
          </w:p>
        </w:tc>
        <w:tc>
          <w:tcPr>
            <w:tcW w:w="1584" w:type="dxa"/>
          </w:tcPr>
          <w:p w14:paraId="1A12A9AF" w14:textId="697E4C93" w:rsidR="008249B3" w:rsidRPr="00C426E5" w:rsidRDefault="008249B3" w:rsidP="004369A5">
            <w:pPr>
              <w:pStyle w:val="ListParagraph"/>
              <w:ind w:left="241" w:hanging="180"/>
              <w:rPr>
                <w:rFonts w:ascii="Times New Roman" w:hAnsi="Times New Roman" w:cs="Times New Roman"/>
              </w:rPr>
            </w:pPr>
          </w:p>
        </w:tc>
        <w:tc>
          <w:tcPr>
            <w:tcW w:w="2050" w:type="dxa"/>
          </w:tcPr>
          <w:p w14:paraId="67ABE447" w14:textId="3599011E" w:rsidR="008249B3" w:rsidRPr="006A1506" w:rsidRDefault="00085E8A" w:rsidP="006A1506">
            <w:pPr>
              <w:rPr>
                <w:rFonts w:ascii="Times New Roman" w:hAnsi="Times New Roman" w:cs="Times New Roman"/>
              </w:rPr>
            </w:pPr>
            <w:bookmarkStart w:id="2" w:name="_Hlk9251392"/>
            <w:r>
              <w:rPr>
                <w:rFonts w:ascii="Times New Roman" w:hAnsi="Times New Roman" w:cs="Times New Roman"/>
              </w:rPr>
              <w:t>UNICEF, WHO, WFP and FAO to continue providing technical assistance</w:t>
            </w:r>
            <w:bookmarkEnd w:id="2"/>
          </w:p>
        </w:tc>
        <w:tc>
          <w:tcPr>
            <w:tcW w:w="2180" w:type="dxa"/>
          </w:tcPr>
          <w:p w14:paraId="486170E0" w14:textId="7832FD8C" w:rsidR="008249B3" w:rsidRPr="00C426E5"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O</w:t>
            </w:r>
            <w:r w:rsidR="00CC3118">
              <w:rPr>
                <w:rFonts w:ascii="Times New Roman" w:hAnsi="Times New Roman" w:cs="Times New Roman"/>
              </w:rPr>
              <w:t>NBTC</w:t>
            </w:r>
          </w:p>
          <w:p w14:paraId="5D342F98" w14:textId="387A63FF" w:rsidR="008249B3" w:rsidRPr="00C426E5" w:rsidRDefault="006A1506" w:rsidP="0063214B">
            <w:pPr>
              <w:pStyle w:val="ListParagraph"/>
              <w:numPr>
                <w:ilvl w:val="0"/>
                <w:numId w:val="1"/>
              </w:numPr>
              <w:ind w:left="104" w:hanging="141"/>
              <w:rPr>
                <w:rFonts w:ascii="Times New Roman" w:hAnsi="Times New Roman" w:cs="Times New Roman"/>
              </w:rPr>
            </w:pPr>
            <w:r>
              <w:rPr>
                <w:rFonts w:ascii="Times New Roman" w:hAnsi="Times New Roman" w:cs="Times New Roman"/>
              </w:rPr>
              <w:t>MOPH</w:t>
            </w:r>
          </w:p>
          <w:p w14:paraId="70557681" w14:textId="3DE9C00A" w:rsidR="008249B3" w:rsidRPr="00C426E5"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M</w:t>
            </w:r>
            <w:r w:rsidR="00CC3118">
              <w:rPr>
                <w:rFonts w:ascii="Times New Roman" w:hAnsi="Times New Roman" w:cs="Times New Roman"/>
              </w:rPr>
              <w:t>OI</w:t>
            </w:r>
          </w:p>
          <w:p w14:paraId="7F50D206" w14:textId="7992FDA4" w:rsidR="008249B3" w:rsidRPr="00C426E5"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Ministry of Digital Economy and Society</w:t>
            </w:r>
          </w:p>
          <w:p w14:paraId="2586B6A2" w14:textId="482DF278" w:rsidR="008249B3" w:rsidRPr="00C426E5"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Media</w:t>
            </w:r>
            <w:r w:rsidRPr="00C426E5">
              <w:rPr>
                <w:rFonts w:ascii="Times New Roman" w:hAnsi="Times New Roman" w:cs="Times New Roman"/>
                <w:cs/>
                <w:lang w:bidi="th-TH"/>
              </w:rPr>
              <w:t xml:space="preserve"> </w:t>
            </w:r>
            <w:r w:rsidRPr="00C426E5">
              <w:rPr>
                <w:rFonts w:ascii="Times New Roman" w:hAnsi="Times New Roman" w:cs="Times New Roman"/>
              </w:rPr>
              <w:t>agency</w:t>
            </w:r>
          </w:p>
          <w:p w14:paraId="07AF0852" w14:textId="7F7B04A8" w:rsidR="008249B3" w:rsidRPr="00C426E5" w:rsidRDefault="008249B3" w:rsidP="0063214B">
            <w:pPr>
              <w:pStyle w:val="ListParagraph"/>
              <w:numPr>
                <w:ilvl w:val="0"/>
                <w:numId w:val="1"/>
              </w:numPr>
              <w:ind w:left="104" w:hanging="141"/>
              <w:rPr>
                <w:rFonts w:ascii="Times New Roman" w:hAnsi="Times New Roman" w:cs="Times New Roman"/>
              </w:rPr>
            </w:pPr>
            <w:r w:rsidRPr="00C426E5">
              <w:rPr>
                <w:rFonts w:ascii="Times New Roman" w:hAnsi="Times New Roman" w:cs="Times New Roman"/>
              </w:rPr>
              <w:t xml:space="preserve">Civil society organization       </w:t>
            </w:r>
          </w:p>
        </w:tc>
      </w:tr>
    </w:tbl>
    <w:p w14:paraId="4D9EA179" w14:textId="77777777" w:rsidR="007E6DA0" w:rsidRPr="00AD5348" w:rsidRDefault="007E6DA0" w:rsidP="00935B29">
      <w:pPr>
        <w:rPr>
          <w:rFonts w:cstheme="minorHAnsi"/>
          <w:sz w:val="20"/>
          <w:szCs w:val="20"/>
        </w:rPr>
      </w:pPr>
    </w:p>
    <w:sectPr w:rsidR="007E6DA0" w:rsidRPr="00AD5348" w:rsidSect="0079298C">
      <w:headerReference w:type="default" r:id="rId12"/>
      <w:type w:val="continuous"/>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84925" w14:textId="77777777" w:rsidR="00CF7C11" w:rsidRDefault="00CF7C11" w:rsidP="00705AAA">
      <w:pPr>
        <w:spacing w:after="0" w:line="240" w:lineRule="auto"/>
      </w:pPr>
      <w:r>
        <w:separator/>
      </w:r>
    </w:p>
  </w:endnote>
  <w:endnote w:type="continuationSeparator" w:id="0">
    <w:p w14:paraId="41A4A82D" w14:textId="77777777" w:rsidR="00CF7C11" w:rsidRDefault="00CF7C11" w:rsidP="00705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C2FF8" w14:textId="77777777" w:rsidR="00CF7C11" w:rsidRDefault="00CF7C11" w:rsidP="00705AAA">
      <w:pPr>
        <w:spacing w:after="0" w:line="240" w:lineRule="auto"/>
      </w:pPr>
      <w:r>
        <w:separator/>
      </w:r>
    </w:p>
  </w:footnote>
  <w:footnote w:type="continuationSeparator" w:id="0">
    <w:p w14:paraId="08900A41" w14:textId="77777777" w:rsidR="00CF7C11" w:rsidRDefault="00CF7C11" w:rsidP="00705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34CCF" w14:textId="3D8CBCFB" w:rsidR="00364B70" w:rsidRDefault="00CF7C11" w:rsidP="00537053">
    <w:pPr>
      <w:pStyle w:val="Header"/>
      <w:jc w:val="right"/>
    </w:pPr>
    <w:sdt>
      <w:sdtPr>
        <w:id w:val="755173890"/>
        <w:docPartObj>
          <w:docPartGallery w:val="Page Numbers (Margins)"/>
          <w:docPartUnique/>
        </w:docPartObj>
      </w:sdtPr>
      <w:sdtEndPr/>
      <w:sdtContent>
        <w:r w:rsidR="00364B70">
          <w:rPr>
            <w:noProof/>
          </w:rPr>
          <mc:AlternateContent>
            <mc:Choice Requires="wps">
              <w:drawing>
                <wp:anchor distT="0" distB="0" distL="114300" distR="114300" simplePos="0" relativeHeight="251659264" behindDoc="0" locked="0" layoutInCell="0" allowOverlap="1" wp14:anchorId="583E9DF3" wp14:editId="753E6324">
                  <wp:simplePos x="0" y="0"/>
                  <wp:positionH relativeFrom="rightMargin">
                    <wp:align>center</wp:align>
                  </wp:positionH>
                  <wp:positionV relativeFrom="margin">
                    <wp:align>bottom</wp:align>
                  </wp:positionV>
                  <wp:extent cx="519430" cy="218313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E638C" w14:textId="77777777" w:rsidR="00364B70" w:rsidRDefault="00364B7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rPr>
                                <w:fldChar w:fldCharType="begin"/>
                              </w:r>
                              <w:r>
                                <w:instrText xml:space="preserve"> PAGE    \* MERGEFORMAT </w:instrText>
                              </w:r>
                              <w:r>
                                <w:rPr>
                                  <w:rFonts w:cs="Times New Roman"/>
                                </w:rPr>
                                <w:fldChar w:fldCharType="separate"/>
                              </w:r>
                              <w:r w:rsidRPr="00723EA0">
                                <w:rPr>
                                  <w:rFonts w:asciiTheme="majorHAnsi" w:eastAsiaTheme="majorEastAsia" w:hAnsiTheme="majorHAnsi" w:cstheme="majorBidi"/>
                                  <w:noProof/>
                                  <w:sz w:val="44"/>
                                  <w:szCs w:val="44"/>
                                </w:rPr>
                                <w:t>6</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83E9DF3" id="Rectangle 4" o:spid="_x0000_s1026" style="position:absolute;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" o:allowincell="f" filled="f" stroked="f">
                  <v:textbox style="layout-flow:vertical;mso-layout-flow-alt:bottom-to-top;mso-fit-shape-to-text:t">
                    <w:txbxContent>
                      <w:p w14:paraId="756E638C" w14:textId="77777777" w:rsidR="00364B70" w:rsidRDefault="00364B7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rPr>
                          <w:fldChar w:fldCharType="begin"/>
                        </w:r>
                        <w:r>
                          <w:instrText xml:space="preserve"> PAGE    \* MERGEFORMAT </w:instrText>
                        </w:r>
                        <w:r>
                          <w:rPr>
                            <w:rFonts w:cs="Times New Roman"/>
                          </w:rPr>
                          <w:fldChar w:fldCharType="separate"/>
                        </w:r>
                        <w:r w:rsidRPr="00723EA0">
                          <w:rPr>
                            <w:rFonts w:asciiTheme="majorHAnsi" w:eastAsiaTheme="majorEastAsia" w:hAnsiTheme="majorHAnsi" w:cstheme="majorBidi"/>
                            <w:noProof/>
                            <w:sz w:val="44"/>
                            <w:szCs w:val="44"/>
                          </w:rPr>
                          <w:t>6</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537053">
      <w:t>Updated as of 26 Nov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17526"/>
    <w:multiLevelType w:val="hybridMultilevel"/>
    <w:tmpl w:val="1CB4668A"/>
    <w:lvl w:ilvl="0" w:tplc="406E0A90">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F2E6F"/>
    <w:multiLevelType w:val="hybridMultilevel"/>
    <w:tmpl w:val="8AE01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xsbA0AiJzA0MLcyUdpeDU4uLM/DyQAqNaADRZnWEsAAAA"/>
  </w:docVars>
  <w:rsids>
    <w:rsidRoot w:val="00E00E78"/>
    <w:rsid w:val="00000F6F"/>
    <w:rsid w:val="00001ED6"/>
    <w:rsid w:val="000020C5"/>
    <w:rsid w:val="00002FF6"/>
    <w:rsid w:val="00003F4E"/>
    <w:rsid w:val="000061A1"/>
    <w:rsid w:val="0000647E"/>
    <w:rsid w:val="00013D58"/>
    <w:rsid w:val="00015A6F"/>
    <w:rsid w:val="000177CA"/>
    <w:rsid w:val="00022928"/>
    <w:rsid w:val="00023891"/>
    <w:rsid w:val="00023A50"/>
    <w:rsid w:val="000265FC"/>
    <w:rsid w:val="00026E6A"/>
    <w:rsid w:val="000302FD"/>
    <w:rsid w:val="00030987"/>
    <w:rsid w:val="00035A9E"/>
    <w:rsid w:val="00035FAC"/>
    <w:rsid w:val="00037313"/>
    <w:rsid w:val="000418BE"/>
    <w:rsid w:val="000467CC"/>
    <w:rsid w:val="0006405B"/>
    <w:rsid w:val="0007159C"/>
    <w:rsid w:val="00076AE4"/>
    <w:rsid w:val="00082F84"/>
    <w:rsid w:val="00083A87"/>
    <w:rsid w:val="00084C69"/>
    <w:rsid w:val="00085926"/>
    <w:rsid w:val="00085E8A"/>
    <w:rsid w:val="000905EC"/>
    <w:rsid w:val="00092842"/>
    <w:rsid w:val="00092C9F"/>
    <w:rsid w:val="00094ABC"/>
    <w:rsid w:val="0009563F"/>
    <w:rsid w:val="00097EB1"/>
    <w:rsid w:val="000A0B77"/>
    <w:rsid w:val="000A18D8"/>
    <w:rsid w:val="000A1FE3"/>
    <w:rsid w:val="000A2EC2"/>
    <w:rsid w:val="000A3708"/>
    <w:rsid w:val="000A5507"/>
    <w:rsid w:val="000B1E5B"/>
    <w:rsid w:val="000D138F"/>
    <w:rsid w:val="000D1709"/>
    <w:rsid w:val="000D3FEC"/>
    <w:rsid w:val="000D6156"/>
    <w:rsid w:val="000D74CD"/>
    <w:rsid w:val="000D75B9"/>
    <w:rsid w:val="000E2B81"/>
    <w:rsid w:val="000E373E"/>
    <w:rsid w:val="000E47F9"/>
    <w:rsid w:val="000E6CDD"/>
    <w:rsid w:val="000E7DA8"/>
    <w:rsid w:val="000F2C52"/>
    <w:rsid w:val="000F47D6"/>
    <w:rsid w:val="000F59EB"/>
    <w:rsid w:val="00101557"/>
    <w:rsid w:val="00103901"/>
    <w:rsid w:val="001050AB"/>
    <w:rsid w:val="00107CF2"/>
    <w:rsid w:val="00116494"/>
    <w:rsid w:val="00123457"/>
    <w:rsid w:val="00123DAE"/>
    <w:rsid w:val="00123F9E"/>
    <w:rsid w:val="00125338"/>
    <w:rsid w:val="00125C69"/>
    <w:rsid w:val="00130FB7"/>
    <w:rsid w:val="00131CA4"/>
    <w:rsid w:val="00132ACD"/>
    <w:rsid w:val="001352CD"/>
    <w:rsid w:val="0013541F"/>
    <w:rsid w:val="0014143E"/>
    <w:rsid w:val="00142BF2"/>
    <w:rsid w:val="00143D9B"/>
    <w:rsid w:val="00143F3C"/>
    <w:rsid w:val="00151806"/>
    <w:rsid w:val="00155C1D"/>
    <w:rsid w:val="001627EE"/>
    <w:rsid w:val="00162CF9"/>
    <w:rsid w:val="0016423A"/>
    <w:rsid w:val="00170178"/>
    <w:rsid w:val="00171E67"/>
    <w:rsid w:val="0017390E"/>
    <w:rsid w:val="00173EF8"/>
    <w:rsid w:val="00176DC2"/>
    <w:rsid w:val="00180093"/>
    <w:rsid w:val="00180FF8"/>
    <w:rsid w:val="00182D81"/>
    <w:rsid w:val="0018314C"/>
    <w:rsid w:val="001855A4"/>
    <w:rsid w:val="00191B3D"/>
    <w:rsid w:val="001925BE"/>
    <w:rsid w:val="001944BC"/>
    <w:rsid w:val="00194EC8"/>
    <w:rsid w:val="00195DE0"/>
    <w:rsid w:val="001A136E"/>
    <w:rsid w:val="001A2D15"/>
    <w:rsid w:val="001A69D2"/>
    <w:rsid w:val="001B05AC"/>
    <w:rsid w:val="001B1151"/>
    <w:rsid w:val="001B3B5B"/>
    <w:rsid w:val="001B4D7C"/>
    <w:rsid w:val="001B4FDB"/>
    <w:rsid w:val="001C3C9C"/>
    <w:rsid w:val="001C3DF7"/>
    <w:rsid w:val="001D36AC"/>
    <w:rsid w:val="001D5DDD"/>
    <w:rsid w:val="001D7CFD"/>
    <w:rsid w:val="001E45AA"/>
    <w:rsid w:val="001F13E0"/>
    <w:rsid w:val="001F1B58"/>
    <w:rsid w:val="001F462D"/>
    <w:rsid w:val="001F7382"/>
    <w:rsid w:val="002000B6"/>
    <w:rsid w:val="0020255E"/>
    <w:rsid w:val="00203032"/>
    <w:rsid w:val="00205061"/>
    <w:rsid w:val="002104D9"/>
    <w:rsid w:val="00213048"/>
    <w:rsid w:val="00213DA0"/>
    <w:rsid w:val="00220CAD"/>
    <w:rsid w:val="00223881"/>
    <w:rsid w:val="002253D1"/>
    <w:rsid w:val="00225A45"/>
    <w:rsid w:val="002262BE"/>
    <w:rsid w:val="002263FB"/>
    <w:rsid w:val="00231720"/>
    <w:rsid w:val="00234F4C"/>
    <w:rsid w:val="00235529"/>
    <w:rsid w:val="0023648E"/>
    <w:rsid w:val="00241703"/>
    <w:rsid w:val="00242456"/>
    <w:rsid w:val="00242F21"/>
    <w:rsid w:val="00244092"/>
    <w:rsid w:val="00244E83"/>
    <w:rsid w:val="0024705D"/>
    <w:rsid w:val="00252DA0"/>
    <w:rsid w:val="002561E3"/>
    <w:rsid w:val="002565B2"/>
    <w:rsid w:val="0026261E"/>
    <w:rsid w:val="0026442C"/>
    <w:rsid w:val="002664C3"/>
    <w:rsid w:val="00272D25"/>
    <w:rsid w:val="00274E6A"/>
    <w:rsid w:val="002772D4"/>
    <w:rsid w:val="00281585"/>
    <w:rsid w:val="002827EF"/>
    <w:rsid w:val="00283E91"/>
    <w:rsid w:val="002852EE"/>
    <w:rsid w:val="00285765"/>
    <w:rsid w:val="0028664E"/>
    <w:rsid w:val="00286835"/>
    <w:rsid w:val="002871D3"/>
    <w:rsid w:val="00290FBC"/>
    <w:rsid w:val="00291EE6"/>
    <w:rsid w:val="00292C94"/>
    <w:rsid w:val="002932D9"/>
    <w:rsid w:val="00293512"/>
    <w:rsid w:val="0029355A"/>
    <w:rsid w:val="002976C6"/>
    <w:rsid w:val="002A04EE"/>
    <w:rsid w:val="002A2343"/>
    <w:rsid w:val="002A4161"/>
    <w:rsid w:val="002A467D"/>
    <w:rsid w:val="002A478B"/>
    <w:rsid w:val="002A4BFA"/>
    <w:rsid w:val="002B1DEB"/>
    <w:rsid w:val="002B1F06"/>
    <w:rsid w:val="002B35EB"/>
    <w:rsid w:val="002B6928"/>
    <w:rsid w:val="002B6A5C"/>
    <w:rsid w:val="002B703E"/>
    <w:rsid w:val="002C07D3"/>
    <w:rsid w:val="002C1890"/>
    <w:rsid w:val="002C30E2"/>
    <w:rsid w:val="002C41AD"/>
    <w:rsid w:val="002D04C1"/>
    <w:rsid w:val="002D7460"/>
    <w:rsid w:val="002E15F5"/>
    <w:rsid w:val="002E5E92"/>
    <w:rsid w:val="002F038B"/>
    <w:rsid w:val="002F0D2E"/>
    <w:rsid w:val="002F6727"/>
    <w:rsid w:val="00302E28"/>
    <w:rsid w:val="003033A9"/>
    <w:rsid w:val="003039A8"/>
    <w:rsid w:val="00306224"/>
    <w:rsid w:val="00312C46"/>
    <w:rsid w:val="00314EA9"/>
    <w:rsid w:val="003215B9"/>
    <w:rsid w:val="00324C33"/>
    <w:rsid w:val="00326D5C"/>
    <w:rsid w:val="00327371"/>
    <w:rsid w:val="00327801"/>
    <w:rsid w:val="00330EEA"/>
    <w:rsid w:val="0033253D"/>
    <w:rsid w:val="00334B49"/>
    <w:rsid w:val="00336357"/>
    <w:rsid w:val="00351ECA"/>
    <w:rsid w:val="003539A2"/>
    <w:rsid w:val="00355060"/>
    <w:rsid w:val="0036065B"/>
    <w:rsid w:val="00360EE0"/>
    <w:rsid w:val="00361C6B"/>
    <w:rsid w:val="003624B9"/>
    <w:rsid w:val="00362D29"/>
    <w:rsid w:val="00364B70"/>
    <w:rsid w:val="003705C6"/>
    <w:rsid w:val="003707D0"/>
    <w:rsid w:val="00370E75"/>
    <w:rsid w:val="003714DA"/>
    <w:rsid w:val="00374293"/>
    <w:rsid w:val="00375636"/>
    <w:rsid w:val="00377A32"/>
    <w:rsid w:val="003826B0"/>
    <w:rsid w:val="00385538"/>
    <w:rsid w:val="003879F2"/>
    <w:rsid w:val="00390366"/>
    <w:rsid w:val="00394D23"/>
    <w:rsid w:val="00397C28"/>
    <w:rsid w:val="003A5853"/>
    <w:rsid w:val="003B00B3"/>
    <w:rsid w:val="003B25A4"/>
    <w:rsid w:val="003B2ED7"/>
    <w:rsid w:val="003B335B"/>
    <w:rsid w:val="003B38F6"/>
    <w:rsid w:val="003B60D4"/>
    <w:rsid w:val="003B64D9"/>
    <w:rsid w:val="003C0E8F"/>
    <w:rsid w:val="003C3D33"/>
    <w:rsid w:val="003C55EF"/>
    <w:rsid w:val="003C6681"/>
    <w:rsid w:val="003D3012"/>
    <w:rsid w:val="003D43D3"/>
    <w:rsid w:val="003D6C6F"/>
    <w:rsid w:val="003D7BC5"/>
    <w:rsid w:val="003D7D24"/>
    <w:rsid w:val="003E188A"/>
    <w:rsid w:val="003E31AE"/>
    <w:rsid w:val="003E4BF9"/>
    <w:rsid w:val="003F0BDC"/>
    <w:rsid w:val="003F22F7"/>
    <w:rsid w:val="003F5061"/>
    <w:rsid w:val="003F5FA7"/>
    <w:rsid w:val="00406D13"/>
    <w:rsid w:val="00410120"/>
    <w:rsid w:val="00410BCB"/>
    <w:rsid w:val="00412342"/>
    <w:rsid w:val="00416DC8"/>
    <w:rsid w:val="004246E3"/>
    <w:rsid w:val="00425A85"/>
    <w:rsid w:val="004306E0"/>
    <w:rsid w:val="0043428B"/>
    <w:rsid w:val="00434927"/>
    <w:rsid w:val="004369A5"/>
    <w:rsid w:val="0043745C"/>
    <w:rsid w:val="00440C21"/>
    <w:rsid w:val="004422A0"/>
    <w:rsid w:val="00444205"/>
    <w:rsid w:val="0044443E"/>
    <w:rsid w:val="00454E62"/>
    <w:rsid w:val="004571A1"/>
    <w:rsid w:val="0045759A"/>
    <w:rsid w:val="0046066B"/>
    <w:rsid w:val="00462A08"/>
    <w:rsid w:val="00466539"/>
    <w:rsid w:val="004668EC"/>
    <w:rsid w:val="00470037"/>
    <w:rsid w:val="00470134"/>
    <w:rsid w:val="004714D3"/>
    <w:rsid w:val="00471A68"/>
    <w:rsid w:val="004745B9"/>
    <w:rsid w:val="00480E5D"/>
    <w:rsid w:val="004820FC"/>
    <w:rsid w:val="004828A6"/>
    <w:rsid w:val="004900C1"/>
    <w:rsid w:val="00490DF2"/>
    <w:rsid w:val="0049385D"/>
    <w:rsid w:val="00496091"/>
    <w:rsid w:val="004966EC"/>
    <w:rsid w:val="00497071"/>
    <w:rsid w:val="004B0F8C"/>
    <w:rsid w:val="004B45AB"/>
    <w:rsid w:val="004B5246"/>
    <w:rsid w:val="004B66C7"/>
    <w:rsid w:val="004C5316"/>
    <w:rsid w:val="004C6510"/>
    <w:rsid w:val="004C6B68"/>
    <w:rsid w:val="004D00F3"/>
    <w:rsid w:val="004D1C32"/>
    <w:rsid w:val="004D52EF"/>
    <w:rsid w:val="004D55B1"/>
    <w:rsid w:val="004E0964"/>
    <w:rsid w:val="004E1696"/>
    <w:rsid w:val="004E3B94"/>
    <w:rsid w:val="004E7E8F"/>
    <w:rsid w:val="004F1466"/>
    <w:rsid w:val="004F36EE"/>
    <w:rsid w:val="004F5105"/>
    <w:rsid w:val="004F5EF6"/>
    <w:rsid w:val="00501C58"/>
    <w:rsid w:val="005023D2"/>
    <w:rsid w:val="00502D00"/>
    <w:rsid w:val="00510703"/>
    <w:rsid w:val="00514FDD"/>
    <w:rsid w:val="00515838"/>
    <w:rsid w:val="00517DCD"/>
    <w:rsid w:val="0052047C"/>
    <w:rsid w:val="00521768"/>
    <w:rsid w:val="00521E2A"/>
    <w:rsid w:val="005244C6"/>
    <w:rsid w:val="005247DC"/>
    <w:rsid w:val="00526D1D"/>
    <w:rsid w:val="00531306"/>
    <w:rsid w:val="005314E9"/>
    <w:rsid w:val="0053180C"/>
    <w:rsid w:val="005320DE"/>
    <w:rsid w:val="0053448C"/>
    <w:rsid w:val="005355B4"/>
    <w:rsid w:val="00535F1F"/>
    <w:rsid w:val="00536499"/>
    <w:rsid w:val="00537053"/>
    <w:rsid w:val="005376FB"/>
    <w:rsid w:val="00544B6A"/>
    <w:rsid w:val="005453E3"/>
    <w:rsid w:val="005469E3"/>
    <w:rsid w:val="00547962"/>
    <w:rsid w:val="0055195F"/>
    <w:rsid w:val="00552214"/>
    <w:rsid w:val="00561148"/>
    <w:rsid w:val="00562A96"/>
    <w:rsid w:val="00562C33"/>
    <w:rsid w:val="00565E9B"/>
    <w:rsid w:val="00566A7A"/>
    <w:rsid w:val="0056786B"/>
    <w:rsid w:val="005735E2"/>
    <w:rsid w:val="0057540B"/>
    <w:rsid w:val="005757D7"/>
    <w:rsid w:val="00576311"/>
    <w:rsid w:val="005808E8"/>
    <w:rsid w:val="00581EF4"/>
    <w:rsid w:val="0058213F"/>
    <w:rsid w:val="00582D7C"/>
    <w:rsid w:val="005848F8"/>
    <w:rsid w:val="00587275"/>
    <w:rsid w:val="00591CC1"/>
    <w:rsid w:val="00597C19"/>
    <w:rsid w:val="005A6014"/>
    <w:rsid w:val="005B497C"/>
    <w:rsid w:val="005B6530"/>
    <w:rsid w:val="005B665F"/>
    <w:rsid w:val="005B7949"/>
    <w:rsid w:val="005C130F"/>
    <w:rsid w:val="005C6A60"/>
    <w:rsid w:val="005D0B2B"/>
    <w:rsid w:val="005D5E9F"/>
    <w:rsid w:val="005D6B32"/>
    <w:rsid w:val="005E3278"/>
    <w:rsid w:val="005E4AD8"/>
    <w:rsid w:val="005E4EB6"/>
    <w:rsid w:val="005F0AF4"/>
    <w:rsid w:val="005F4762"/>
    <w:rsid w:val="006001B7"/>
    <w:rsid w:val="00601D21"/>
    <w:rsid w:val="006059BC"/>
    <w:rsid w:val="006119FD"/>
    <w:rsid w:val="00611EC4"/>
    <w:rsid w:val="00612FA8"/>
    <w:rsid w:val="00613DF5"/>
    <w:rsid w:val="00631ECC"/>
    <w:rsid w:val="0063214B"/>
    <w:rsid w:val="00637B31"/>
    <w:rsid w:val="00640A78"/>
    <w:rsid w:val="006430CE"/>
    <w:rsid w:val="00645179"/>
    <w:rsid w:val="00647A64"/>
    <w:rsid w:val="00647DB8"/>
    <w:rsid w:val="006519B7"/>
    <w:rsid w:val="00660F78"/>
    <w:rsid w:val="0066162F"/>
    <w:rsid w:val="006622C9"/>
    <w:rsid w:val="00662ECB"/>
    <w:rsid w:val="00663096"/>
    <w:rsid w:val="0066671B"/>
    <w:rsid w:val="00667C28"/>
    <w:rsid w:val="006707B0"/>
    <w:rsid w:val="00673EAF"/>
    <w:rsid w:val="00674F74"/>
    <w:rsid w:val="00686241"/>
    <w:rsid w:val="00686874"/>
    <w:rsid w:val="00690A04"/>
    <w:rsid w:val="006976D8"/>
    <w:rsid w:val="006A05A8"/>
    <w:rsid w:val="006A1506"/>
    <w:rsid w:val="006A3737"/>
    <w:rsid w:val="006A469B"/>
    <w:rsid w:val="006A4FFA"/>
    <w:rsid w:val="006A6B80"/>
    <w:rsid w:val="006A6F9A"/>
    <w:rsid w:val="006B03D2"/>
    <w:rsid w:val="006B1F9B"/>
    <w:rsid w:val="006B3C65"/>
    <w:rsid w:val="006B4C32"/>
    <w:rsid w:val="006B4FEE"/>
    <w:rsid w:val="006B622C"/>
    <w:rsid w:val="006B6A1B"/>
    <w:rsid w:val="006B7AAE"/>
    <w:rsid w:val="006C4497"/>
    <w:rsid w:val="006C7B9F"/>
    <w:rsid w:val="006D0308"/>
    <w:rsid w:val="006D0DAA"/>
    <w:rsid w:val="006D3ABA"/>
    <w:rsid w:val="006E01A7"/>
    <w:rsid w:val="006E30EF"/>
    <w:rsid w:val="006E71C6"/>
    <w:rsid w:val="006F4545"/>
    <w:rsid w:val="006F4E2E"/>
    <w:rsid w:val="006F67F8"/>
    <w:rsid w:val="0070075A"/>
    <w:rsid w:val="00702A4B"/>
    <w:rsid w:val="00703303"/>
    <w:rsid w:val="00705AAA"/>
    <w:rsid w:val="007061BB"/>
    <w:rsid w:val="00707D88"/>
    <w:rsid w:val="007102D8"/>
    <w:rsid w:val="00711953"/>
    <w:rsid w:val="00711D78"/>
    <w:rsid w:val="0071344A"/>
    <w:rsid w:val="00715935"/>
    <w:rsid w:val="00722252"/>
    <w:rsid w:val="00722450"/>
    <w:rsid w:val="00723EA0"/>
    <w:rsid w:val="00724413"/>
    <w:rsid w:val="007268F6"/>
    <w:rsid w:val="00727687"/>
    <w:rsid w:val="00733DB4"/>
    <w:rsid w:val="00734CD7"/>
    <w:rsid w:val="0073699C"/>
    <w:rsid w:val="00744F20"/>
    <w:rsid w:val="00752FF2"/>
    <w:rsid w:val="0075332F"/>
    <w:rsid w:val="00753EA6"/>
    <w:rsid w:val="00753F3D"/>
    <w:rsid w:val="007544B6"/>
    <w:rsid w:val="00754F6E"/>
    <w:rsid w:val="00755528"/>
    <w:rsid w:val="00756699"/>
    <w:rsid w:val="00761334"/>
    <w:rsid w:val="00761983"/>
    <w:rsid w:val="00762A7B"/>
    <w:rsid w:val="00770E08"/>
    <w:rsid w:val="00780FB2"/>
    <w:rsid w:val="007835C9"/>
    <w:rsid w:val="0078775F"/>
    <w:rsid w:val="007900AF"/>
    <w:rsid w:val="007914D4"/>
    <w:rsid w:val="00791BD9"/>
    <w:rsid w:val="0079298C"/>
    <w:rsid w:val="00794234"/>
    <w:rsid w:val="00795209"/>
    <w:rsid w:val="00797294"/>
    <w:rsid w:val="007A04EB"/>
    <w:rsid w:val="007A16DB"/>
    <w:rsid w:val="007A4197"/>
    <w:rsid w:val="007A64A0"/>
    <w:rsid w:val="007A6D8D"/>
    <w:rsid w:val="007A70F5"/>
    <w:rsid w:val="007A7213"/>
    <w:rsid w:val="007B033C"/>
    <w:rsid w:val="007B143B"/>
    <w:rsid w:val="007B28EE"/>
    <w:rsid w:val="007B6F18"/>
    <w:rsid w:val="007B75DB"/>
    <w:rsid w:val="007D0056"/>
    <w:rsid w:val="007D0603"/>
    <w:rsid w:val="007D1588"/>
    <w:rsid w:val="007D303D"/>
    <w:rsid w:val="007D5B8B"/>
    <w:rsid w:val="007D675B"/>
    <w:rsid w:val="007D6FF7"/>
    <w:rsid w:val="007D7CF7"/>
    <w:rsid w:val="007E00AF"/>
    <w:rsid w:val="007E060C"/>
    <w:rsid w:val="007E0C5B"/>
    <w:rsid w:val="007E0FD1"/>
    <w:rsid w:val="007E6DA0"/>
    <w:rsid w:val="007F26CA"/>
    <w:rsid w:val="007F34FD"/>
    <w:rsid w:val="007F35A6"/>
    <w:rsid w:val="007F43B8"/>
    <w:rsid w:val="007F55E6"/>
    <w:rsid w:val="007F6660"/>
    <w:rsid w:val="00800A5E"/>
    <w:rsid w:val="00805042"/>
    <w:rsid w:val="008050A3"/>
    <w:rsid w:val="00807B67"/>
    <w:rsid w:val="0081228D"/>
    <w:rsid w:val="00821234"/>
    <w:rsid w:val="00821781"/>
    <w:rsid w:val="008249B3"/>
    <w:rsid w:val="0082601B"/>
    <w:rsid w:val="008270FB"/>
    <w:rsid w:val="008300DE"/>
    <w:rsid w:val="00830937"/>
    <w:rsid w:val="00830B5A"/>
    <w:rsid w:val="00832E01"/>
    <w:rsid w:val="008334C8"/>
    <w:rsid w:val="0083361C"/>
    <w:rsid w:val="0083373C"/>
    <w:rsid w:val="00834110"/>
    <w:rsid w:val="008514AA"/>
    <w:rsid w:val="0085217A"/>
    <w:rsid w:val="00854B8E"/>
    <w:rsid w:val="00854EC1"/>
    <w:rsid w:val="00861B2F"/>
    <w:rsid w:val="0086558D"/>
    <w:rsid w:val="00867245"/>
    <w:rsid w:val="00870829"/>
    <w:rsid w:val="00872285"/>
    <w:rsid w:val="00874DE2"/>
    <w:rsid w:val="0087591E"/>
    <w:rsid w:val="0088206F"/>
    <w:rsid w:val="00883607"/>
    <w:rsid w:val="008851D0"/>
    <w:rsid w:val="00887966"/>
    <w:rsid w:val="00890894"/>
    <w:rsid w:val="0089130F"/>
    <w:rsid w:val="00892C81"/>
    <w:rsid w:val="00893985"/>
    <w:rsid w:val="0089433C"/>
    <w:rsid w:val="00895F36"/>
    <w:rsid w:val="0089690E"/>
    <w:rsid w:val="008969D0"/>
    <w:rsid w:val="008A254E"/>
    <w:rsid w:val="008A27F5"/>
    <w:rsid w:val="008B0F66"/>
    <w:rsid w:val="008B3027"/>
    <w:rsid w:val="008B4A30"/>
    <w:rsid w:val="008B5366"/>
    <w:rsid w:val="008B66A6"/>
    <w:rsid w:val="008C19A7"/>
    <w:rsid w:val="008C4DE6"/>
    <w:rsid w:val="008C5031"/>
    <w:rsid w:val="008C527F"/>
    <w:rsid w:val="008C68B7"/>
    <w:rsid w:val="008C7302"/>
    <w:rsid w:val="008D29B1"/>
    <w:rsid w:val="008D5974"/>
    <w:rsid w:val="008D6AC3"/>
    <w:rsid w:val="008E1A8B"/>
    <w:rsid w:val="008E7080"/>
    <w:rsid w:val="008E7954"/>
    <w:rsid w:val="008F02FF"/>
    <w:rsid w:val="008F0D45"/>
    <w:rsid w:val="008F55CA"/>
    <w:rsid w:val="00901403"/>
    <w:rsid w:val="00903CEC"/>
    <w:rsid w:val="00905B8B"/>
    <w:rsid w:val="00906A2F"/>
    <w:rsid w:val="009078C2"/>
    <w:rsid w:val="009105A3"/>
    <w:rsid w:val="00910AE0"/>
    <w:rsid w:val="00912285"/>
    <w:rsid w:val="00912785"/>
    <w:rsid w:val="00912899"/>
    <w:rsid w:val="009140E0"/>
    <w:rsid w:val="00915294"/>
    <w:rsid w:val="00916842"/>
    <w:rsid w:val="00917F03"/>
    <w:rsid w:val="009201F2"/>
    <w:rsid w:val="009221FE"/>
    <w:rsid w:val="00927D1C"/>
    <w:rsid w:val="00927F32"/>
    <w:rsid w:val="00935B29"/>
    <w:rsid w:val="00935E44"/>
    <w:rsid w:val="00936B03"/>
    <w:rsid w:val="0094632F"/>
    <w:rsid w:val="00946C29"/>
    <w:rsid w:val="0094760D"/>
    <w:rsid w:val="00947FAF"/>
    <w:rsid w:val="0095117E"/>
    <w:rsid w:val="009518F8"/>
    <w:rsid w:val="00953E6F"/>
    <w:rsid w:val="00954015"/>
    <w:rsid w:val="009569F6"/>
    <w:rsid w:val="00961EA5"/>
    <w:rsid w:val="00962D0B"/>
    <w:rsid w:val="0096788C"/>
    <w:rsid w:val="00967B48"/>
    <w:rsid w:val="00967D27"/>
    <w:rsid w:val="00973AD8"/>
    <w:rsid w:val="0098051A"/>
    <w:rsid w:val="009816B5"/>
    <w:rsid w:val="00981A9C"/>
    <w:rsid w:val="00982045"/>
    <w:rsid w:val="00983219"/>
    <w:rsid w:val="009836CD"/>
    <w:rsid w:val="00983BC2"/>
    <w:rsid w:val="009850BD"/>
    <w:rsid w:val="00985692"/>
    <w:rsid w:val="009900B4"/>
    <w:rsid w:val="0099517D"/>
    <w:rsid w:val="0099778C"/>
    <w:rsid w:val="009978BE"/>
    <w:rsid w:val="00997908"/>
    <w:rsid w:val="009A1AB9"/>
    <w:rsid w:val="009A4F66"/>
    <w:rsid w:val="009A5A62"/>
    <w:rsid w:val="009B13F5"/>
    <w:rsid w:val="009B1EA1"/>
    <w:rsid w:val="009B3897"/>
    <w:rsid w:val="009B420B"/>
    <w:rsid w:val="009B6679"/>
    <w:rsid w:val="009B7529"/>
    <w:rsid w:val="009C5DE0"/>
    <w:rsid w:val="009D11BA"/>
    <w:rsid w:val="009D47FF"/>
    <w:rsid w:val="009D650F"/>
    <w:rsid w:val="009E075A"/>
    <w:rsid w:val="009E5A10"/>
    <w:rsid w:val="009F2491"/>
    <w:rsid w:val="009F32EC"/>
    <w:rsid w:val="009F5932"/>
    <w:rsid w:val="009F6EE0"/>
    <w:rsid w:val="00A01816"/>
    <w:rsid w:val="00A018FE"/>
    <w:rsid w:val="00A034DF"/>
    <w:rsid w:val="00A05BE2"/>
    <w:rsid w:val="00A10027"/>
    <w:rsid w:val="00A130EE"/>
    <w:rsid w:val="00A14596"/>
    <w:rsid w:val="00A14BDF"/>
    <w:rsid w:val="00A14DCC"/>
    <w:rsid w:val="00A16098"/>
    <w:rsid w:val="00A163F6"/>
    <w:rsid w:val="00A20953"/>
    <w:rsid w:val="00A2568B"/>
    <w:rsid w:val="00A32116"/>
    <w:rsid w:val="00A35CF1"/>
    <w:rsid w:val="00A360DE"/>
    <w:rsid w:val="00A36130"/>
    <w:rsid w:val="00A408EA"/>
    <w:rsid w:val="00A424B5"/>
    <w:rsid w:val="00A42C29"/>
    <w:rsid w:val="00A53C1F"/>
    <w:rsid w:val="00A62ACB"/>
    <w:rsid w:val="00A63FC2"/>
    <w:rsid w:val="00A6438A"/>
    <w:rsid w:val="00A67730"/>
    <w:rsid w:val="00A83C14"/>
    <w:rsid w:val="00A937D2"/>
    <w:rsid w:val="00A959E4"/>
    <w:rsid w:val="00AA07FB"/>
    <w:rsid w:val="00AA2065"/>
    <w:rsid w:val="00AA38D3"/>
    <w:rsid w:val="00AA3D00"/>
    <w:rsid w:val="00AA4766"/>
    <w:rsid w:val="00AA5511"/>
    <w:rsid w:val="00AA7EFF"/>
    <w:rsid w:val="00AB11D0"/>
    <w:rsid w:val="00AB645C"/>
    <w:rsid w:val="00AB67BA"/>
    <w:rsid w:val="00AB6C9B"/>
    <w:rsid w:val="00AB72D5"/>
    <w:rsid w:val="00AB7700"/>
    <w:rsid w:val="00AC2D5E"/>
    <w:rsid w:val="00AC40A3"/>
    <w:rsid w:val="00AC462B"/>
    <w:rsid w:val="00AC666B"/>
    <w:rsid w:val="00AC6790"/>
    <w:rsid w:val="00AC71B4"/>
    <w:rsid w:val="00AD09C3"/>
    <w:rsid w:val="00AD5289"/>
    <w:rsid w:val="00AD5348"/>
    <w:rsid w:val="00AD5CC1"/>
    <w:rsid w:val="00AE1ADB"/>
    <w:rsid w:val="00AE25C5"/>
    <w:rsid w:val="00AE3379"/>
    <w:rsid w:val="00AE42FF"/>
    <w:rsid w:val="00AE4F75"/>
    <w:rsid w:val="00AE7CBF"/>
    <w:rsid w:val="00AF1619"/>
    <w:rsid w:val="00AF4598"/>
    <w:rsid w:val="00B0153B"/>
    <w:rsid w:val="00B016EC"/>
    <w:rsid w:val="00B02487"/>
    <w:rsid w:val="00B02720"/>
    <w:rsid w:val="00B04E0F"/>
    <w:rsid w:val="00B07D22"/>
    <w:rsid w:val="00B103B9"/>
    <w:rsid w:val="00B174F0"/>
    <w:rsid w:val="00B22D41"/>
    <w:rsid w:val="00B24F2A"/>
    <w:rsid w:val="00B3102E"/>
    <w:rsid w:val="00B31D17"/>
    <w:rsid w:val="00B32367"/>
    <w:rsid w:val="00B32445"/>
    <w:rsid w:val="00B33112"/>
    <w:rsid w:val="00B3390C"/>
    <w:rsid w:val="00B340BB"/>
    <w:rsid w:val="00B35333"/>
    <w:rsid w:val="00B377F9"/>
    <w:rsid w:val="00B37AE9"/>
    <w:rsid w:val="00B40321"/>
    <w:rsid w:val="00B412C0"/>
    <w:rsid w:val="00B4274F"/>
    <w:rsid w:val="00B44E23"/>
    <w:rsid w:val="00B45826"/>
    <w:rsid w:val="00B47403"/>
    <w:rsid w:val="00B54B1A"/>
    <w:rsid w:val="00B54EFA"/>
    <w:rsid w:val="00B57215"/>
    <w:rsid w:val="00B64482"/>
    <w:rsid w:val="00B65187"/>
    <w:rsid w:val="00B6737F"/>
    <w:rsid w:val="00B70725"/>
    <w:rsid w:val="00B72651"/>
    <w:rsid w:val="00B7329C"/>
    <w:rsid w:val="00B75FA4"/>
    <w:rsid w:val="00B82AA2"/>
    <w:rsid w:val="00B85132"/>
    <w:rsid w:val="00B86850"/>
    <w:rsid w:val="00B86ADB"/>
    <w:rsid w:val="00B9430C"/>
    <w:rsid w:val="00B970FB"/>
    <w:rsid w:val="00BA2046"/>
    <w:rsid w:val="00BA2A76"/>
    <w:rsid w:val="00BA2E9A"/>
    <w:rsid w:val="00BA46B5"/>
    <w:rsid w:val="00BA4B7B"/>
    <w:rsid w:val="00BA655C"/>
    <w:rsid w:val="00BB1F48"/>
    <w:rsid w:val="00BB5642"/>
    <w:rsid w:val="00BC4C5C"/>
    <w:rsid w:val="00BD02F9"/>
    <w:rsid w:val="00BD2E7A"/>
    <w:rsid w:val="00BD3216"/>
    <w:rsid w:val="00BD3AE2"/>
    <w:rsid w:val="00BD5C2F"/>
    <w:rsid w:val="00BD6147"/>
    <w:rsid w:val="00BD7F95"/>
    <w:rsid w:val="00BE0172"/>
    <w:rsid w:val="00BE0281"/>
    <w:rsid w:val="00BE2918"/>
    <w:rsid w:val="00BE3721"/>
    <w:rsid w:val="00BE3B84"/>
    <w:rsid w:val="00BE6540"/>
    <w:rsid w:val="00BE68CB"/>
    <w:rsid w:val="00BF0119"/>
    <w:rsid w:val="00BF56F7"/>
    <w:rsid w:val="00BF5776"/>
    <w:rsid w:val="00BF729F"/>
    <w:rsid w:val="00C0137A"/>
    <w:rsid w:val="00C01EEC"/>
    <w:rsid w:val="00C04957"/>
    <w:rsid w:val="00C05769"/>
    <w:rsid w:val="00C06877"/>
    <w:rsid w:val="00C0720F"/>
    <w:rsid w:val="00C12ECF"/>
    <w:rsid w:val="00C140DA"/>
    <w:rsid w:val="00C2039C"/>
    <w:rsid w:val="00C3160D"/>
    <w:rsid w:val="00C31A01"/>
    <w:rsid w:val="00C33002"/>
    <w:rsid w:val="00C379B7"/>
    <w:rsid w:val="00C426E5"/>
    <w:rsid w:val="00C44EC6"/>
    <w:rsid w:val="00C50841"/>
    <w:rsid w:val="00C5290E"/>
    <w:rsid w:val="00C537FA"/>
    <w:rsid w:val="00C5573C"/>
    <w:rsid w:val="00C56F39"/>
    <w:rsid w:val="00C57668"/>
    <w:rsid w:val="00C57897"/>
    <w:rsid w:val="00C60BDD"/>
    <w:rsid w:val="00C63ADB"/>
    <w:rsid w:val="00C643D3"/>
    <w:rsid w:val="00C65D7B"/>
    <w:rsid w:val="00C712D0"/>
    <w:rsid w:val="00C71807"/>
    <w:rsid w:val="00C72E9A"/>
    <w:rsid w:val="00C7327C"/>
    <w:rsid w:val="00C74161"/>
    <w:rsid w:val="00C823E6"/>
    <w:rsid w:val="00C8785D"/>
    <w:rsid w:val="00C95DA2"/>
    <w:rsid w:val="00CA145F"/>
    <w:rsid w:val="00CA2C2C"/>
    <w:rsid w:val="00CA2E60"/>
    <w:rsid w:val="00CA36C1"/>
    <w:rsid w:val="00CA41BF"/>
    <w:rsid w:val="00CA6AD1"/>
    <w:rsid w:val="00CA73AA"/>
    <w:rsid w:val="00CB0E6A"/>
    <w:rsid w:val="00CB0EBC"/>
    <w:rsid w:val="00CB1246"/>
    <w:rsid w:val="00CB7AE5"/>
    <w:rsid w:val="00CC3118"/>
    <w:rsid w:val="00CC7AA5"/>
    <w:rsid w:val="00CD2681"/>
    <w:rsid w:val="00CD2EAF"/>
    <w:rsid w:val="00CD3991"/>
    <w:rsid w:val="00CD779C"/>
    <w:rsid w:val="00CE0DAF"/>
    <w:rsid w:val="00CE43E5"/>
    <w:rsid w:val="00CE4DB4"/>
    <w:rsid w:val="00CE5588"/>
    <w:rsid w:val="00CE66E8"/>
    <w:rsid w:val="00CF109D"/>
    <w:rsid w:val="00CF123B"/>
    <w:rsid w:val="00CF15ED"/>
    <w:rsid w:val="00CF3BB4"/>
    <w:rsid w:val="00CF3FB5"/>
    <w:rsid w:val="00CF684D"/>
    <w:rsid w:val="00CF6C40"/>
    <w:rsid w:val="00CF7C11"/>
    <w:rsid w:val="00D0423B"/>
    <w:rsid w:val="00D05AB4"/>
    <w:rsid w:val="00D05D07"/>
    <w:rsid w:val="00D1067E"/>
    <w:rsid w:val="00D1136D"/>
    <w:rsid w:val="00D1311E"/>
    <w:rsid w:val="00D1322D"/>
    <w:rsid w:val="00D1424A"/>
    <w:rsid w:val="00D14F29"/>
    <w:rsid w:val="00D1538E"/>
    <w:rsid w:val="00D16119"/>
    <w:rsid w:val="00D166B5"/>
    <w:rsid w:val="00D16CFA"/>
    <w:rsid w:val="00D30AC7"/>
    <w:rsid w:val="00D32323"/>
    <w:rsid w:val="00D34B3E"/>
    <w:rsid w:val="00D36AB9"/>
    <w:rsid w:val="00D41DEC"/>
    <w:rsid w:val="00D430C8"/>
    <w:rsid w:val="00D433A5"/>
    <w:rsid w:val="00D4389D"/>
    <w:rsid w:val="00D44F51"/>
    <w:rsid w:val="00D4573D"/>
    <w:rsid w:val="00D51448"/>
    <w:rsid w:val="00D5491A"/>
    <w:rsid w:val="00D57888"/>
    <w:rsid w:val="00D57E65"/>
    <w:rsid w:val="00D61BD1"/>
    <w:rsid w:val="00D62675"/>
    <w:rsid w:val="00D63D51"/>
    <w:rsid w:val="00D66FCF"/>
    <w:rsid w:val="00D730F0"/>
    <w:rsid w:val="00D749EB"/>
    <w:rsid w:val="00D76074"/>
    <w:rsid w:val="00D8158C"/>
    <w:rsid w:val="00D85E1C"/>
    <w:rsid w:val="00D86402"/>
    <w:rsid w:val="00D9484D"/>
    <w:rsid w:val="00D95087"/>
    <w:rsid w:val="00DA15CD"/>
    <w:rsid w:val="00DA27D8"/>
    <w:rsid w:val="00DA45FF"/>
    <w:rsid w:val="00DA466F"/>
    <w:rsid w:val="00DA68FC"/>
    <w:rsid w:val="00DA69C7"/>
    <w:rsid w:val="00DB2176"/>
    <w:rsid w:val="00DB2183"/>
    <w:rsid w:val="00DB2698"/>
    <w:rsid w:val="00DB3B41"/>
    <w:rsid w:val="00DB58F8"/>
    <w:rsid w:val="00DC3571"/>
    <w:rsid w:val="00DC481C"/>
    <w:rsid w:val="00DC623E"/>
    <w:rsid w:val="00DC7184"/>
    <w:rsid w:val="00DD0733"/>
    <w:rsid w:val="00DD2CCD"/>
    <w:rsid w:val="00DD3617"/>
    <w:rsid w:val="00DD4CCF"/>
    <w:rsid w:val="00DD673B"/>
    <w:rsid w:val="00DE2D6F"/>
    <w:rsid w:val="00DE303B"/>
    <w:rsid w:val="00DF0A1E"/>
    <w:rsid w:val="00DF1048"/>
    <w:rsid w:val="00DF2F84"/>
    <w:rsid w:val="00DF77D6"/>
    <w:rsid w:val="00E00E78"/>
    <w:rsid w:val="00E02FA2"/>
    <w:rsid w:val="00E03361"/>
    <w:rsid w:val="00E06841"/>
    <w:rsid w:val="00E1078B"/>
    <w:rsid w:val="00E129E4"/>
    <w:rsid w:val="00E1308A"/>
    <w:rsid w:val="00E1463D"/>
    <w:rsid w:val="00E23203"/>
    <w:rsid w:val="00E253F3"/>
    <w:rsid w:val="00E26390"/>
    <w:rsid w:val="00E275DB"/>
    <w:rsid w:val="00E27AF9"/>
    <w:rsid w:val="00E27B71"/>
    <w:rsid w:val="00E31405"/>
    <w:rsid w:val="00E37841"/>
    <w:rsid w:val="00E40095"/>
    <w:rsid w:val="00E41CFA"/>
    <w:rsid w:val="00E425FC"/>
    <w:rsid w:val="00E47B95"/>
    <w:rsid w:val="00E5069E"/>
    <w:rsid w:val="00E51146"/>
    <w:rsid w:val="00E541A1"/>
    <w:rsid w:val="00E54242"/>
    <w:rsid w:val="00E5483F"/>
    <w:rsid w:val="00E550D6"/>
    <w:rsid w:val="00E557EF"/>
    <w:rsid w:val="00E60679"/>
    <w:rsid w:val="00E610B5"/>
    <w:rsid w:val="00E6126C"/>
    <w:rsid w:val="00E70ABF"/>
    <w:rsid w:val="00E73540"/>
    <w:rsid w:val="00E77CA5"/>
    <w:rsid w:val="00E975BD"/>
    <w:rsid w:val="00EA4712"/>
    <w:rsid w:val="00EB1FB9"/>
    <w:rsid w:val="00EB61A7"/>
    <w:rsid w:val="00EC23CF"/>
    <w:rsid w:val="00EC4BD1"/>
    <w:rsid w:val="00ED59AE"/>
    <w:rsid w:val="00EE055C"/>
    <w:rsid w:val="00EE26DC"/>
    <w:rsid w:val="00EE2C91"/>
    <w:rsid w:val="00EE3A0A"/>
    <w:rsid w:val="00EE3B65"/>
    <w:rsid w:val="00EE6CB8"/>
    <w:rsid w:val="00EE7491"/>
    <w:rsid w:val="00EF2F3B"/>
    <w:rsid w:val="00EF51EA"/>
    <w:rsid w:val="00EF59BF"/>
    <w:rsid w:val="00F0542B"/>
    <w:rsid w:val="00F054DB"/>
    <w:rsid w:val="00F0662C"/>
    <w:rsid w:val="00F06EAD"/>
    <w:rsid w:val="00F071EE"/>
    <w:rsid w:val="00F078E2"/>
    <w:rsid w:val="00F07A37"/>
    <w:rsid w:val="00F13570"/>
    <w:rsid w:val="00F1378C"/>
    <w:rsid w:val="00F14347"/>
    <w:rsid w:val="00F146B2"/>
    <w:rsid w:val="00F149C0"/>
    <w:rsid w:val="00F21B21"/>
    <w:rsid w:val="00F22883"/>
    <w:rsid w:val="00F248E3"/>
    <w:rsid w:val="00F31BA2"/>
    <w:rsid w:val="00F32188"/>
    <w:rsid w:val="00F321EE"/>
    <w:rsid w:val="00F34B7E"/>
    <w:rsid w:val="00F35F93"/>
    <w:rsid w:val="00F37323"/>
    <w:rsid w:val="00F37358"/>
    <w:rsid w:val="00F4533B"/>
    <w:rsid w:val="00F45F19"/>
    <w:rsid w:val="00F47FA1"/>
    <w:rsid w:val="00F54715"/>
    <w:rsid w:val="00F56D98"/>
    <w:rsid w:val="00F57F17"/>
    <w:rsid w:val="00F60189"/>
    <w:rsid w:val="00F60949"/>
    <w:rsid w:val="00F640BC"/>
    <w:rsid w:val="00F6527C"/>
    <w:rsid w:val="00F65D41"/>
    <w:rsid w:val="00F71FD6"/>
    <w:rsid w:val="00F7345B"/>
    <w:rsid w:val="00F76C6C"/>
    <w:rsid w:val="00F80DBA"/>
    <w:rsid w:val="00F832DD"/>
    <w:rsid w:val="00F837D8"/>
    <w:rsid w:val="00F83CA9"/>
    <w:rsid w:val="00F92A5F"/>
    <w:rsid w:val="00F92AC5"/>
    <w:rsid w:val="00F946DA"/>
    <w:rsid w:val="00F94B9B"/>
    <w:rsid w:val="00F9582F"/>
    <w:rsid w:val="00F96C05"/>
    <w:rsid w:val="00F97A98"/>
    <w:rsid w:val="00FA1B6E"/>
    <w:rsid w:val="00FA5840"/>
    <w:rsid w:val="00FA5937"/>
    <w:rsid w:val="00FA70F4"/>
    <w:rsid w:val="00FA7C3C"/>
    <w:rsid w:val="00FB009A"/>
    <w:rsid w:val="00FB04B7"/>
    <w:rsid w:val="00FB0AB7"/>
    <w:rsid w:val="00FB2E6E"/>
    <w:rsid w:val="00FB3F41"/>
    <w:rsid w:val="00FB491D"/>
    <w:rsid w:val="00FB710A"/>
    <w:rsid w:val="00FC0FFF"/>
    <w:rsid w:val="00FC1FE3"/>
    <w:rsid w:val="00FC261B"/>
    <w:rsid w:val="00FC673D"/>
    <w:rsid w:val="00FD2EC3"/>
    <w:rsid w:val="00FE3070"/>
    <w:rsid w:val="00FE3CB5"/>
    <w:rsid w:val="00FE4B8E"/>
    <w:rsid w:val="00FE556C"/>
    <w:rsid w:val="00FF0AB3"/>
    <w:rsid w:val="00FF0E6C"/>
    <w:rsid w:val="00FF57F2"/>
    <w:rsid w:val="00FF748E"/>
    <w:rsid w:val="00FF7F52"/>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6A22A"/>
  <w15:docId w15:val="{186B1E40-8692-4EDD-9A1D-75DD93CE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zh-CN"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E78"/>
    <w:rPr>
      <w:szCs w:val="22"/>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0E78"/>
    <w:pPr>
      <w:spacing w:after="0" w:line="240" w:lineRule="auto"/>
    </w:pPr>
    <w:rPr>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00E78"/>
  </w:style>
  <w:style w:type="paragraph" w:styleId="ListParagraph">
    <w:name w:val="List Paragraph"/>
    <w:basedOn w:val="Normal"/>
    <w:uiPriority w:val="34"/>
    <w:qFormat/>
    <w:rsid w:val="00D749EB"/>
    <w:pPr>
      <w:ind w:left="720"/>
      <w:contextualSpacing/>
    </w:pPr>
  </w:style>
  <w:style w:type="paragraph" w:styleId="BalloonText">
    <w:name w:val="Balloon Text"/>
    <w:basedOn w:val="Normal"/>
    <w:link w:val="BalloonTextChar"/>
    <w:uiPriority w:val="99"/>
    <w:semiHidden/>
    <w:unhideWhenUsed/>
    <w:rsid w:val="007061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1BB"/>
    <w:rPr>
      <w:rFonts w:ascii="Segoe UI" w:hAnsi="Segoe UI" w:cs="Segoe UI"/>
      <w:sz w:val="18"/>
      <w:szCs w:val="18"/>
      <w:lang w:val="en-GB" w:eastAsia="en-GB" w:bidi="ar-SA"/>
    </w:rPr>
  </w:style>
  <w:style w:type="character" w:styleId="CommentReference">
    <w:name w:val="annotation reference"/>
    <w:basedOn w:val="DefaultParagraphFont"/>
    <w:uiPriority w:val="99"/>
    <w:semiHidden/>
    <w:unhideWhenUsed/>
    <w:rsid w:val="00235529"/>
    <w:rPr>
      <w:sz w:val="16"/>
      <w:szCs w:val="16"/>
    </w:rPr>
  </w:style>
  <w:style w:type="paragraph" w:styleId="CommentText">
    <w:name w:val="annotation text"/>
    <w:basedOn w:val="Normal"/>
    <w:link w:val="CommentTextChar"/>
    <w:uiPriority w:val="99"/>
    <w:semiHidden/>
    <w:unhideWhenUsed/>
    <w:rsid w:val="00235529"/>
    <w:pPr>
      <w:spacing w:line="240" w:lineRule="auto"/>
    </w:pPr>
    <w:rPr>
      <w:sz w:val="20"/>
      <w:szCs w:val="20"/>
    </w:rPr>
  </w:style>
  <w:style w:type="character" w:customStyle="1" w:styleId="CommentTextChar">
    <w:name w:val="Comment Text Char"/>
    <w:basedOn w:val="DefaultParagraphFont"/>
    <w:link w:val="CommentText"/>
    <w:uiPriority w:val="99"/>
    <w:semiHidden/>
    <w:rsid w:val="00235529"/>
    <w:rPr>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235529"/>
    <w:rPr>
      <w:b/>
      <w:bCs/>
    </w:rPr>
  </w:style>
  <w:style w:type="character" w:customStyle="1" w:styleId="CommentSubjectChar">
    <w:name w:val="Comment Subject Char"/>
    <w:basedOn w:val="CommentTextChar"/>
    <w:link w:val="CommentSubject"/>
    <w:uiPriority w:val="99"/>
    <w:semiHidden/>
    <w:rsid w:val="00235529"/>
    <w:rPr>
      <w:b/>
      <w:bCs/>
      <w:sz w:val="20"/>
      <w:szCs w:val="20"/>
      <w:lang w:val="en-GB" w:eastAsia="en-GB" w:bidi="ar-SA"/>
    </w:rPr>
  </w:style>
  <w:style w:type="paragraph" w:styleId="Header">
    <w:name w:val="header"/>
    <w:basedOn w:val="Normal"/>
    <w:link w:val="HeaderChar"/>
    <w:uiPriority w:val="99"/>
    <w:unhideWhenUsed/>
    <w:rsid w:val="00705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AA"/>
    <w:rPr>
      <w:szCs w:val="22"/>
      <w:lang w:val="en-GB" w:eastAsia="en-GB" w:bidi="ar-SA"/>
    </w:rPr>
  </w:style>
  <w:style w:type="paragraph" w:styleId="Footer">
    <w:name w:val="footer"/>
    <w:basedOn w:val="Normal"/>
    <w:link w:val="FooterChar"/>
    <w:uiPriority w:val="99"/>
    <w:unhideWhenUsed/>
    <w:rsid w:val="00705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AA"/>
    <w:rPr>
      <w:szCs w:val="22"/>
      <w:lang w:val="en-GB" w:eastAsia="en-GB" w:bidi="ar-SA"/>
    </w:rPr>
  </w:style>
  <w:style w:type="character" w:styleId="Emphasis">
    <w:name w:val="Emphasis"/>
    <w:basedOn w:val="DefaultParagraphFont"/>
    <w:uiPriority w:val="20"/>
    <w:qFormat/>
    <w:rsid w:val="00A6438A"/>
    <w:rPr>
      <w:i/>
      <w:iCs/>
    </w:rPr>
  </w:style>
  <w:style w:type="paragraph" w:customStyle="1" w:styleId="WHO">
    <w:name w:val="WHO"/>
    <w:basedOn w:val="Normal"/>
    <w:rsid w:val="007A16DB"/>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769390">
      <w:bodyDiv w:val="1"/>
      <w:marLeft w:val="0"/>
      <w:marRight w:val="0"/>
      <w:marTop w:val="0"/>
      <w:marBottom w:val="0"/>
      <w:divBdr>
        <w:top w:val="none" w:sz="0" w:space="0" w:color="auto"/>
        <w:left w:val="none" w:sz="0" w:space="0" w:color="auto"/>
        <w:bottom w:val="none" w:sz="0" w:space="0" w:color="auto"/>
        <w:right w:val="none" w:sz="0" w:space="0" w:color="auto"/>
      </w:divBdr>
      <w:divsChild>
        <w:div w:id="952639274">
          <w:marLeft w:val="720"/>
          <w:marRight w:val="0"/>
          <w:marTop w:val="240"/>
          <w:marBottom w:val="40"/>
          <w:divBdr>
            <w:top w:val="none" w:sz="0" w:space="0" w:color="auto"/>
            <w:left w:val="none" w:sz="0" w:space="0" w:color="auto"/>
            <w:bottom w:val="none" w:sz="0" w:space="0" w:color="auto"/>
            <w:right w:val="none" w:sz="0" w:space="0" w:color="auto"/>
          </w:divBdr>
        </w:div>
      </w:divsChild>
    </w:div>
    <w:div w:id="1229727926">
      <w:bodyDiv w:val="1"/>
      <w:marLeft w:val="0"/>
      <w:marRight w:val="0"/>
      <w:marTop w:val="0"/>
      <w:marBottom w:val="0"/>
      <w:divBdr>
        <w:top w:val="none" w:sz="0" w:space="0" w:color="auto"/>
        <w:left w:val="none" w:sz="0" w:space="0" w:color="auto"/>
        <w:bottom w:val="none" w:sz="0" w:space="0" w:color="auto"/>
        <w:right w:val="none" w:sz="0" w:space="0" w:color="auto"/>
      </w:divBdr>
      <w:divsChild>
        <w:div w:id="1042174356">
          <w:marLeft w:val="720"/>
          <w:marRight w:val="0"/>
          <w:marTop w:val="240"/>
          <w:marBottom w:val="40"/>
          <w:divBdr>
            <w:top w:val="none" w:sz="0" w:space="0" w:color="auto"/>
            <w:left w:val="none" w:sz="0" w:space="0" w:color="auto"/>
            <w:bottom w:val="none" w:sz="0" w:space="0" w:color="auto"/>
            <w:right w:val="none" w:sz="0" w:space="0" w:color="auto"/>
          </w:divBdr>
        </w:div>
      </w:divsChild>
    </w:div>
    <w:div w:id="1700086999">
      <w:bodyDiv w:val="1"/>
      <w:marLeft w:val="0"/>
      <w:marRight w:val="0"/>
      <w:marTop w:val="0"/>
      <w:marBottom w:val="0"/>
      <w:divBdr>
        <w:top w:val="none" w:sz="0" w:space="0" w:color="auto"/>
        <w:left w:val="none" w:sz="0" w:space="0" w:color="auto"/>
        <w:bottom w:val="none" w:sz="0" w:space="0" w:color="auto"/>
        <w:right w:val="none" w:sz="0" w:space="0" w:color="auto"/>
      </w:divBdr>
    </w:div>
    <w:div w:id="1748922423">
      <w:bodyDiv w:val="1"/>
      <w:marLeft w:val="0"/>
      <w:marRight w:val="0"/>
      <w:marTop w:val="0"/>
      <w:marBottom w:val="0"/>
      <w:divBdr>
        <w:top w:val="none" w:sz="0" w:space="0" w:color="auto"/>
        <w:left w:val="none" w:sz="0" w:space="0" w:color="auto"/>
        <w:bottom w:val="none" w:sz="0" w:space="0" w:color="auto"/>
        <w:right w:val="none" w:sz="0" w:space="0" w:color="auto"/>
      </w:divBdr>
      <w:divsChild>
        <w:div w:id="36902486">
          <w:marLeft w:val="360"/>
          <w:marRight w:val="0"/>
          <w:marTop w:val="200"/>
          <w:marBottom w:val="0"/>
          <w:divBdr>
            <w:top w:val="none" w:sz="0" w:space="0" w:color="auto"/>
            <w:left w:val="none" w:sz="0" w:space="0" w:color="auto"/>
            <w:bottom w:val="none" w:sz="0" w:space="0" w:color="auto"/>
            <w:right w:val="none" w:sz="0" w:space="0" w:color="auto"/>
          </w:divBdr>
        </w:div>
      </w:divsChild>
    </w:div>
    <w:div w:id="1831170332">
      <w:bodyDiv w:val="1"/>
      <w:marLeft w:val="0"/>
      <w:marRight w:val="0"/>
      <w:marTop w:val="0"/>
      <w:marBottom w:val="0"/>
      <w:divBdr>
        <w:top w:val="none" w:sz="0" w:space="0" w:color="auto"/>
        <w:left w:val="none" w:sz="0" w:space="0" w:color="auto"/>
        <w:bottom w:val="none" w:sz="0" w:space="0" w:color="auto"/>
        <w:right w:val="none" w:sz="0" w:space="0" w:color="auto"/>
      </w:divBdr>
    </w:div>
    <w:div w:id="185592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1590D644467F4DABFCCA0BAAC12DB8" ma:contentTypeVersion="12" ma:contentTypeDescription="Create a new document." ma:contentTypeScope="" ma:versionID="cf59f3c645616c7d97717f5969917fc0">
  <xsd:schema xmlns:xsd="http://www.w3.org/2001/XMLSchema" xmlns:xs="http://www.w3.org/2001/XMLSchema" xmlns:p="http://schemas.microsoft.com/office/2006/metadata/properties" xmlns:ns3="7b8bc772-cf73-4a55-9365-38525c84b863" xmlns:ns4="355b1f69-6cf3-465d-9b4d-2e2bf2afc17d" targetNamespace="http://schemas.microsoft.com/office/2006/metadata/properties" ma:root="true" ma:fieldsID="59243f429026cb1dd5a1b9208f50619f" ns3:_="" ns4:_="">
    <xsd:import namespace="7b8bc772-cf73-4a55-9365-38525c84b863"/>
    <xsd:import namespace="355b1f69-6cf3-465d-9b4d-2e2bf2afc17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bc772-cf73-4a55-9365-38525c84b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5b1f69-6cf3-465d-9b4d-2e2bf2afc1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63B13-0029-426D-838C-B2630D36CC5D}">
  <ds:schemaRefs>
    <ds:schemaRef ds:uri="http://schemas.microsoft.com/sharepoint/v3/contenttype/forms"/>
  </ds:schemaRefs>
</ds:datastoreItem>
</file>

<file path=customXml/itemProps2.xml><?xml version="1.0" encoding="utf-8"?>
<ds:datastoreItem xmlns:ds="http://schemas.openxmlformats.org/officeDocument/2006/customXml" ds:itemID="{C07B2B51-3908-413C-9C7E-15E09556A9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880EA8-41BE-4A25-B4E7-B259E9046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bc772-cf73-4a55-9365-38525c84b863"/>
    <ds:schemaRef ds:uri="355b1f69-6cf3-465d-9b4d-2e2bf2afc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3355B-56E4-4914-95F5-2A407BE1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1861</Words>
  <Characters>10612</Characters>
  <Application>Microsoft Office Word</Application>
  <DocSecurity>0</DocSecurity>
  <Lines>88</Lines>
  <Paragraphs>24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WHO</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GARG, Renu Madanlal</dc:creator>
  <cp:lastModifiedBy>BUNLUESIN, Sushera</cp:lastModifiedBy>
  <cp:revision>3</cp:revision>
  <cp:lastPrinted>2020-11-25T04:04:00Z</cp:lastPrinted>
  <dcterms:created xsi:type="dcterms:W3CDTF">2020-11-25T04:33:00Z</dcterms:created>
  <dcterms:modified xsi:type="dcterms:W3CDTF">2020-11-27T02:41:00Z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0x010100771590D644467F4DABFCCA0BAAC12DB8</vt:lpwstr>
  </property>
</Properties>
</file>